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Vera Therapeutics,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1380" w:type="dxa"/>
            <w:vAlign w:val="bottom"/>
          </w:tcPr>
          <w:p>
            <w:pPr>
              <w:spacing w:after="0"/>
              <w:rPr>
                <w:sz w:val="18"/>
                <w:szCs w:val="18"/>
                <w:color w:val="auto"/>
              </w:rPr>
            </w:pPr>
          </w:p>
        </w:tc>
        <w:tc>
          <w:tcPr>
            <w:tcW w:w="368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gridSpan w:val="2"/>
          </w:tcPr>
          <w:p>
            <w:pPr>
              <w:jc w:val="right"/>
              <w:ind w:right="382"/>
              <w:spacing w:after="0"/>
              <w:rPr>
                <w:sz w:val="20"/>
                <w:szCs w:val="20"/>
                <w:color w:val="auto"/>
              </w:rPr>
            </w:pPr>
            <w:r>
              <w:rPr>
                <w:rFonts w:ascii="Arial" w:cs="Arial" w:eastAsia="Arial" w:hAnsi="Arial"/>
                <w:sz w:val="18"/>
                <w:szCs w:val="18"/>
                <w:b w:val="1"/>
                <w:bCs w:val="1"/>
                <w:color w:val="auto"/>
              </w:rPr>
              <w:t>81-2744449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4"/>
              </w:rPr>
              <w:t>(State of Incorporation or Organization)</w:t>
            </w:r>
          </w:p>
        </w:tc>
        <w:tc>
          <w:tcPr>
            <w:tcW w:w="3660" w:type="dxa"/>
            <w:vAlign w:val="bottom"/>
            <w:gridSpan w:val="3"/>
          </w:tcPr>
          <w:p>
            <w:pPr>
              <w:jc w:val="center"/>
              <w:ind w:left="1057"/>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99"/>
        </w:trPr>
        <w:tc>
          <w:tcPr>
            <w:tcW w:w="506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3"/>
              </w:rPr>
              <w:t>170 Harbor Way, 3rd Floor</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6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90"/>
              </w:rPr>
              <w:t>South San Francisco, California</w:t>
            </w:r>
          </w:p>
        </w:tc>
        <w:tc>
          <w:tcPr>
            <w:tcW w:w="3300" w:type="dxa"/>
            <w:vAlign w:val="bottom"/>
            <w:gridSpan w:val="2"/>
          </w:tcPr>
          <w:p>
            <w:pPr>
              <w:jc w:val="right"/>
              <w:ind w:right="602"/>
              <w:spacing w:after="0"/>
              <w:rPr>
                <w:sz w:val="20"/>
                <w:szCs w:val="20"/>
                <w:color w:val="auto"/>
              </w:rPr>
            </w:pPr>
            <w:r>
              <w:rPr>
                <w:rFonts w:ascii="Arial" w:cs="Arial" w:eastAsia="Arial" w:hAnsi="Arial"/>
                <w:sz w:val="18"/>
                <w:szCs w:val="18"/>
                <w:b w:val="1"/>
                <w:bCs w:val="1"/>
                <w:color w:val="auto"/>
              </w:rPr>
              <w:t>94080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0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80" w:type="dxa"/>
            <w:vAlign w:val="bottom"/>
          </w:tcPr>
          <w:p>
            <w:pPr>
              <w:spacing w:after="0"/>
              <w:rPr>
                <w:sz w:val="16"/>
                <w:szCs w:val="16"/>
                <w:color w:val="auto"/>
              </w:rPr>
            </w:pPr>
          </w:p>
        </w:tc>
        <w:tc>
          <w:tcPr>
            <w:tcW w:w="208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17"/>
        </w:trPr>
        <w:tc>
          <w:tcPr>
            <w:tcW w:w="1380" w:type="dxa"/>
            <w:vAlign w:val="bottom"/>
          </w:tcPr>
          <w:p>
            <w:pPr>
              <w:spacing w:after="0"/>
              <w:rPr>
                <w:sz w:val="24"/>
                <w:szCs w:val="24"/>
                <w:color w:val="auto"/>
              </w:rPr>
            </w:pPr>
          </w:p>
        </w:tc>
        <w:tc>
          <w:tcPr>
            <w:tcW w:w="7340" w:type="dxa"/>
            <w:vAlign w:val="bottom"/>
            <w:gridSpan w:val="5"/>
          </w:tcPr>
          <w:p>
            <w:pPr>
              <w:ind w:left="84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158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Name of exchange on which</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87"/>
              </w:rPr>
              <w:t>to be so registered</w:t>
            </w:r>
          </w:p>
        </w:tc>
        <w:tc>
          <w:tcPr>
            <w:tcW w:w="2560" w:type="dxa"/>
            <w:vAlign w:val="bottom"/>
          </w:tcPr>
          <w:p>
            <w:pPr>
              <w:spacing w:after="0"/>
              <w:rPr>
                <w:sz w:val="14"/>
                <w:szCs w:val="14"/>
                <w:color w:val="auto"/>
              </w:rPr>
            </w:pPr>
          </w:p>
        </w:tc>
        <w:tc>
          <w:tcPr>
            <w:tcW w:w="3660" w:type="dxa"/>
            <w:vAlign w:val="bottom"/>
            <w:gridSpan w:val="3"/>
          </w:tcPr>
          <w:p>
            <w:pPr>
              <w:ind w:left="1580"/>
              <w:spacing w:after="0"/>
              <w:rPr>
                <w:sz w:val="20"/>
                <w:szCs w:val="20"/>
                <w:color w:val="auto"/>
              </w:rPr>
            </w:pPr>
            <w:r>
              <w:rPr>
                <w:rFonts w:ascii="Arial" w:cs="Arial" w:eastAsia="Arial" w:hAnsi="Arial"/>
                <w:sz w:val="14"/>
                <w:szCs w:val="14"/>
                <w:b w:val="1"/>
                <w:bCs w:val="1"/>
                <w:color w:val="auto"/>
              </w:rPr>
              <w:t>each class is to be registered</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8"/>
                <w:szCs w:val="18"/>
                <w:b w:val="1"/>
                <w:bCs w:val="1"/>
                <w:color w:val="auto"/>
                <w:w w:val="93"/>
              </w:rPr>
              <w:t>Class A common</w:t>
            </w:r>
          </w:p>
        </w:tc>
        <w:tc>
          <w:tcPr>
            <w:tcW w:w="11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8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The</w:t>
            </w:r>
          </w:p>
        </w:tc>
        <w:tc>
          <w:tcPr>
            <w:tcW w:w="1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97"/>
              </w:rPr>
              <w:t>LLC</w:t>
            </w:r>
          </w:p>
        </w:tc>
        <w:tc>
          <w:tcPr>
            <w:tcW w:w="0" w:type="dxa"/>
            <w:vAlign w:val="bottom"/>
          </w:tcPr>
          <w:p>
            <w:pPr>
              <w:spacing w:after="0" w:line="20" w:lineRule="exact"/>
              <w:rPr>
                <w:sz w:val="1"/>
                <w:szCs w:val="1"/>
                <w:color w:val="auto"/>
              </w:rPr>
            </w:pPr>
          </w:p>
        </w:tc>
      </w:tr>
      <w:tr>
        <w:trPr>
          <w:trHeight w:val="228"/>
        </w:trPr>
        <w:tc>
          <w:tcPr>
            <w:tcW w:w="138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stock, $0.001 par value per share</w:t>
            </w:r>
          </w:p>
        </w:tc>
        <w:tc>
          <w:tcPr>
            <w:tcW w:w="1580" w:type="dxa"/>
            <w:vAlign w:val="bottom"/>
            <w:vMerge w:val="continue"/>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b w:val="1"/>
                <w:bCs w:val="1"/>
                <w:color w:val="auto"/>
                <w:w w:val="93"/>
              </w:rPr>
              <w:t>Nasdaq Stock Market</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or Regulation A offering statement file number to which this form relates: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333-255492</w:t>
      </w:r>
    </w:p>
    <w:p>
      <w:pPr>
        <w:spacing w:after="0" w:line="20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ind w:left="53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description of the Class A common stock, par value $0.001 per share (the “Common Stock”), of Vera Therapeutics, Inc. (the “Company”), to be registered hereunder is contained in the section entitled “Description of Capital Stock” in the prospectus forming a part of the Company’s Registration Statement on Form S-1 (Registration No. 333-255492), initially filed with the Securities and Exchange Commission (the “Commission”) on April 23, 2021, as subsequently amended from time to time (the “Registration Statement”), and is incorporated herein by reference. The prospectus to be filed with the Commission pursuant to Rule 424(b) under the Securities Act of 1933, as amended, which will constitute part of the Registration Statement, shall be deemed to be incorporated herein by reference.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Pursuant to the instructions as to exhibits with respect to Form 8-A, no exhibits are required to be filed as part of this registration statement because no other securities of the Company are registered on The Nasdaq Stock Market LLC and the securities registered hereby are not being registered pursuant to Section 12(g) of the Securities Exchange Act of 1934, as amended.</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Marshall W. Fordyce,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Marshall W. Fordyce, M.D.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2021-05-11T16:42:06Z</dcterms:created>
  <dcterms:modified xsi:type="dcterms:W3CDTF">2021-05-11T16:42:06Z</dcterms:modified>
</cp:coreProperties>
</file>