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04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00" w:type="dxa"/>
            <w:vAlign w:val="bottom"/>
          </w:tcPr>
          <w:p>
            <w:pPr>
              <w:jc w:val="right"/>
              <w:ind w:right="1660"/>
              <w:spacing w:after="0"/>
              <w:rPr>
                <w:sz w:val="20"/>
                <w:szCs w:val="20"/>
                <w:color w:val="auto"/>
              </w:rPr>
            </w:pPr>
            <w:r>
              <w:rPr>
                <w:rFonts w:ascii="Times New Roman" w:cs="Times New Roman" w:eastAsia="Times New Roman" w:hAnsi="Times New Roman"/>
                <w:sz w:val="18"/>
                <w:szCs w:val="18"/>
                <w:b w:val="1"/>
                <w:bCs w:val="1"/>
                <w:color w:val="auto"/>
              </w:rPr>
              <w:t>001-40407</w:t>
            </w:r>
          </w:p>
        </w:tc>
        <w:tc>
          <w:tcPr>
            <w:tcW w:w="16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81-2744449</w:t>
            </w:r>
          </w:p>
        </w:tc>
      </w:tr>
      <w:tr>
        <w:trPr>
          <w:trHeight w:val="148"/>
        </w:trPr>
        <w:tc>
          <w:tcPr>
            <w:tcW w:w="304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900" w:type="dxa"/>
            <w:vAlign w:val="bottom"/>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680" w:type="dxa"/>
            <w:vAlign w:val="bottom"/>
          </w:tcPr>
          <w:p>
            <w:pPr>
              <w:jc w:val="center"/>
              <w:ind w:left="5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900" w:type="dxa"/>
            <w:vAlign w:val="bottom"/>
          </w:tcPr>
          <w:p>
            <w:pPr>
              <w:spacing w:after="0"/>
              <w:rPr>
                <w:sz w:val="15"/>
                <w:szCs w:val="15"/>
                <w:color w:val="auto"/>
              </w:rPr>
            </w:pPr>
          </w:p>
        </w:tc>
        <w:tc>
          <w:tcPr>
            <w:tcW w:w="1680" w:type="dxa"/>
            <w:vAlign w:val="bottom"/>
          </w:tcPr>
          <w:p>
            <w:pPr>
              <w:jc w:val="center"/>
              <w:ind w:left="5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1200</w:t>
            </w:r>
          </w:p>
        </w:tc>
        <w:tc>
          <w:tcPr>
            <w:tcW w:w="3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2"/>
        </w:trPr>
        <w:tc>
          <w:tcPr>
            <w:tcW w:w="304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3900" w:type="dxa"/>
            <w:vAlign w:val="bottom"/>
          </w:tcPr>
          <w:p>
            <w:pPr>
              <w:spacing w:after="0"/>
              <w:rPr>
                <w:sz w:val="19"/>
                <w:szCs w:val="19"/>
                <w:color w:val="auto"/>
              </w:rPr>
            </w:pPr>
          </w:p>
        </w:tc>
        <w:tc>
          <w:tcPr>
            <w:tcW w:w="16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78"/>
        </w:trPr>
        <w:tc>
          <w:tcPr>
            <w:tcW w:w="3040" w:type="dxa"/>
            <w:vAlign w:val="bottom"/>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900" w:type="dxa"/>
            <w:vAlign w:val="bottom"/>
          </w:tcPr>
          <w:p>
            <w:pPr>
              <w:spacing w:after="0"/>
              <w:rPr>
                <w:sz w:val="15"/>
                <w:szCs w:val="15"/>
                <w:color w:val="auto"/>
              </w:rPr>
            </w:pPr>
          </w:p>
        </w:tc>
        <w:tc>
          <w:tcPr>
            <w:tcW w:w="1680" w:type="dxa"/>
            <w:vAlign w:val="bottom"/>
          </w:tcPr>
          <w:p>
            <w:pPr>
              <w:jc w:val="center"/>
              <w:ind w:left="544"/>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624"/>
        </w:trPr>
        <w:tc>
          <w:tcPr>
            <w:tcW w:w="3040" w:type="dxa"/>
            <w:vAlign w:val="bottom"/>
          </w:tcPr>
          <w:p>
            <w:pPr>
              <w:spacing w:after="0"/>
              <w:rPr>
                <w:sz w:val="24"/>
                <w:szCs w:val="24"/>
                <w:color w:val="auto"/>
              </w:rPr>
            </w:pPr>
          </w:p>
        </w:tc>
        <w:tc>
          <w:tcPr>
            <w:tcW w:w="3900" w:type="dxa"/>
            <w:vAlign w:val="bottom"/>
          </w:tcPr>
          <w:p>
            <w:pPr>
              <w:jc w:val="right"/>
              <w:ind w:right="1580"/>
              <w:spacing w:after="0"/>
              <w:rPr>
                <w:sz w:val="20"/>
                <w:szCs w:val="20"/>
                <w:color w:val="auto"/>
              </w:rPr>
            </w:pPr>
            <w:r>
              <w:rPr>
                <w:rFonts w:ascii="Times New Roman" w:cs="Times New Roman" w:eastAsia="Times New Roman" w:hAnsi="Times New Roman"/>
                <w:sz w:val="18"/>
                <w:szCs w:val="18"/>
                <w:b w:val="1"/>
                <w:bCs w:val="1"/>
                <w:color w:val="auto"/>
              </w:rPr>
              <w:t>(650) 770-0077</w:t>
            </w:r>
          </w:p>
        </w:tc>
        <w:tc>
          <w:tcPr>
            <w:tcW w:w="1680" w:type="dxa"/>
            <w:vAlign w:val="bottom"/>
          </w:tcPr>
          <w:p>
            <w:pPr>
              <w:spacing w:after="0"/>
              <w:rPr>
                <w:sz w:val="24"/>
                <w:szCs w:val="24"/>
                <w:color w:val="auto"/>
              </w:rPr>
            </w:pPr>
          </w:p>
        </w:tc>
      </w:tr>
      <w:tr>
        <w:trPr>
          <w:trHeight w:val="190"/>
        </w:trPr>
        <w:tc>
          <w:tcPr>
            <w:tcW w:w="3040" w:type="dxa"/>
            <w:vAlign w:val="bottom"/>
          </w:tcPr>
          <w:p>
            <w:pPr>
              <w:spacing w:after="0"/>
              <w:rPr>
                <w:sz w:val="16"/>
                <w:szCs w:val="16"/>
                <w:color w:val="auto"/>
              </w:rPr>
            </w:pPr>
          </w:p>
        </w:tc>
        <w:tc>
          <w:tcPr>
            <w:tcW w:w="3900" w:type="dxa"/>
            <w:vAlign w:val="bottom"/>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bl>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385"/>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60" w:hanging="385"/>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60" w:hanging="385"/>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60" w:hanging="385"/>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6"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VERA</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8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May 21, 2026, Vera Therapeutics, Inc. (the “Company”) held its 2026 Annual Meeting of Stockholders (the “Annual Meeting”). As of March 24, 2026, the record date for the Annual Meeting, 71,713,905 shares of Class A common stock were outstanding and entitled to vote at the Annual Meeting. A summary of the matters voted upon by stockholders at the Annual Meeting is set forth below. Each matter is described in more detail in the Company’s definitive proxy statement filed with the U.S. Securities and Exchange Commission on April 9, 2026 (the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three persons listed below as Class II Directors, each to serve until the Company’s 2029 Annual Meeting of Stockholders and until their respective successors are duly elected and qualified, or, if sooner, such director’s death, resignation or removal. The final voting results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0" w:type="dxa"/>
            <w:vAlign w:val="bottom"/>
          </w:tcPr>
          <w:p>
            <w:pPr>
              <w:spacing w:after="0"/>
              <w:rPr>
                <w:sz w:val="20"/>
                <w:szCs w:val="20"/>
                <w:color w:val="auto"/>
              </w:rPr>
            </w:pPr>
          </w:p>
        </w:tc>
        <w:tc>
          <w:tcPr>
            <w:tcW w:w="21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0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Michael M. Morrisey, Ph.D.</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45,288,710</w:t>
            </w:r>
          </w:p>
        </w:tc>
        <w:tc>
          <w:tcPr>
            <w:tcW w:w="24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13,814,671</w:t>
            </w:r>
          </w:p>
        </w:tc>
        <w:tc>
          <w:tcPr>
            <w:tcW w:w="25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2,863,469</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Patrick G. Enright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54,697,296</w:t>
            </w:r>
          </w:p>
        </w:tc>
        <w:tc>
          <w:tcPr>
            <w:tcW w:w="24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4,406,085</w:t>
            </w:r>
          </w:p>
        </w:tc>
        <w:tc>
          <w:tcPr>
            <w:tcW w:w="25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2,863,469</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James R. Meyers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58,946,269</w:t>
            </w:r>
          </w:p>
        </w:tc>
        <w:tc>
          <w:tcPr>
            <w:tcW w:w="24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157,112</w:t>
            </w:r>
          </w:p>
        </w:tc>
        <w:tc>
          <w:tcPr>
            <w:tcW w:w="25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2,863,469</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the Appointment of Independent Registered Public Accounting Firm.</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Company’s Board of Directors of KPMG LLP as the independent registered public accounting firm of the Company for its fiscal year ending December 31, 2026. The final voting results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0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00" w:type="dxa"/>
            <w:vAlign w:val="bottom"/>
          </w:tcPr>
          <w:p>
            <w:pPr>
              <w:spacing w:after="0"/>
              <w:rPr>
                <w:sz w:val="20"/>
                <w:szCs w:val="20"/>
                <w:color w:val="auto"/>
              </w:rPr>
            </w:pPr>
          </w:p>
        </w:tc>
      </w:tr>
      <w:tr>
        <w:trPr>
          <w:trHeight w:val="209"/>
        </w:trPr>
        <w:tc>
          <w:tcPr>
            <w:tcW w:w="366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61,834,842</w:t>
            </w:r>
          </w:p>
        </w:tc>
        <w:tc>
          <w:tcPr>
            <w:tcW w:w="3740" w:type="dxa"/>
            <w:vAlign w:val="bottom"/>
            <w:gridSpan w:val="2"/>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44,710</w:t>
            </w:r>
          </w:p>
        </w:tc>
        <w:tc>
          <w:tcPr>
            <w:tcW w:w="3740" w:type="dxa"/>
            <w:vAlign w:val="bottom"/>
            <w:gridSpan w:val="2"/>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87,298</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Advisory Vote on Executive Compensation.</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awarded to the Company’s named executive officers, as disclosed in the Proxy Statement. The final voting results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09"/>
        </w:trPr>
        <w:tc>
          <w:tcPr>
            <w:tcW w:w="27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56,585,568</w:t>
            </w:r>
          </w:p>
        </w:tc>
        <w:tc>
          <w:tcPr>
            <w:tcW w:w="28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2,433,537</w:t>
            </w:r>
          </w:p>
        </w:tc>
        <w:tc>
          <w:tcPr>
            <w:tcW w:w="280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84,276</w:t>
            </w:r>
          </w:p>
        </w:tc>
        <w:tc>
          <w:tcPr>
            <w:tcW w:w="28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2,863,469</w:t>
            </w:r>
          </w:p>
        </w:tc>
        <w:tc>
          <w:tcPr>
            <w:tcW w:w="100" w:type="dxa"/>
            <w:vAlign w:val="bottom"/>
            <w:shd w:val="clear" w:color="auto" w:fill="CCEEFF"/>
          </w:tcPr>
          <w:p>
            <w:pPr>
              <w:spacing w:after="0"/>
              <w:rPr>
                <w:sz w:val="18"/>
                <w:szCs w:val="18"/>
                <w:color w:val="auto"/>
              </w:rPr>
            </w:pPr>
          </w:p>
        </w:tc>
      </w:tr>
      <w:tr>
        <w:trPr>
          <w:trHeight w:val="567"/>
        </w:trPr>
        <w:tc>
          <w:tcPr>
            <w:tcW w:w="1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r>
        <w:trPr>
          <w:trHeight w:val="756"/>
        </w:trPr>
        <w:tc>
          <w:tcPr>
            <w:tcW w:w="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Vera Therapeutics, Inc.</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26,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Marshall Fordyce, M.D.</w:t>
            </w:r>
          </w:p>
        </w:tc>
      </w:tr>
      <w:tr>
        <w:trPr>
          <w:trHeight w:val="191"/>
        </w:trPr>
        <w:tc>
          <w:tcPr>
            <w:tcW w:w="5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Marshall Fordyce, M.D.</w:t>
            </w:r>
          </w:p>
        </w:tc>
      </w:t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79"/>
        </w:trPr>
        <w:tc>
          <w:tcPr>
            <w:tcW w:w="5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2026-05-26T16:10:28Z</dcterms:created>
  <dcterms:modified xsi:type="dcterms:W3CDTF">2026-05-26T16:10:28Z</dcterms:modified>
</cp:coreProperties>
</file>