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era-20260630.htm"/>
      <w:bookmarkStart w:id="1" w:name="ksvera20260630"/>
      <w:bookmarkEnd w:id="0"/>
      <w:bookmarkEnd w:id="1"/>
      <w:r>
        <w:rPr/>
        <w:t> </w:t>
      </w:r>
    </w:p>
    <w:p>
      <w:pPr>
        <w:pStyle w:val="TextBody"/>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28"/>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8"/>
        </w:rPr>
      </w:pPr>
      <w:r>
        <w:rPr>
          <w:rFonts w:ascii="Times New Roman" w:hAnsi="Times New Roman"/>
          <w:b/>
          <w:color w:val="000000"/>
          <w:sz w:val="28"/>
        </w:rPr>
        <w:t>FORM 10-Q</w:t>
      </w:r>
    </w:p>
    <w:p>
      <w:pPr>
        <w:pStyle w:val="TextBody"/>
        <w:bidi w:val="0"/>
        <w:spacing w:before="4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6"/>
        </w:rPr>
        <w:t>For the quarterly period ended June 30, 2026</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6"/>
        </w:rPr>
        <w:t>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tbl>
      <w:tblPr>
        <w:tblW w:w="3211" w:type="dxa"/>
        <w:jc w:val="left"/>
        <w:tblInd w:w="0" w:type="dxa"/>
        <w:tblLayout w:type="fixed"/>
        <w:tblCellMar>
          <w:top w:w="28" w:type="dxa"/>
          <w:left w:w="28" w:type="dxa"/>
          <w:bottom w:w="28" w:type="dxa"/>
          <w:right w:w="28" w:type="dxa"/>
        </w:tblCellMar>
      </w:tblPr>
      <w:tblGrid>
        <w:gridCol w:w="161"/>
        <w:gridCol w:w="2311"/>
        <w:gridCol w:w="146"/>
        <w:gridCol w:w="25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For the transition period from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6"/>
        </w:rPr>
        <w:t>Commission File Number: 001-40407</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40"/>
        </w:rPr>
      </w:pPr>
      <w:r>
        <w:rPr>
          <w:rFonts w:ascii="Times New Roman" w:hAnsi="Times New Roman"/>
          <w:b/>
          <w:color w:val="000000"/>
          <w:sz w:val="40"/>
        </w:rPr>
        <w:t>Vera Therapeutics, Inc.</w:t>
      </w:r>
    </w:p>
    <w:p>
      <w:pPr>
        <w:pStyle w:val="TextBody"/>
        <w:bidi w:val="0"/>
        <w:spacing w:before="0" w:after="12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tbl>
      <w:tblPr>
        <w:tblW w:w="4217" w:type="dxa"/>
        <w:jc w:val="left"/>
        <w:tblInd w:w="0" w:type="dxa"/>
        <w:tblLayout w:type="fixed"/>
        <w:tblCellMar>
          <w:top w:w="28" w:type="dxa"/>
          <w:left w:w="28" w:type="dxa"/>
          <w:bottom w:w="28" w:type="dxa"/>
          <w:right w:w="28" w:type="dxa"/>
        </w:tblCellMar>
      </w:tblPr>
      <w:tblGrid>
        <w:gridCol w:w="2971"/>
        <w:gridCol w:w="1246"/>
      </w:tblGrid>
      <w:tr>
        <w:trPr/>
        <w:tc>
          <w:tcPr>
            <w:tcW w:w="297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81-2744449</w:t>
            </w:r>
          </w:p>
        </w:tc>
      </w:tr>
      <w:tr>
        <w:trPr/>
        <w:tc>
          <w:tcPr>
            <w:tcW w:w="29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971" w:type="dxa"/>
            <w:tcBorders/>
            <w:tcMar>
              <w:top w:w="0" w:type="dxa"/>
              <w:left w:w="0" w:type="dxa"/>
              <w:bottom w:w="0" w:type="dxa"/>
              <w:right w:w="0" w:type="dxa"/>
            </w:tcMar>
            <w:vAlign w:val="center"/>
          </w:tcPr>
          <w:p>
            <w:pPr>
              <w:pStyle w:val="TableContents"/>
              <w:bidi w:val="0"/>
              <w:spacing w:before="0" w:after="15"/>
              <w:jc w:val="center"/>
              <w:rPr/>
            </w:pPr>
            <w:r>
              <w:rPr/>
              <w:t> </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2000 Sierra Point Parkway, Suite 1200</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Brisbane,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94005</w:t>
            </w:r>
          </w:p>
        </w:tc>
      </w:tr>
      <w:tr>
        <w:trPr/>
        <w:tc>
          <w:tcPr>
            <w:tcW w:w="2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200" w:after="283"/>
        <w:jc w:val="center"/>
        <w:rPr>
          <w:rFonts w:ascii="Times New Roman" w:hAnsi="Times New Roman"/>
          <w:sz w:val="20"/>
        </w:rPr>
      </w:pPr>
      <w:r>
        <w:rPr>
          <w:rFonts w:ascii="Times New Roman" w:hAnsi="Times New Roman"/>
          <w:b/>
          <w:color w:val="000000"/>
          <w:sz w:val="16"/>
        </w:rPr>
        <w:t>Registrant’s telephone number, including area code: (650) 770-0077</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spacing w:before="120" w:after="283"/>
        <w:jc w:val="center"/>
        <w:rPr>
          <w:rFonts w:ascii="Times New Roman" w:hAnsi="Times New Roman"/>
          <w:b/>
          <w:color w:val="231F20"/>
          <w:sz w:val="20"/>
        </w:rPr>
      </w:pPr>
      <w:r>
        <w:rPr>
          <w:rFonts w:ascii="Times New Roman" w:hAnsi="Times New Roman"/>
          <w:b/>
          <w:color w:val="231F20"/>
          <w:sz w:val="20"/>
        </w:rPr>
        <w:t>Not Applicable</w:t>
      </w:r>
    </w:p>
    <w:p>
      <w:pPr>
        <w:pStyle w:val="TextBody"/>
        <w:bidi w:val="0"/>
        <w:jc w:val="center"/>
        <w:rPr>
          <w:rFonts w:ascii="Times New Roman" w:hAnsi="Times New Roman"/>
          <w:b/>
          <w:color w:val="231F20"/>
          <w:sz w:val="16"/>
        </w:rPr>
      </w:pPr>
      <w:r>
        <w:rPr>
          <w:rFonts w:ascii="Times New Roman" w:hAnsi="Times New Roman"/>
          <w:b/>
          <w:color w:val="231F20"/>
          <w:sz w:val="16"/>
        </w:rPr>
        <w:t>(Former name, former address and former fiscal year, if changed since last report)</w:t>
      </w:r>
    </w:p>
    <w:p>
      <w:pPr>
        <w:pStyle w:val="TextBody"/>
        <w:pBdr>
          <w:bottom w:val="single" w:sz="6" w:space="1" w:color="000000"/>
        </w:pBdr>
        <w:bidi w:val="0"/>
        <w:jc w:val="left"/>
        <w:rPr/>
      </w:pPr>
      <w:r>
        <w:rPr/>
        <w:t> </w:t>
      </w:r>
    </w:p>
    <w:p>
      <w:pPr>
        <w:pStyle w:val="TextBody"/>
        <w:bidi w:val="0"/>
        <w:spacing w:before="120" w:after="120"/>
        <w:jc w:val="center"/>
        <w:rPr>
          <w:rFonts w:ascii="Times New Roman" w:hAnsi="Times New Roman"/>
          <w:b/>
          <w:color w:val="000000"/>
          <w:sz w:val="16"/>
        </w:rPr>
      </w:pPr>
      <w:r>
        <w:rPr>
          <w:rFonts w:ascii="Times New Roman" w:hAnsi="Times New Roman"/>
          <w:b/>
          <w:color w:val="000000"/>
          <w:sz w:val="16"/>
        </w:rPr>
        <w:t>Securities registered pursuant to Section 12(b) of the Act:</w:t>
      </w:r>
    </w:p>
    <w:tbl>
      <w:tblPr>
        <w:tblW w:w="6633" w:type="dxa"/>
        <w:jc w:val="left"/>
        <w:tblInd w:w="0" w:type="dxa"/>
        <w:tblLayout w:type="fixed"/>
        <w:tblCellMar>
          <w:top w:w="28" w:type="dxa"/>
          <w:left w:w="28" w:type="dxa"/>
          <w:bottom w:w="28" w:type="dxa"/>
          <w:right w:w="28" w:type="dxa"/>
        </w:tblCellMar>
      </w:tblPr>
      <w:tblGrid>
        <w:gridCol w:w="3391"/>
        <w:gridCol w:w="826"/>
        <w:gridCol w:w="2416"/>
      </w:tblGrid>
      <w:tr>
        <w:trPr/>
        <w:tc>
          <w:tcPr>
            <w:tcW w:w="339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3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Title of each class</w:t>
            </w:r>
          </w:p>
          <w:p>
            <w:pPr>
              <w:pStyle w:val="TableContents"/>
              <w:pBdr>
                <w:top w:val="single" w:sz="8" w:space="1" w:color="000000"/>
              </w:pBdr>
              <w:bidi w:val="0"/>
              <w:spacing w:before="20" w:after="283"/>
              <w:jc w:val="left"/>
              <w:rPr/>
            </w:pPr>
            <w:r>
              <w:rPr/>
              <w:t> </w:t>
            </w:r>
          </w:p>
        </w:tc>
        <w:tc>
          <w:tcPr>
            <w:tcW w:w="8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24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which registered</w:t>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Class A common stock, $0.001 par value per </w:t>
              <w:br/>
              <w:t>share</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VERA</w:t>
            </w:r>
          </w:p>
        </w:tc>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spacing w:before="14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14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14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5329" w:type="dxa"/>
        <w:jc w:val="left"/>
        <w:tblInd w:w="0" w:type="dxa"/>
        <w:tblLayout w:type="fixed"/>
        <w:tblCellMar>
          <w:top w:w="28" w:type="dxa"/>
          <w:left w:w="28" w:type="dxa"/>
          <w:bottom w:w="28" w:type="dxa"/>
          <w:right w:w="28" w:type="dxa"/>
        </w:tblCellMar>
      </w:tblPr>
      <w:tblGrid>
        <w:gridCol w:w="1906"/>
        <w:gridCol w:w="556"/>
        <w:gridCol w:w="2266"/>
        <w:gridCol w:w="601"/>
      </w:tblGrid>
      <w:tr>
        <w:trPr/>
        <w:tc>
          <w:tcPr>
            <w:tcW w:w="190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6"/>
              </w:rPr>
            </w:pPr>
            <w:r>
              <w:rPr>
                <w:rFonts w:ascii="Times New Roman" w:hAnsi="Times New Roman"/>
                <w:color w:val="000000"/>
                <w:sz w:val="16"/>
              </w:rPr>
              <w:t>Large accelerated filer</w:t>
            </w:r>
          </w:p>
        </w:tc>
        <w:tc>
          <w:tcPr>
            <w:tcW w:w="556"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w:t>
            </w:r>
          </w:p>
        </w:tc>
        <w:tc>
          <w:tcPr>
            <w:tcW w:w="22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6"/>
              </w:rPr>
            </w:pPr>
            <w:r>
              <w:rPr>
                <w:rFonts w:ascii="Times New Roman" w:hAnsi="Times New Roman"/>
                <w:color w:val="000000"/>
                <w:sz w:val="16"/>
              </w:rPr>
              <w:t>Accelerated filer</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w:t>
            </w:r>
          </w:p>
        </w:tc>
      </w:tr>
      <w:tr>
        <w:trPr/>
        <w:tc>
          <w:tcPr>
            <w:tcW w:w="19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6"/>
              </w:rPr>
            </w:pPr>
            <w:r>
              <w:rPr>
                <w:rFonts w:ascii="Times New Roman" w:hAnsi="Times New Roman"/>
                <w:color w:val="000000"/>
                <w:sz w:val="16"/>
              </w:rPr>
              <w:t>Non-accelerated filer</w:t>
            </w:r>
          </w:p>
        </w:tc>
        <w:tc>
          <w:tcPr>
            <w:tcW w:w="556"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w:t>
            </w:r>
          </w:p>
        </w:tc>
        <w:tc>
          <w:tcPr>
            <w:tcW w:w="22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6"/>
              </w:rPr>
            </w:pPr>
            <w:r>
              <w:rPr>
                <w:rFonts w:ascii="Times New Roman" w:hAnsi="Times New Roman"/>
                <w:color w:val="000000"/>
                <w:sz w:val="16"/>
              </w:rPr>
              <w:t>Smaller reporting company</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w:t>
            </w:r>
          </w:p>
        </w:tc>
      </w:tr>
      <w:tr>
        <w:trPr/>
        <w:tc>
          <w:tcPr>
            <w:tcW w:w="19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22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6"/>
              </w:rPr>
            </w:pPr>
            <w:r>
              <w:rPr>
                <w:rFonts w:ascii="Times New Roman" w:hAnsi="Times New Roman"/>
                <w:color w:val="000000"/>
                <w:sz w:val="16"/>
              </w:rPr>
              <w:t>Emerging growth company</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w:t>
            </w:r>
          </w:p>
        </w:tc>
      </w:tr>
    </w:tbl>
    <w:p>
      <w:pPr>
        <w:pStyle w:val="TextBody"/>
        <w:bidi w:val="0"/>
        <w:spacing w:before="140" w:after="283"/>
        <w:jc w:val="left"/>
        <w:rPr>
          <w:rFonts w:ascii="Times New Roman" w:hAnsi="Times New Roman"/>
          <w:sz w:val="20"/>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14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140" w:after="283"/>
        <w:jc w:val="left"/>
        <w:rPr>
          <w:rFonts w:ascii="Times New Roman" w:hAnsi="Times New Roman"/>
          <w:sz w:val="20"/>
        </w:rPr>
      </w:pPr>
      <w:r>
        <w:rPr>
          <w:rFonts w:ascii="Times New Roman" w:hAnsi="Times New Roman"/>
          <w:color w:val="000000"/>
          <w:sz w:val="16"/>
        </w:rPr>
        <w:t>As of July 29, 2026</w:t>
      </w:r>
      <w:r>
        <w:rPr>
          <w:rFonts w:ascii="Times New Roman" w:hAnsi="Times New Roman"/>
          <w:color w:val="404040"/>
          <w:sz w:val="16"/>
        </w:rPr>
        <w:t xml:space="preserve">, </w:t>
      </w:r>
      <w:r>
        <w:rPr>
          <w:rFonts w:ascii="Times New Roman" w:hAnsi="Times New Roman"/>
          <w:color w:val="000000"/>
          <w:sz w:val="16"/>
        </w:rPr>
        <w:t>the registrant had 72,063,335</w:t>
      </w:r>
      <w:r>
        <w:rPr>
          <w:rFonts w:ascii="Times New Roman" w:hAnsi="Times New Roman"/>
          <w:color w:val="000000"/>
          <w:sz w:val="20"/>
        </w:rPr>
        <w:t xml:space="preserve"> </w:t>
      </w:r>
      <w:r>
        <w:rPr>
          <w:rFonts w:ascii="Times New Roman" w:hAnsi="Times New Roman"/>
          <w:color w:val="000000"/>
          <w:sz w:val="16"/>
        </w:rPr>
        <w:t>shares of common stock, $0.001 par value per share, outstanding, consisting solely of Class A common stock, $0.001 par value per share.</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9072" w:type="dxa"/>
        <w:jc w:val="left"/>
        <w:tblInd w:w="0" w:type="dxa"/>
        <w:tblLayout w:type="fixed"/>
        <w:tblCellMar>
          <w:top w:w="28" w:type="dxa"/>
          <w:left w:w="28" w:type="dxa"/>
          <w:bottom w:w="28" w:type="dxa"/>
          <w:right w:w="28" w:type="dxa"/>
        </w:tblCellMar>
      </w:tblPr>
      <w:tblGrid>
        <w:gridCol w:w="8221"/>
        <w:gridCol w:w="851"/>
      </w:tblGrid>
      <w:tr>
        <w:trPr/>
        <w:tc>
          <w:tcPr>
            <w:tcW w:w="822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8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pBdr>
                <w:bottom w:val="single" w:sz="6" w:space="1" w:color="000000"/>
              </w:pBdr>
              <w:bidi w:val="0"/>
              <w:spacing w:before="0" w:after="20"/>
              <w:jc w:val="center"/>
              <w:rPr>
                <w:rFonts w:ascii="Times New Roman" w:hAnsi="Times New Roman"/>
                <w:b/>
                <w:color w:val="000000"/>
                <w:sz w:val="16"/>
              </w:rPr>
            </w:pPr>
            <w:r>
              <w:rPr>
                <w:rFonts w:ascii="Times New Roman" w:hAnsi="Times New Roman"/>
                <w:b/>
                <w:color w:val="000000"/>
                <w:sz w:val="16"/>
              </w:rPr>
              <w:t>Number</w:t>
            </w:r>
          </w:p>
        </w:tc>
      </w:tr>
      <w:tr>
        <w:trPr/>
        <w:tc>
          <w:tcPr>
            <w:tcW w:w="8221" w:type="dxa"/>
            <w:tcBorders/>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tcMar>
              <w:top w:w="0" w:type="dxa"/>
              <w:left w:w="0" w:type="dxa"/>
              <w:bottom w:w="0" w:type="dxa"/>
              <w:right w:w="0" w:type="dxa"/>
            </w:tcMar>
            <w:vAlign w:val="center"/>
          </w:tcPr>
          <w:p>
            <w:pPr>
              <w:pStyle w:val="TableContents"/>
              <w:bidi w:val="0"/>
              <w:spacing w:before="0" w:after="20"/>
              <w:ind w:left="0" w:right="0" w:firstLine="240"/>
              <w:jc w:val="right"/>
              <w:rPr/>
            </w:pPr>
            <w:r>
              <w:rPr/>
              <w:t> </w:t>
            </w:r>
          </w:p>
        </w:tc>
      </w:tr>
      <w:tr>
        <w:trPr/>
        <w:tc>
          <w:tcPr>
            <w:tcW w:w="82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ummary_of_risks_with_our_business">
              <w:r>
                <w:rPr>
                  <w:rStyle w:val="InternetLink"/>
                  <w:rFonts w:ascii="Times New Roman" w:hAnsi="Times New Roman"/>
                  <w:b/>
                  <w:color w:val="0000FF"/>
                  <w:sz w:val="20"/>
                  <w:u w:val="single"/>
                </w:rPr>
                <w:t>SUMMARY OF RISKS ASSOCIATED WITH OUR BUSINESS</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color w:val="000000"/>
                <w:sz w:val="20"/>
              </w:rPr>
            </w:pPr>
            <w:r>
              <w:rPr>
                <w:rFonts w:ascii="Times New Roman" w:hAnsi="Times New Roman"/>
                <w:b/>
                <w:color w:val="000000"/>
                <w:sz w:val="20"/>
              </w:rPr>
              <w:t>2</w:t>
            </w:r>
          </w:p>
        </w:tc>
      </w:tr>
      <w:tr>
        <w:trPr/>
        <w:tc>
          <w:tcPr>
            <w:tcW w:w="8221" w:type="dxa"/>
            <w:tcBorders/>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tcMar>
              <w:top w:w="0" w:type="dxa"/>
              <w:left w:w="0" w:type="dxa"/>
              <w:bottom w:w="0" w:type="dxa"/>
              <w:right w:w="0" w:type="dxa"/>
            </w:tcMar>
            <w:vAlign w:val="center"/>
          </w:tcPr>
          <w:p>
            <w:pPr>
              <w:pStyle w:val="TableContents"/>
              <w:bidi w:val="0"/>
              <w:spacing w:before="0" w:after="20"/>
              <w:ind w:left="0" w:right="0" w:firstLine="240"/>
              <w:jc w:val="right"/>
              <w:rPr/>
            </w:pPr>
            <w:r>
              <w:rPr/>
              <w:t> </w:t>
            </w:r>
          </w:p>
        </w:tc>
      </w:tr>
      <w:tr>
        <w:trPr/>
        <w:tc>
          <w:tcPr>
            <w:tcW w:w="82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_financial_information">
              <w:r>
                <w:rPr>
                  <w:rStyle w:val="InternetLink"/>
                  <w:rFonts w:ascii="Times New Roman" w:hAnsi="Times New Roman"/>
                  <w:b/>
                  <w:color w:val="0000FF"/>
                  <w:sz w:val="20"/>
                  <w:u w:val="single"/>
                </w:rPr>
                <w:t>PART I. FINANCIAL INFORMATION</w:t>
              </w:r>
            </w:hyperlink>
            <w:hyperlink w:anchor="part_i_financial_information">
              <w:r>
                <w:rPr>
                  <w:rStyle w:val="InternetLink"/>
                  <w:rFonts w:ascii="Times New Roman" w:hAnsi="Times New Roman"/>
                  <w:color w:val="0000FF"/>
                  <w:sz w:val="20"/>
                </w:rPr>
                <w:t xml:space="preserve"> </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color w:val="000000"/>
                <w:sz w:val="20"/>
              </w:rPr>
            </w:pPr>
            <w:r>
              <w:rPr>
                <w:rFonts w:ascii="Times New Roman" w:hAnsi="Times New Roman"/>
                <w:b/>
                <w:color w:val="000000"/>
                <w:sz w:val="20"/>
              </w:rPr>
              <w:t>4</w:t>
            </w:r>
          </w:p>
        </w:tc>
      </w:tr>
      <w:tr>
        <w:trPr/>
        <w:tc>
          <w:tcPr>
            <w:tcW w:w="8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2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financial_statements">
              <w:r>
                <w:rPr>
                  <w:rStyle w:val="InternetLink"/>
                  <w:rFonts w:ascii="Times New Roman" w:hAnsi="Times New Roman"/>
                  <w:color w:val="0000FF"/>
                  <w:sz w:val="20"/>
                  <w:u w:val="single"/>
                </w:rPr>
                <w:t>Item 1. Unaudited Condensed Financial Statements</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8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82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balance_sheets">
              <w:r>
                <w:rPr>
                  <w:rStyle w:val="InternetLink"/>
                  <w:rFonts w:ascii="Times New Roman" w:hAnsi="Times New Roman"/>
                  <w:color w:val="0000FF"/>
                  <w:sz w:val="20"/>
                  <w:u w:val="single"/>
                </w:rPr>
                <w:t>Condensed Balance Sheets (unaudited)</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8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82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statements_of_operations">
              <w:r>
                <w:rPr>
                  <w:rStyle w:val="InternetLink"/>
                  <w:rFonts w:ascii="Times New Roman" w:hAnsi="Times New Roman"/>
                  <w:color w:val="0000FF"/>
                  <w:sz w:val="20"/>
                  <w:u w:val="single"/>
                </w:rPr>
                <w:t>Condensed Statements of Operations and Comprehensive Loss (unaudited)</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w:t>
            </w:r>
          </w:p>
        </w:tc>
      </w:tr>
      <w:tr>
        <w:trPr/>
        <w:tc>
          <w:tcPr>
            <w:tcW w:w="8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82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statement_stockholders_equity">
              <w:r>
                <w:rPr>
                  <w:rStyle w:val="InternetLink"/>
                  <w:rFonts w:ascii="Times New Roman" w:hAnsi="Times New Roman"/>
                  <w:color w:val="0000FF"/>
                  <w:sz w:val="20"/>
                  <w:u w:val="single"/>
                </w:rPr>
                <w:t>Condensed Statements of Stockholders’ Equity</w:t>
              </w:r>
            </w:hyperlink>
            <w:hyperlink w:anchor="condensed_statement_stockholders_equity">
              <w:r>
                <w:rPr>
                  <w:rStyle w:val="InternetLink"/>
                  <w:rFonts w:ascii="Times New Roman" w:hAnsi="Times New Roman"/>
                  <w:color w:val="0000FF"/>
                  <w:sz w:val="24"/>
                  <w:u w:val="single"/>
                </w:rPr>
                <w:t xml:space="preserve"> </w:t>
              </w:r>
            </w:hyperlink>
            <w:hyperlink w:anchor="condensed_statement_stockholders_equity">
              <w:r>
                <w:rPr>
                  <w:rStyle w:val="InternetLink"/>
                  <w:rFonts w:ascii="Times New Roman" w:hAnsi="Times New Roman"/>
                  <w:color w:val="0000FF"/>
                  <w:sz w:val="20"/>
                  <w:u w:val="single"/>
                </w:rPr>
                <w:t>(unaudited)</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w:t>
            </w:r>
          </w:p>
        </w:tc>
      </w:tr>
      <w:tr>
        <w:trPr/>
        <w:tc>
          <w:tcPr>
            <w:tcW w:w="8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82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statements_of_cash_flows">
              <w:r>
                <w:rPr>
                  <w:rStyle w:val="InternetLink"/>
                  <w:rFonts w:ascii="Times New Roman" w:hAnsi="Times New Roman"/>
                  <w:color w:val="0000FF"/>
                  <w:sz w:val="20"/>
                  <w:u w:val="single"/>
                </w:rPr>
                <w:t>Condensed Statements of Cash Flows (unaudited)</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w:t>
            </w:r>
          </w:p>
        </w:tc>
      </w:tr>
      <w:tr>
        <w:trPr/>
        <w:tc>
          <w:tcPr>
            <w:tcW w:w="8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82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notes_to_unaudited_condensed_financial">
              <w:r>
                <w:rPr>
                  <w:rStyle w:val="InternetLink"/>
                  <w:rFonts w:ascii="Times New Roman" w:hAnsi="Times New Roman"/>
                  <w:color w:val="0000FF"/>
                  <w:sz w:val="20"/>
                  <w:u w:val="single"/>
                </w:rPr>
                <w:t>Notes to Unaudited Condensed Financial Statements</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w:t>
            </w:r>
          </w:p>
        </w:tc>
      </w:tr>
      <w:tr>
        <w:trPr/>
        <w:tc>
          <w:tcPr>
            <w:tcW w:w="8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2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managements_discussion">
              <w:r>
                <w:rPr>
                  <w:rStyle w:val="InternetLink"/>
                  <w:rFonts w:ascii="Times New Roman" w:hAnsi="Times New Roman"/>
                  <w:color w:val="0000FF"/>
                  <w:sz w:val="20"/>
                  <w:u w:val="single"/>
                </w:rPr>
                <w:t>Item 2. Management’s Discussion and Analysis of Financial Condition and Results of Operations</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18</w:t>
            </w:r>
          </w:p>
        </w:tc>
      </w:tr>
      <w:tr>
        <w:trPr/>
        <w:tc>
          <w:tcPr>
            <w:tcW w:w="8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2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quantitative_and_qualitative">
              <w:r>
                <w:rPr>
                  <w:rStyle w:val="InternetLink"/>
                  <w:rFonts w:ascii="Times New Roman" w:hAnsi="Times New Roman"/>
                  <w:color w:val="0000FF"/>
                  <w:sz w:val="20"/>
                  <w:u w:val="single"/>
                </w:rPr>
                <w:t>Item 3. Quantitative and Qualitative Disclosures About Market Risk</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26</w:t>
            </w:r>
          </w:p>
        </w:tc>
      </w:tr>
      <w:tr>
        <w:trPr/>
        <w:tc>
          <w:tcPr>
            <w:tcW w:w="8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2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controls_and_procedures">
              <w:r>
                <w:rPr>
                  <w:rStyle w:val="InternetLink"/>
                  <w:rFonts w:ascii="Times New Roman" w:hAnsi="Times New Roman"/>
                  <w:color w:val="0000FF"/>
                  <w:sz w:val="20"/>
                  <w:u w:val="single"/>
                </w:rPr>
                <w:t>Item 4. Controls and Procedures</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26</w:t>
            </w:r>
          </w:p>
        </w:tc>
      </w:tr>
      <w:tr>
        <w:trPr/>
        <w:tc>
          <w:tcPr>
            <w:tcW w:w="8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2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i_other_information">
              <w:r>
                <w:rPr>
                  <w:rStyle w:val="InternetLink"/>
                  <w:rFonts w:ascii="Times New Roman" w:hAnsi="Times New Roman"/>
                  <w:b/>
                  <w:color w:val="0000FF"/>
                  <w:sz w:val="20"/>
                  <w:u w:val="single"/>
                </w:rPr>
                <w:t>PART II. OTHER INFORMATION</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color w:val="000000"/>
                <w:sz w:val="20"/>
              </w:rPr>
            </w:pPr>
            <w:r>
              <w:rPr>
                <w:rFonts w:ascii="Times New Roman" w:hAnsi="Times New Roman"/>
                <w:b/>
                <w:color w:val="000000"/>
                <w:sz w:val="20"/>
              </w:rPr>
              <w:t>28</w:t>
            </w:r>
          </w:p>
        </w:tc>
      </w:tr>
      <w:tr>
        <w:trPr/>
        <w:tc>
          <w:tcPr>
            <w:tcW w:w="8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2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legal_proceedings">
              <w:r>
                <w:rPr>
                  <w:rStyle w:val="InternetLink"/>
                  <w:rFonts w:ascii="Times New Roman" w:hAnsi="Times New Roman"/>
                  <w:color w:val="0000FF"/>
                  <w:sz w:val="20"/>
                  <w:u w:val="single"/>
                </w:rPr>
                <w:t>Item 1. Legal Proceedings</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28</w:t>
            </w:r>
          </w:p>
        </w:tc>
      </w:tr>
      <w:tr>
        <w:trPr/>
        <w:tc>
          <w:tcPr>
            <w:tcW w:w="8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2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a_risk_factors">
              <w:r>
                <w:rPr>
                  <w:rStyle w:val="InternetLink"/>
                  <w:rFonts w:ascii="Times New Roman" w:hAnsi="Times New Roman"/>
                  <w:color w:val="0000FF"/>
                  <w:sz w:val="20"/>
                  <w:u w:val="single"/>
                </w:rPr>
                <w:t>Item 1A. Risk Factors</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28</w:t>
            </w:r>
          </w:p>
        </w:tc>
      </w:tr>
      <w:tr>
        <w:trPr/>
        <w:tc>
          <w:tcPr>
            <w:tcW w:w="8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2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unregistered_sales_of_equity">
              <w:r>
                <w:rPr>
                  <w:rStyle w:val="InternetLink"/>
                  <w:rFonts w:ascii="Times New Roman" w:hAnsi="Times New Roman"/>
                  <w:color w:val="0000FF"/>
                  <w:sz w:val="20"/>
                  <w:u w:val="single"/>
                </w:rPr>
                <w:t>Item 2. Unregistered Sales of Equity Securities and Use of Proceeds</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80</w:t>
            </w:r>
          </w:p>
        </w:tc>
      </w:tr>
      <w:tr>
        <w:trPr/>
        <w:tc>
          <w:tcPr>
            <w:tcW w:w="8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2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80</w:t>
            </w:r>
          </w:p>
        </w:tc>
      </w:tr>
      <w:tr>
        <w:trPr/>
        <w:tc>
          <w:tcPr>
            <w:tcW w:w="8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2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mine_safety_disclosures">
              <w:r>
                <w:rPr>
                  <w:rStyle w:val="InternetLink"/>
                  <w:rFonts w:ascii="Times New Roman" w:hAnsi="Times New Roman"/>
                  <w:color w:val="0000FF"/>
                  <w:sz w:val="20"/>
                  <w:u w:val="single"/>
                </w:rPr>
                <w:t>Item 4. Mine Safety Disclosures</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80</w:t>
            </w:r>
          </w:p>
        </w:tc>
      </w:tr>
      <w:tr>
        <w:trPr/>
        <w:tc>
          <w:tcPr>
            <w:tcW w:w="8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2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5_other_information">
              <w:r>
                <w:rPr>
                  <w:rStyle w:val="InternetLink"/>
                  <w:rFonts w:ascii="Times New Roman" w:hAnsi="Times New Roman"/>
                  <w:color w:val="0000FF"/>
                  <w:sz w:val="20"/>
                  <w:u w:val="single"/>
                </w:rPr>
                <w:t>Item 5. Other Information</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80</w:t>
            </w:r>
          </w:p>
        </w:tc>
      </w:tr>
      <w:tr>
        <w:trPr/>
        <w:tc>
          <w:tcPr>
            <w:tcW w:w="8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2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6_exhibits">
              <w:r>
                <w:rPr>
                  <w:rStyle w:val="InternetLink"/>
                  <w:rFonts w:ascii="Times New Roman" w:hAnsi="Times New Roman"/>
                  <w:color w:val="0000FF"/>
                  <w:sz w:val="20"/>
                  <w:u w:val="single"/>
                </w:rPr>
                <w:t>Item 6. Exhibits</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81</w:t>
            </w:r>
          </w:p>
        </w:tc>
      </w:tr>
      <w:tr>
        <w:trPr/>
        <w:tc>
          <w:tcPr>
            <w:tcW w:w="8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2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Times New Roman" w:hAnsi="Times New Roman"/>
                  <w:b/>
                  <w:color w:val="0000FF"/>
                  <w:sz w:val="20"/>
                  <w:u w:val="single"/>
                </w:rPr>
                <w:t>SIGNATURES</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color w:val="000000"/>
                <w:sz w:val="20"/>
              </w:rPr>
            </w:pPr>
            <w:r>
              <w:rPr>
                <w:rFonts w:ascii="Times New Roman" w:hAnsi="Times New Roman"/>
                <w:b/>
                <w:color w:val="000000"/>
                <w:sz w:val="20"/>
              </w:rPr>
              <w:t>82</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this Quarterly Report on Form 10-Q, unless otherwise stated or as the context otherwise requires, references to “Vera,” “the Company,” “we,” “us,” “our” and similar references refer to Vera Therapeutics, Inc. In addition, references to “common stock” refer to our Class A common stock, unless otherwise stated or as the context otherwise requires.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Quarterly Report on Form 10-Q also contains registered marks, trademarks and trade names of other companies. All other trademarks, registered marks and trade names appearing in this report are the property of their respective holders. We do not intend our use or display of other companies’ trade names, trademarks or service marks to imply a relationship with, or endorsement or sponsorship of us by, these other companies. </w:t>
      </w:r>
    </w:p>
    <w:p>
      <w:pPr>
        <w:pStyle w:val="TextBody"/>
        <w:bidi w:val="0"/>
        <w:spacing w:before="240" w:after="283"/>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summary_of_risks_with_our_business"/>
      <w:bookmarkEnd w:id="2"/>
      <w:r>
        <w:rPr>
          <w:rFonts w:ascii="Times New Roman" w:hAnsi="Times New Roman"/>
          <w:b/>
          <w:color w:val="000000"/>
          <w:sz w:val="20"/>
        </w:rPr>
        <w:t>SUMMARY OF RISKS ASSOCIATED WITH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investment in shares of our common stock involves a high degree of risk. Below is a list of some of the material risks associated with our business. This summary does not address all of the risks that we face. Additional discussion of the risks listed in this summary, as well as other risks that we face, is set forth under Part II, Item 1A, “Risk Factors” in this Quarterly Report on Form 10-Q:</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We have completed a limited number of clinical trials for our lead product, TRUTAKNA</w:t>
      </w:r>
      <w:r>
        <w:rPr>
          <w:rFonts w:ascii="Times New Roman" w:hAnsi="Times New Roman"/>
          <w:color w:val="000000"/>
          <w:sz w:val="13"/>
        </w:rPr>
        <w:t>TM</w:t>
      </w:r>
      <w:r>
        <w:rPr>
          <w:rFonts w:ascii="Times New Roman" w:hAnsi="Times New Roman"/>
          <w:color w:val="000000"/>
          <w:sz w:val="20"/>
        </w:rPr>
        <w:t>, which received accelerated approval for commercial sale in the United States in July 2026, and it may be difficult to evaluate our current business and predict our future success and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of our product candidates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since inception, and expect to record limited revenue from product sales during the third quarter of 2026. We expect to continue to incur net losses at least until we have one or more approved products that achieve commercial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our loan agreement place restrictions on our operating and financial flexibility. If we raise additional capital through debt financing, the terms of any new debt could further restrict our ability to operate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TRUTAKNA is our only FDA-approved product and the success of our business depends, in part, on its successful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successfully commercialized a product before and may lack the necessary expertise, personnel and resources to successfully commercialize any product on our own or together with potential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TRUTAKNA may fail to achieve the broad degree of physician and patient adoption and use necessary for commercial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in part, on the success of our product candidates. If we are unable to complete development of, obtain regulatory approval for and successfully commercialize our product candidates in one or more indications and in a timely manner, our business, financial condition, results of operations and prospects will be significantly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Enrollment and retention of participants in clinical trials is an expensive and time-consuming process and could be made more difficult or rendered impossible by multiple factors outside our control, due in part to the availability of competitive products and significant competition for recruiting participants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incidence and prevalence for target patient populations of our product candidates in specific indications are based on estimates and third-party sources. If the market opportunities for our product candidates, if and when approved, are smaller than we estimate or if any approval that we obtain is based on a narrower definition of the patient population, our revenue and ability to achieve profitability might be materially and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initial, “top-line” and preliminary data from our clinical trials that we announce or publish from time to time may change as more participant data become available and are subject to audit and verification procedures that could result in material changes in the final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which may result in others discovering, developing or commercializing products before or more successfully than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methods of manufacturing or formulation of our product candidates may result in additional costs or delays.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lead product is subject to continued regulatory oversight and failure to comply with applicable regulatory requirements could have a material adverse impact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government agencies caused by funding shortages, staffing limitations, or policy changes could hinder their ability to hire, retain or deploy key leadership and other personnel, and prevent new or modified products from being developed, reviewed, approved or commercialized in a timely manner or at all, which could negatively impact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Biosimilars may provide competition sooner than anticipated.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geopolitical and global economic conditions, including tariffs and trade tensions, could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is highly dependent on our ability to attract and retain highly skilled executive officers, employees and key consultants.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on our ability to protect our intellectual property and our proprietary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breach our license agreement (Ares Agreement) with Ares Trading S.A. (Ares), an affiliate of Merck KGaA (Merck), Darmstadt, Germany, related to atacicept, the license agreement (Novartis Agreement) with Novartis International Pharmaceutical AG (Novartis) related to MAU868, or the license agreement (Stanford Agreement) with the Board of Trustees of Leland Stanford Junior University (Stanford) related to VT-109, we could lose the ability to continue the development and commercialization of atacicept, MAU868, or VT-109,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make significant payments under our license agreements related to our lead product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terms may be inadequate to protect our competitive position on our lead product or product candidates for an adequate amount of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expect to continue to rely, on third parties, including independent clinical investigators and contract research organizations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our product candidates and our business, financial condition, results of operations and prospects could be significantly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manufacture of drugs is complex and our third-party manufacturers may encounter difficulties in production. If any of our third-party manufacturers encounter such difficulties, our ability to provide adequate supply of our product candidates for clinical trials or our lead product for patients could be delayed or prevented.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of our common stock may be volatile, and you could lose all or part of your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material weaknesses in internal control over financial reporting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securities litigation, which is expensive and could divert management attention.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3" w:name="part_i_financial_information"/>
      <w:bookmarkEnd w:id="3"/>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4" w:name="item_1_financial_statements"/>
      <w:bookmarkEnd w:id="4"/>
      <w:r>
        <w:rPr>
          <w:rFonts w:ascii="Times New Roman" w:hAnsi="Times New Roman"/>
          <w:b/>
          <w:color w:val="000000"/>
          <w:sz w:val="20"/>
        </w:rPr>
        <w:t>Item 1. Unaudited Condensed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VERA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balance_sheets"/>
      <w:bookmarkEnd w:id="5"/>
      <w:r>
        <w:rPr>
          <w:rFonts w:ascii="Times New Roman" w:hAnsi="Times New Roman"/>
          <w:b/>
          <w:color w:val="000000"/>
          <w:sz w:val="20"/>
        </w:rPr>
        <w:t>Condensed</w:t>
      </w:r>
      <w:r>
        <w:rPr>
          <w:rFonts w:ascii="Times New Roman" w:hAnsi="Times New Roman"/>
          <w:color w:val="000000"/>
          <w:sz w:val="20"/>
        </w:rPr>
        <w:t xml:space="preserve"> </w:t>
      </w:r>
      <w:r>
        <w:rPr>
          <w:rFonts w:ascii="Times New Roman" w:hAnsi="Times New Roman"/>
          <w:b/>
          <w:color w:val="000000"/>
          <w:sz w:val="20"/>
        </w:rPr>
        <w:t>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057" w:type="dxa"/>
        <w:jc w:val="left"/>
        <w:tblInd w:w="0" w:type="dxa"/>
        <w:tblLayout w:type="fixed"/>
        <w:tblCellMar>
          <w:top w:w="28" w:type="dxa"/>
          <w:left w:w="28" w:type="dxa"/>
          <w:bottom w:w="28" w:type="dxa"/>
          <w:right w:w="28" w:type="dxa"/>
        </w:tblCellMar>
      </w:tblPr>
      <w:tblGrid>
        <w:gridCol w:w="5586"/>
        <w:gridCol w:w="146"/>
        <w:gridCol w:w="211"/>
        <w:gridCol w:w="931"/>
        <w:gridCol w:w="166"/>
        <w:gridCol w:w="146"/>
        <w:gridCol w:w="232"/>
        <w:gridCol w:w="1028"/>
        <w:gridCol w:w="611"/>
      </w:tblGrid>
      <w:tr>
        <w:trPr/>
        <w:tc>
          <w:tcPr>
            <w:tcW w:w="5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728,883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734,733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53,455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$0.001 par value; 500,000,000 shares</w:t>
              <w:br/>
              <w:t>  authorized as of June 30, 2026 and December 31, 2025;</w:t>
              <w:br/>
              <w:t xml:space="preserve">  71,955,885 and 71,267,429 shares issued and outstanding as of </w:t>
              <w:br/>
              <w: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1,364,529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(760,865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734,733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VERA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statements_of_operations"/>
      <w:bookmarkEnd w:id="6"/>
      <w:r>
        <w:rPr>
          <w:rFonts w:ascii="Times New Roman" w:hAnsi="Times New Roman"/>
          <w:b/>
          <w:color w:val="000000"/>
          <w:sz w:val="20"/>
        </w:rPr>
        <w:t>Condensed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24"/>
        <w:gridCol w:w="546"/>
        <w:gridCol w:w="211"/>
        <w:gridCol w:w="1036"/>
        <w:gridCol w:w="166"/>
        <w:gridCol w:w="146"/>
        <w:gridCol w:w="211"/>
        <w:gridCol w:w="1036"/>
        <w:gridCol w:w="166"/>
        <w:gridCol w:w="146"/>
        <w:gridCol w:w="211"/>
        <w:gridCol w:w="1036"/>
        <w:gridCol w:w="166"/>
        <w:gridCol w:w="146"/>
        <w:gridCol w:w="211"/>
        <w:gridCol w:w="1036"/>
        <w:gridCol w:w="611"/>
      </w:tblGrid>
      <w:tr>
        <w:trPr/>
        <w:tc>
          <w:tcPr>
            <w:tcW w:w="312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137,335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(137,335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(128,225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unrealized gains and losses on marketable securities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(128,091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 attributable to common stockholders,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71,838,008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63,789,303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71,658,300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63,730,756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VERA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statement_stockholders_equity"/>
      <w:bookmarkEnd w:id="7"/>
      <w:r>
        <w:rPr>
          <w:rFonts w:ascii="Times New Roman" w:hAnsi="Times New Roman"/>
          <w:b/>
          <w:color w:val="000000"/>
          <w:sz w:val="20"/>
        </w:rPr>
        <w:t>Condensed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31"/>
        <w:gridCol w:w="146"/>
        <w:gridCol w:w="146"/>
        <w:gridCol w:w="916"/>
        <w:gridCol w:w="146"/>
        <w:gridCol w:w="146"/>
        <w:gridCol w:w="249"/>
        <w:gridCol w:w="442"/>
        <w:gridCol w:w="146"/>
        <w:gridCol w:w="146"/>
        <w:gridCol w:w="196"/>
        <w:gridCol w:w="826"/>
        <w:gridCol w:w="146"/>
        <w:gridCol w:w="146"/>
        <w:gridCol w:w="477"/>
        <w:gridCol w:w="1063"/>
        <w:gridCol w:w="166"/>
        <w:gridCol w:w="146"/>
        <w:gridCol w:w="217"/>
        <w:gridCol w:w="834"/>
        <w:gridCol w:w="166"/>
        <w:gridCol w:w="146"/>
        <w:gridCol w:w="216"/>
        <w:gridCol w:w="832"/>
        <w:gridCol w:w="214"/>
      </w:tblGrid>
      <w:tr>
        <w:trPr/>
        <w:tc>
          <w:tcPr>
            <w:tcW w:w="1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71,267,429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1,364,529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(760,865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604,521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exercise 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unrealized gains and losses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(121,032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71,730,090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1,381,678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(881,897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499,697</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exercise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15,863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unrealized gains and losses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(109,473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71,955,885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1,399,459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(991,370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407,758</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31"/>
        <w:gridCol w:w="146"/>
        <w:gridCol w:w="146"/>
        <w:gridCol w:w="916"/>
        <w:gridCol w:w="146"/>
        <w:gridCol w:w="146"/>
        <w:gridCol w:w="249"/>
        <w:gridCol w:w="442"/>
        <w:gridCol w:w="146"/>
        <w:gridCol w:w="146"/>
        <w:gridCol w:w="196"/>
        <w:gridCol w:w="826"/>
        <w:gridCol w:w="146"/>
        <w:gridCol w:w="146"/>
        <w:gridCol w:w="477"/>
        <w:gridCol w:w="1063"/>
        <w:gridCol w:w="166"/>
        <w:gridCol w:w="146"/>
        <w:gridCol w:w="217"/>
        <w:gridCol w:w="834"/>
        <w:gridCol w:w="166"/>
        <w:gridCol w:w="146"/>
        <w:gridCol w:w="230"/>
        <w:gridCol w:w="818"/>
        <w:gridCol w:w="214"/>
      </w:tblGrid>
      <w:tr>
        <w:trPr/>
        <w:tc>
          <w:tcPr>
            <w:tcW w:w="1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63,559,858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1,037,948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(461,250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577,155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exercise 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unrealized gains and losses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(51,694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63,774,158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1,047,225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(512,944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534,999</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exercise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unrealized gains and losses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(76,531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63,823,665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1,057,161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(589,475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468,277</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VERA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densed_statements_of_cash_flows"/>
      <w:bookmarkEnd w:id="8"/>
      <w:r>
        <w:rPr>
          <w:rFonts w:ascii="Times New Roman" w:hAnsi="Times New Roman"/>
          <w:b/>
          <w:color w:val="000000"/>
          <w:sz w:val="20"/>
        </w:rPr>
        <w:t>Condensed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832"/>
        <w:gridCol w:w="146"/>
        <w:gridCol w:w="211"/>
        <w:gridCol w:w="841"/>
        <w:gridCol w:w="166"/>
        <w:gridCol w:w="146"/>
        <w:gridCol w:w="211"/>
        <w:gridCol w:w="841"/>
        <w:gridCol w:w="811"/>
      </w:tblGrid>
      <w:tr>
        <w:trPr/>
        <w:tc>
          <w:tcPr>
            <w:tcW w:w="6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(128,225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discount and amortization of premium on purchase of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loan exit fee and amortization of loan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Reduction in the carrying amount of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Upfront and milestone obligations under license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(109,204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Upfront and milestone payments under license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internal use software license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(187,251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232,307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 and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refinancing under loan and security agreement,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deferred issuance costs related to unfunded loan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92,646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49,121</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Internal-use software license acquired through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are an integral part of these unaudited condensed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VERA THERAPEUTICS, INC.</w:t>
      </w:r>
    </w:p>
    <w:p>
      <w:pPr>
        <w:pStyle w:val="TextBody"/>
        <w:bidi w:val="0"/>
        <w:jc w:val="center"/>
        <w:rPr>
          <w:rFonts w:ascii="Times New Roman" w:hAnsi="Times New Roman"/>
          <w:b/>
          <w:color w:val="000000"/>
          <w:sz w:val="20"/>
        </w:rPr>
      </w:pPr>
      <w:bookmarkStart w:id="9" w:name="notes_to_unaudited_condensed_financial"/>
      <w:bookmarkEnd w:id="9"/>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DESCRIPTION OF THE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Vera Therapeutics, Inc. (the Company) is a commercial-stage biotechnology company focused on developing and commercializing treatments for patients with serious immunological diseases. The Company was incorporated in May 2016 in Delaware. The Company’s headquarters are in Brisbane, California. The Company operates in one segment, Therapeutics, focused on developing and commercializing transformative treatments for patients with serious immunological diseases. On July 7, 2026, the U.S. Food and Drug Administration (FDA) granted accelerated approval to TRUTAKNA</w:t>
      </w:r>
      <w:r>
        <w:rPr>
          <w:rFonts w:ascii="Times New Roman" w:hAnsi="Times New Roman"/>
          <w:color w:val="000000"/>
          <w:sz w:val="13"/>
        </w:rPr>
        <w:t>TM</w:t>
      </w:r>
      <w:r>
        <w:rPr>
          <w:rFonts w:ascii="Times New Roman" w:hAnsi="Times New Roman"/>
          <w:color w:val="000000"/>
          <w:sz w:val="20"/>
        </w:rPr>
        <w:t xml:space="preserve"> (atacicept-vymj) to reduce proteinuria in adults with primary immunoglobulin A nephropathy (IgAN) at risk for disease progression.</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the Company has devoted substantially all of its resources to its research and development efforts, pre-clinical studies and clinical trials, building a sales, marketing and distribution infrastructure to support commercial launch activities, establishing and maintaining its intellectual property portfolio, hiring personnel, raising capital, and providing general and administrative support for these operations. The Company has incurred recurring net operating losses and has not generated positive cash flows from operations since its inception and had an accumulated deficit of $991.4 million as of June 30, 2026. The Company had cash, cash equivalents and marketable securities of $499.2 million as of June 30, 2026. The Company has funded its operations primarily through the issuance of common stock, redeemable convertible preferred stock, debt financing and convertible notes. Management expects to continue to incur losses and negative cash flows from operations in the near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believes that the Company’s cash, cash equivalents and marketable securities as of June 30, 2026 will be sufficient to fund its planned operations and capital expenditure requirements for at least the next 12 months subsequent to the issuance date of these financial statements. The Company intends to raise additional capital through public or private equity offerings, debt financing, or other capital sources, which may include strategic collaborations or other arrangements with third parties in order to achieve its long-term business objectives. If the Company fails to obtain necessary capital when needed on acceptable terms, or at all, it could force the Company to delay, limit, reduce or terminate its product development programs, commercialization efforts or other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2. BASIS OF PRESENTATION AND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financial statements have been prepared in conformity with accounting principles generally accepted in the United States of America (GAAP) and applicable rules and regulations of the Securities and Exchange Commission (SEC) regarding interim financial reporting. The U.S. dollar is the Company’s functional and reporting currency.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Unaudited Condensed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opinion of management, the unaudited condensed financial statements reflect all adjustments of a normal recurring nature that are necessary for a fair presentation of the results for the periods presented. Interim results are not necessarily indicative of results for a full year or any other period. The information included in this Form 10-Q should be read in conjunction with the audited financial statements and related notes in the Company’s Annual Report on Form 10-K for the year ended December 31, 2025, filed with the SEC on February 26,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Company’s financial statements requires management to make estimates and assumptions that affect the reported amounts of assets and liabilities and disclosure of contingent assets and liabilities at the date of the unaudited condensed financial statements and the reported amounts of expenses during the reporting period. Management estimates that affect the reported amounts of assets and liabilities include the accrual of research and development expenses, valuation of equity awards for stock-based compensation, determination of incremental borrowing rate for operating leases, the valuation allowance for deferred tax assets and fair value of marketable securities. The Company evaluates and adjusts its estimates and assumptions on an ongoing basis using historical experience and other factors. Actual results could differ from those estimates.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Reclassifications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prior period amounts have been reclassified to conform to the current period presentation, with no impact on previously reported net income or total assets.</w:t>
      </w:r>
    </w:p>
    <w:p>
      <w:pPr>
        <w:pStyle w:val="TextBody"/>
        <w:bidi w:val="0"/>
        <w:spacing w:before="240" w:after="283"/>
        <w:jc w:val="left"/>
        <w:rPr>
          <w:rFonts w:ascii="Times New Roman" w:hAnsi="Times New Roman"/>
          <w:sz w:val="20"/>
        </w:rPr>
      </w:pPr>
      <w:r>
        <w:rPr>
          <w:rFonts w:ascii="Times New Roman" w:hAnsi="Times New Roman"/>
          <w:b/>
          <w:color w:val="000000"/>
          <w:sz w:val="20"/>
        </w:rPr>
        <w:t>Concentrations of Credit Risk and Other 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significant concentrations of credit risk consist primarily of cash, cash equivalents and marketable securities. The Company maintains bank deposits in federally insured financial institutions and these deposits may exceed federally insured limits. The Company is exposed to credit risk in the event of default by any of the financial institutions holding its cash, cash equivalents, and marketable securities to the extent recorded in the balance sheet. The Company has not experienced any losses to date related to these concentrations.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 acceptance of the Company’s lead product or product candidates, competition from substitute products and larger companies, securing and protecting proprietary technology, strategic relationships and dependence on key individuals or sole-source suppliers. The Company relies on single-source suppliers for some components of its supply chain. If any of the single source suppliers fails to satisfy the Company’s requirements on a timely basis, it could suffer delays in its clinical development programs and commercial launch activities, which could adversely affect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TRUTAKNA is the Company’s only FDA-approved product and the success of its business depends, in part, on successful commercialization. In addition, the Company’s product candidates require approvals from the U.S. Food and Drug Administration and comparable foreign regulatory authorities prior to commercial sales in their respective jurisdictions. There can be no assurance that any product candidates will receive the necessary approvals. If the Company was denied approval, approval was delayed, or the Company was unable to maintain approval for any approved product, it could have a materially adverse impact on the Company.</w:t>
      </w:r>
    </w:p>
    <w:p>
      <w:pPr>
        <w:pStyle w:val="TextBody"/>
        <w:bidi w:val="0"/>
        <w:spacing w:before="240" w:after="283"/>
        <w:jc w:val="left"/>
        <w:rPr>
          <w:rFonts w:ascii="Times New Roman" w:hAnsi="Times New Roman"/>
          <w:sz w:val="20"/>
        </w:rPr>
      </w:pPr>
      <w:r>
        <w:rPr>
          <w:rFonts w:ascii="Times New Roman" w:hAnsi="Times New Roman"/>
          <w:b/>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the Company’s significant accounting policies disclosed in the Company’s Annual Report on Form 10-K for the year ended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the FASB issued ASU 2025-05, Financial Instruments—Credit Losses (Topic 326): Measurement of Credit Losses for Accounts Receivable and Contract Assets. This update will provide all entities with a practical expedient in developing reasonable and supportable forecasts as part of estimating expected credit losses by assuming that current conditions as of the balance sheet date do not change for the remaining life of the asset. The ASU is effective for annual reporting periods beginning after December 15, 2025, and interim reporting periods within those annual reporting periods. The Company adopted this standard on January 1, 2026, and it did not have a material impact on the Company’s condensed financial statements or related disclosures.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Pronouncements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Disaggregation of Income Statement Expenses. This update will improve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(such as cost of sales, selling, general, and administrative expenses, and research and development). The ASU is effective for annual reporting periods beginning after December 15, 2026, and interim reporting periods beginning after December 15, 2027, with early adoption permitted. The Company will adopt the standard as of and for the year ending December 31, 2027 and for the interim reporting periods within the year ending December 31, 2028. This ASU will result in the required additional disclosures being included in the Company’s financial statements upon adoption.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FASB issued ASU 2025-06, Intangibles—Goodwill and Other—Internal-Use Software (Subtopic 350-40): Targeted Improvements to the Accounting for Internal-Use Software. This update will introduce changes to the timing of software cost capitalization based on likelihood of completion for all entities subject to the internal-use software guidance in Subtopic 350-40 and the guidance on website development costs in Subtopic 350-50. The ASU will be effective for annual reporting periods beginning after December 15, 2027, and interim reporting periods within those annual reporting periods, with early adoption permitted as of the beginning of an annual reporting period. The Company is currently evaluating the timing of adoption and the impact of adoption on its financial statements and related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2025, the FASB issued ASU 2025-11, Interim Reporting (Topic 270): Narrow Scope Improvements. This update will improve the navigability of required interim disclosures and clarify when that guidance is applicable, and will require entities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 events since the end of the last annual reporting period that have a material impact on the entity. The ASU is effective for interim periods within annual reporting periods beginning after December 15, 2027, with early adoption permitted. The Company will adopt the standard for the interim periods within the year ending December 31, 2028. The Company is currently evaluating the impact of the adoption on its financial statements and related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FASB issued ASU 2025-12, Codification Improvements. This update will make a number of amendments to the Accounting Standards Codification and improvements to GAAP arising from technical corrections, unintended application of the Codification, clarifications, and other minor improvements. The ASU is effective for annual reporting periods beginning after December 15, 2026, and interim reporting periods within those annual reporting periods, with early adoption permitted in both interim and annual reporting periods for which financial statements have not yet been issued or made available for issuance. Entities may elect to early adopt the amendments on an issue-by-issue basis. The Company is currently evaluating the timing of adoption and the impact of adoption on its financial statements and related disclosures.</w:t>
      </w:r>
    </w:p>
    <w:p>
      <w:pPr>
        <w:pStyle w:val="TextBody"/>
        <w:bidi w:val="0"/>
        <w:spacing w:before="360" w:after="283"/>
        <w:jc w:val="left"/>
        <w:rPr>
          <w:rFonts w:ascii="Times New Roman" w:hAnsi="Times New Roman"/>
          <w:sz w:val="20"/>
        </w:rPr>
      </w:pPr>
      <w:r>
        <w:rPr>
          <w:rFonts w:ascii="Times New Roman" w:hAnsi="Times New Roman"/>
          <w:b/>
          <w:color w:val="000000"/>
          <w:sz w:val="20"/>
        </w:rPr>
        <w:t>3. OTHER FINANCIAL STATEMENT INFORMATION</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color w:val="000000"/>
          <w:sz w:val="20"/>
        </w:rPr>
        <w:t>Prepaid Expenses and Other 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Prepaid expenses and other current assets consist of the following (</w:t>
      </w: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6542" w:type="dxa"/>
        <w:jc w:val="left"/>
        <w:tblInd w:w="0" w:type="dxa"/>
        <w:tblLayout w:type="fixed"/>
        <w:tblCellMar>
          <w:top w:w="28" w:type="dxa"/>
          <w:left w:w="28" w:type="dxa"/>
          <w:bottom w:w="28" w:type="dxa"/>
          <w:right w:w="28" w:type="dxa"/>
        </w:tblCellMar>
      </w:tblPr>
      <w:tblGrid>
        <w:gridCol w:w="3931"/>
        <w:gridCol w:w="146"/>
        <w:gridCol w:w="211"/>
        <w:gridCol w:w="676"/>
        <w:gridCol w:w="146"/>
        <w:gridCol w:w="146"/>
        <w:gridCol w:w="260"/>
        <w:gridCol w:w="835"/>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drug manufacturing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clinical trial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commercial planning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software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medical affairs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Other Noncurrent Assets</w:t>
      </w:r>
    </w:p>
    <w:p>
      <w:pPr>
        <w:pStyle w:val="TextBody"/>
        <w:bidi w:val="0"/>
        <w:spacing w:before="120" w:after="283"/>
        <w:jc w:val="left"/>
        <w:rPr>
          <w:rFonts w:ascii="Times New Roman" w:hAnsi="Times New Roman"/>
          <w:sz w:val="20"/>
        </w:rPr>
      </w:pPr>
      <w:r>
        <w:rPr>
          <w:rFonts w:ascii="Times New Roman" w:hAnsi="Times New Roman"/>
          <w:color w:val="000000"/>
          <w:sz w:val="20"/>
        </w:rPr>
        <w:t>Other noncurrent assets consist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5387" w:type="dxa"/>
        <w:jc w:val="left"/>
        <w:tblInd w:w="0" w:type="dxa"/>
        <w:tblLayout w:type="fixed"/>
        <w:tblCellMar>
          <w:top w:w="28" w:type="dxa"/>
          <w:left w:w="28" w:type="dxa"/>
          <w:bottom w:w="28" w:type="dxa"/>
          <w:right w:w="28" w:type="dxa"/>
        </w:tblCellMar>
      </w:tblPr>
      <w:tblGrid>
        <w:gridCol w:w="2881"/>
        <w:gridCol w:w="146"/>
        <w:gridCol w:w="211"/>
        <w:gridCol w:w="571"/>
        <w:gridCol w:w="146"/>
        <w:gridCol w:w="146"/>
        <w:gridCol w:w="294"/>
        <w:gridCol w:w="801"/>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sz w:val="20"/>
        </w:rPr>
      </w:pPr>
      <w:r>
        <w:rPr>
          <w:rFonts w:ascii="Times New Roman" w:hAnsi="Times New Roman"/>
          <w:b/>
          <w:color w:val="000000"/>
          <w:sz w:val="20"/>
        </w:rPr>
        <w:t>Accrued Expenses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Accrued expenses and other current liabilities consist of the following (</w:t>
      </w:r>
      <w:r>
        <w:rPr>
          <w:rFonts w:ascii="Times New Roman" w:hAnsi="Times New Roman"/>
          <w:i/>
          <w:color w:val="000000"/>
          <w:sz w:val="20"/>
        </w:rPr>
        <w:t>in thousands</w:t>
      </w:r>
      <w:r>
        <w:rPr>
          <w:rFonts w:ascii="Times New Roman" w:hAnsi="Times New Roman"/>
          <w:color w:val="000000"/>
          <w:sz w:val="20"/>
        </w:rPr>
        <w:t xml:space="preserve">): </w:t>
      </w:r>
    </w:p>
    <w:tbl>
      <w:tblPr>
        <w:tblW w:w="6872" w:type="dxa"/>
        <w:jc w:val="left"/>
        <w:tblInd w:w="0" w:type="dxa"/>
        <w:tblLayout w:type="fixed"/>
        <w:tblCellMar>
          <w:top w:w="28" w:type="dxa"/>
          <w:left w:w="28" w:type="dxa"/>
          <w:bottom w:w="28" w:type="dxa"/>
          <w:right w:w="28" w:type="dxa"/>
        </w:tblCellMar>
      </w:tblPr>
      <w:tblGrid>
        <w:gridCol w:w="4261"/>
        <w:gridCol w:w="146"/>
        <w:gridCol w:w="211"/>
        <w:gridCol w:w="676"/>
        <w:gridCol w:w="146"/>
        <w:gridCol w:w="146"/>
        <w:gridCol w:w="260"/>
        <w:gridCol w:w="835"/>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drug manufacturing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commercial planning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4. CASH, CASH EQUIVALENTS AND MARKETABLE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cash equivalents and available-for-sale investment securities are classified within the fair value hierarchy as defined by authoritative guidance. Level 1 securities consist of highly liquid money market funds for which the carrying amount approximates the fair value of identical assets as quoted in the active markets. Level 2 securities, consisting of U.S. Treasuries, U.S. agency securities and corporate debt securities, are measured based on other observable inputs, including broker or dealer quotations or other valuations using observable market data. The Company’s debt securities are accounted for as available-for-sale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Unrealized gains and losses are reported as a component of other comprehensive income (loss). Fair value of the debt securities was $450.3 million and $367.1 million as of June 30, 2026 and December 31, 2025, respectively.</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table presents the Company’s financial assets measured at fair value on a recurring basis by level within the fair value hierarchy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20"/>
        <w:gridCol w:w="146"/>
        <w:gridCol w:w="939"/>
        <w:gridCol w:w="146"/>
        <w:gridCol w:w="214"/>
        <w:gridCol w:w="794"/>
        <w:gridCol w:w="146"/>
        <w:gridCol w:w="146"/>
        <w:gridCol w:w="305"/>
        <w:gridCol w:w="611"/>
        <w:gridCol w:w="146"/>
        <w:gridCol w:w="146"/>
        <w:gridCol w:w="279"/>
        <w:gridCol w:w="638"/>
        <w:gridCol w:w="166"/>
        <w:gridCol w:w="146"/>
        <w:gridCol w:w="220"/>
        <w:gridCol w:w="815"/>
        <w:gridCol w:w="146"/>
        <w:gridCol w:w="146"/>
        <w:gridCol w:w="226"/>
        <w:gridCol w:w="837"/>
        <w:gridCol w:w="146"/>
        <w:gridCol w:w="146"/>
        <w:gridCol w:w="220"/>
        <w:gridCol w:w="817"/>
        <w:gridCol w:w="198"/>
      </w:tblGrid>
      <w:tr>
        <w:trPr/>
        <w:tc>
          <w:tcPr>
            <w:tcW w:w="13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41"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and 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Marketable Securities</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206,320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227,036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450,285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499,564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450,285</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41"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and 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Marketable Securities</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167,216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182,673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359,864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713,803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359,864</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Marketable debt securities that had been in unrealized loss positions as of June 30, 2026, and December 31, 2025 were in an unrealized loss position for less than 12 months. Unrealized losses from marketable debt securities are primarily attributable to changes in interest rates and not due to credit-related factors. Management does not believe any remaining unrealized losses represent impairments or credit-related losses based on evaluation of available evidence.</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table classifies the estimated fair value of investments in available-for-sale marketable debt securities by effective contractual maturity dates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4073" w:type="dxa"/>
        <w:jc w:val="left"/>
        <w:tblInd w:w="0" w:type="dxa"/>
        <w:tblLayout w:type="fixed"/>
        <w:tblCellMar>
          <w:top w:w="28" w:type="dxa"/>
          <w:left w:w="28" w:type="dxa"/>
          <w:bottom w:w="28" w:type="dxa"/>
          <w:right w:w="28" w:type="dxa"/>
        </w:tblCellMar>
      </w:tblPr>
      <w:tblGrid>
        <w:gridCol w:w="2611"/>
        <w:gridCol w:w="146"/>
        <w:gridCol w:w="239"/>
        <w:gridCol w:w="886"/>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to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NOTES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Notes payable consist of the following (in thousands):</w:t>
      </w:r>
    </w:p>
    <w:tbl>
      <w:tblPr>
        <w:tblW w:w="10205" w:type="dxa"/>
        <w:jc w:val="left"/>
        <w:tblInd w:w="0" w:type="dxa"/>
        <w:tblLayout w:type="fixed"/>
        <w:tblCellMar>
          <w:top w:w="28" w:type="dxa"/>
          <w:left w:w="28" w:type="dxa"/>
          <w:bottom w:w="28" w:type="dxa"/>
          <w:right w:w="28" w:type="dxa"/>
        </w:tblCellMar>
      </w:tblPr>
      <w:tblGrid>
        <w:gridCol w:w="3933"/>
        <w:gridCol w:w="146"/>
        <w:gridCol w:w="766"/>
        <w:gridCol w:w="146"/>
        <w:gridCol w:w="1016"/>
        <w:gridCol w:w="146"/>
        <w:gridCol w:w="211"/>
        <w:gridCol w:w="676"/>
        <w:gridCol w:w="146"/>
        <w:gridCol w:w="146"/>
        <w:gridCol w:w="1627"/>
        <w:gridCol w:w="146"/>
        <w:gridCol w:w="211"/>
        <w:gridCol w:w="676"/>
        <w:gridCol w:w="213"/>
      </w:tblGrid>
      <w:tr>
        <w:trPr/>
        <w:tc>
          <w:tcPr>
            <w:tcW w:w="3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w:t>
              <w:b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 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Collateralized note 2025-06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exit fees net of unamortized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carrying amount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74,838</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the Company refinanced its debt under the non-revolving loan and security agreement (2021 Loan Agreement) with a loan syndicate involving Oxford Finance LLC (Oxford Finance), Oxford Finance Credit Fund II LP (OFCF II), and Oxford Finance Credit Fund III LP (OFCF III) entered into in December 2021, by entering into a new non-revolving loan and security agreement, the proceeds of which were partially used to prepay the outstanding principal balance of the 2021 Loan Agreement in full. The Company paid an exit fee of $3.0 million, equal to 6% on the aggregate principal amount of the loan, as 1% of the original 7% exit fee was waived in connection with the refinancing. The entirety of the 2% prepayment fee that would have applied to the prepayment of the $25.0 million of debt drawn in December 2023 was also waived in connection with the refinancing.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2025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 2025, the Company entered into a new non-revolving loan and security agreement (2025 Loan Agreement) with a loan syndicate involving Oxford Finance, OFCF II, OFCF III, and Oxford Finance Credit Fund IV LP (OFCF IV) (collectively, Oxford). The 2025 Loan Agreement has a total borrowing capacity of up to $500.0 million, of which $75.0 million was funded at closing and $50.0 million remains available for draw at the Company’s discretion until December 31, 2026. Following accelerated approval of TRUTAKNA by the FDA in July 2026, an additional $75.0 million is available for draw at the Company’s discretion until November 4, 2026. The Company also has the option to draw two tranches, each of a maximum of $50.0 million, upon achievement of certain commercial milestones related to TRUTAKNA once approved, and up to $200.0 million available at the mutual discretion of the Company and Oxford. As of June 30, 2026, the Company’s outstanding borrowing under the 2025 Loan Agreement was $75.0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accounted for the loan syndicate on a creditor-by-creditor basis. With respect to the continuing creditors, Oxford Finance, OFCF II, and OFCF III, the Company accounted for this transaction as a loan modification, and with respect to the new lender, OFCF IV, the Company accounted for this transaction as an issuance of debt. Of the $3.7 million in exit fees on the 2021 Loan Agreement and fees paid to creditors as part of the refinancing, $1.6 million was recorded as a reduction to the net carrying amount of the debt drawn under the 2025 Loan Agreement at close, and $2.0 million was recorded as noncurrent deferred debt issuance costs. Of the $2.3 million in fees paid by the Company to third parties in connection with the refinancing, $0.8 million was recorded as other expense, and $1.4 million was recorded as noncurrent deferred debt issuance costs. Deferred debt issuance costs will be amortized over the respective draw periods of each of the loan commitment tranches on a straight-line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2025 Loan Agreement is scheduled to mature in June 2030, provided that the Company has not achieved a revenue-based interest-only extension milestone as of the end of the initial interest-only period in August 2029. If the Company achieves this interest-only extension milestone, the maturity date and end of the interest-only period will be extended to June 2031 and August 2030, respectively. The Company is permitted to prepay the loan, subject to certain conditions, and will incur prepayment fees of 2% if the loan is prepaid prior to June 4, 2027, or 1% if the loan is prepaid between June 5, 2027, and June 4, 2028. No prepayment fee shall be applicable after June 4, 2028. Additionally, upon maturity date, acceleration of the loan in the event of default, or prepayment of the loan, the Company is required to pay an exit fee equal to 5% of the aggregate principal amount of the loan. The Company will accrue for this exit fee over the life of the loan as an increase to the net carrying amount of debt using the effective interest rate method.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variable interest rate on the drawn amount is 1-Month CME Term SOFR (subject to a per annum floor rate of 3.75%) plus 4.95% per annum. At the initial funding of the 2025 Loan Agreement on June 4, 2025, the nominal interest rate was 9.27%. There are two financial covenants: (i) commencing on March 31, 2027, the Company is required to maintain certain levels of unrestricted cash subject to control agreements provided that such liquidity covenant shall not apply at any given time if the market capitalization of the Company is at least $1.0 billion on the measurement date, and (ii) commencing with the last day of the month in which the aggregate amount of Term Loans funded exceeds $200.0 million, the Company will be required to maintain a loan coverage ratio, which will replace the minimum cash covenant. The loan coverage ratio should not apply at any given time if the market capitalization of the Company is at least $1.25 billion on the measurement date. The loan is secured by substantially all of the Company’s assets.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proceeds from the 2025 Loan Agreement were partially used to prepay the outstanding principal balance of the 2021 Loan Agreement in full, with the remaining proceeds available for working capital, capital expenditures, and other general corporate purposes.</w:t>
      </w:r>
    </w:p>
    <w:p>
      <w:pPr>
        <w:pStyle w:val="TextBody"/>
        <w:bidi w:val="0"/>
        <w:spacing w:before="120" w:after="283"/>
        <w:jc w:val="left"/>
        <w:rPr>
          <w:rFonts w:ascii="Times New Roman" w:hAnsi="Times New Roman"/>
          <w:sz w:val="20"/>
        </w:rPr>
      </w:pPr>
      <w:r>
        <w:rPr>
          <w:rFonts w:ascii="Times New Roman" w:hAnsi="Times New Roman"/>
          <w:color w:val="000000"/>
          <w:sz w:val="20"/>
        </w:rPr>
        <w:t>Principal installments due on the notes are as follows (</w:t>
      </w:r>
      <w:r>
        <w:rPr>
          <w:rFonts w:ascii="Times New Roman" w:hAnsi="Times New Roman"/>
          <w:i/>
          <w:color w:val="000000"/>
          <w:sz w:val="20"/>
        </w:rPr>
        <w:t>in thousands</w:t>
      </w:r>
      <w:r>
        <w:rPr>
          <w:rFonts w:ascii="Times New Roman" w:hAnsi="Times New Roman"/>
          <w:color w:val="000000"/>
          <w:sz w:val="20"/>
        </w:rPr>
        <w:t>):</w:t>
      </w:r>
    </w:p>
    <w:tbl>
      <w:tblPr>
        <w:tblW w:w="3025" w:type="dxa"/>
        <w:jc w:val="left"/>
        <w:tblInd w:w="0" w:type="dxa"/>
        <w:tblLayout w:type="fixed"/>
        <w:tblCellMar>
          <w:top w:w="28" w:type="dxa"/>
          <w:left w:w="28" w:type="dxa"/>
          <w:bottom w:w="28" w:type="dxa"/>
          <w:right w:w="28" w:type="dxa"/>
        </w:tblCellMar>
      </w:tblPr>
      <w:tblGrid>
        <w:gridCol w:w="1801"/>
        <w:gridCol w:w="146"/>
        <w:gridCol w:w="211"/>
        <w:gridCol w:w="676"/>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STOCKHOLDERS’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the Company’s amended and restated certificate of incorporation authorized the Company to issue 500,000,000 shares of Class A common stock and 14,600,000 shares of Class B common stock, and 10,000,000 shares of preferred stock, each with a par value of $0.001 per share. Each share of Class A common stock entitles the holder to one vote on all matters submitted to a vote of the Company’s stockholders. There were no shares of Class B common stock or preferred stock outstanding as of June 30, 2026 and December 31, 2025. Common stockholders are entitled to receive dividends, as may be declared by the board of directors. Through June 30, 2026, no cash dividends have been declared or paid.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Company completed a follow-on public offering pursuant to which the Company issued and sold 7,058,824 shares of its Class A common stock at a public offering of $42.50 per share, including 920,716 shares of Class A common stock pursuant to the full exercise of the underwriters’ option to purchase additional shares. Net proceeds from this follow-on public offering were $281.3 million, after deducting underwriting fees and offering-related expenses.</w:t>
      </w:r>
    </w:p>
    <w:p>
      <w:pPr>
        <w:pStyle w:val="TextBody"/>
        <w:bidi w:val="0"/>
        <w:spacing w:before="120" w:after="283"/>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7. STOCK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Equity Plans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2024 Inducement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 adopted the 2024 Inducement Plan (Inducement Plan). The Inducement Plan was adopted by the compensation committee of the Company’s board of directors without stockholder approval pursuant to Nasdaq Listing Rule 5635(c)(4) and subsequently amended in August 2024, January 2025, September 2025, and March 2026. In accordance with Rule 5635(c)(4), awards made under the Inducement Plan, including stock options and restricted stock units, may only be granted to newly hired employees as a material inducement to accept employment with the Company. Stock options granted under the Inducement Plan expire no later than ten years from the date of grant.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Equity Incentive Plan and 2017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Equity Incentive Plan (2021 EIP) and the 2017 Equity Incentive Plan (2017 EIP) became effective in May 2021 and February 2017, respectively. The Company may not grant any additional awards under the 2017 EIP. The 2017 EIP will continue to govern outstanding equity awards granted thereunder. Stock options granted under the 2021 EIP and 2017 EIP expire no later than 10 years from the date of grant.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2021 Employee Stock Purchase Plan (ESPP) became effective in May 2021. As of June 30, 2026, 220,042 shares have been issued pursuant to the ESPP. The ESPP generally provides for six-month consecutive offering periods beginning every September 14 and March 14. The ESPP is a compensatory plan as defined by the authoritative guidance for stock compensation.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summarizes the Company's equity plans as of June 30, 2026:</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540" w:type="dxa"/>
        <w:jc w:val="left"/>
        <w:tblInd w:w="0" w:type="dxa"/>
        <w:tblLayout w:type="fixed"/>
        <w:tblCellMar>
          <w:top w:w="28" w:type="dxa"/>
          <w:left w:w="28" w:type="dxa"/>
          <w:bottom w:w="28" w:type="dxa"/>
          <w:right w:w="28" w:type="dxa"/>
        </w:tblCellMar>
      </w:tblPr>
      <w:tblGrid>
        <w:gridCol w:w="3091"/>
        <w:gridCol w:w="146"/>
        <w:gridCol w:w="376"/>
        <w:gridCol w:w="2669"/>
        <w:gridCol w:w="146"/>
        <w:gridCol w:w="146"/>
        <w:gridCol w:w="376"/>
        <w:gridCol w:w="2399"/>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Number of Shares 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Available for Future Issuance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Inducement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655,797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3,978,065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1,809,406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Option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option activity under the 2017 EIP, 2021 EIP, and 2024 Inducement Plan for the period ended June 30, 2026 is summarized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27"/>
        <w:gridCol w:w="146"/>
        <w:gridCol w:w="167"/>
        <w:gridCol w:w="1071"/>
        <w:gridCol w:w="166"/>
        <w:gridCol w:w="146"/>
        <w:gridCol w:w="469"/>
        <w:gridCol w:w="1277"/>
        <w:gridCol w:w="146"/>
        <w:gridCol w:w="146"/>
        <w:gridCol w:w="522"/>
        <w:gridCol w:w="1673"/>
        <w:gridCol w:w="146"/>
        <w:gridCol w:w="146"/>
        <w:gridCol w:w="332"/>
        <w:gridCol w:w="1230"/>
        <w:gridCol w:w="195"/>
      </w:tblGrid>
      <w:tr>
        <w:trPr/>
        <w:tc>
          <w:tcPr>
            <w:tcW w:w="2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(000s)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8,395,290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260,696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 and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9,915,851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187,146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132,361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9,915,851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187,146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aggregate intrinsic value of stock options exercised during the three months ended June 30, 2026 and 2025 was $4.3 million and $1.0 million, respectively. The aggregate intrinsic value of stock options exercised during the six months ended June 30, 2026 and 2025 was $8.7 million and $3.7 million, respectively. The weighted-average grant date fair value of options granted during the three months ended June 30, 2026 and 2025 was $30.02 per share and $20.20 per share, respectively. The weighted-average grant date fair value of options granted during the six months ended June 30, 2026 and 2025 was $34.73 per share and $23.43 per share,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Award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grants restricted stock units (RSU) pursuant to the 2021 EIP and satisfies such grants through the issuance of the Company’s Class A common stock. The following table shows RSU activity for the period ended June 30, 2026:</w:t>
      </w:r>
    </w:p>
    <w:p>
      <w:pPr>
        <w:pStyle w:val="TextBody"/>
        <w:bidi w:val="0"/>
        <w:jc w:val="left"/>
        <w:rPr/>
      </w:pPr>
      <w:r>
        <w:rPr/>
        <w:t> </w:t>
      </w:r>
    </w:p>
    <w:tbl>
      <w:tblPr>
        <w:tblW w:w="9575" w:type="dxa"/>
        <w:jc w:val="left"/>
        <w:tblInd w:w="0" w:type="dxa"/>
        <w:tblLayout w:type="fixed"/>
        <w:tblCellMar>
          <w:top w:w="28" w:type="dxa"/>
          <w:left w:w="28" w:type="dxa"/>
          <w:bottom w:w="28" w:type="dxa"/>
          <w:right w:w="28" w:type="dxa"/>
        </w:tblCellMar>
      </w:tblPr>
      <w:tblGrid>
        <w:gridCol w:w="3601"/>
        <w:gridCol w:w="146"/>
        <w:gridCol w:w="191"/>
        <w:gridCol w:w="1219"/>
        <w:gridCol w:w="166"/>
        <w:gridCol w:w="146"/>
        <w:gridCol w:w="1052"/>
        <w:gridCol w:w="2863"/>
        <w:gridCol w:w="1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 and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2,190,762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tables summarize the stock-based compensation expense for stock options and restricted stock units granted to employees and non-employees and for ESPP stock-based compensation that was recorded in the Company’s condensed statements of operations and comprehensive loss for the three and six months ended June 30, 2026 and 2025 (</w:t>
      </w:r>
      <w:r>
        <w:rPr>
          <w:rFonts w:ascii="Times New Roman" w:hAnsi="Times New Roman"/>
          <w:i/>
          <w:color w:val="000000"/>
          <w:sz w:val="20"/>
        </w:rPr>
        <w:t>in thousands</w:t>
      </w:r>
      <w:r>
        <w:rPr>
          <w:rFonts w:ascii="Times New Roman" w:hAnsi="Times New Roman"/>
          <w:color w:val="000000"/>
          <w:sz w:val="20"/>
        </w:rPr>
        <w:t>):</w:t>
      </w:r>
    </w:p>
    <w:tbl>
      <w:tblPr>
        <w:tblW w:w="8507"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11"/>
        <w:gridCol w:w="571"/>
        <w:gridCol w:w="146"/>
        <w:gridCol w:w="146"/>
        <w:gridCol w:w="211"/>
        <w:gridCol w:w="676"/>
        <w:gridCol w:w="146"/>
        <w:gridCol w:w="146"/>
        <w:gridCol w:w="211"/>
        <w:gridCol w:w="67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507"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11"/>
        <w:gridCol w:w="571"/>
        <w:gridCol w:w="146"/>
        <w:gridCol w:w="146"/>
        <w:gridCol w:w="211"/>
        <w:gridCol w:w="676"/>
        <w:gridCol w:w="146"/>
        <w:gridCol w:w="146"/>
        <w:gridCol w:w="211"/>
        <w:gridCol w:w="67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Non-employees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had $107.8 million of unrecognized stock-based compensation expense related to unvested stock options, which is expected to be recognized over a weighted-average period of approximately 2.7 years. For the three months ended June 30, 2026 and 2025, the Company recognized $10.4 million and $6.9 million of stock-based compensation expense for stock options, respectively. For the six months ended June 30, 2026 and 2025, the Company recognized $19.3 million and $12.8 million of stock-based compensation expense for stock options,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had $68.4 million of unrecognized stock-based compensation expense related to unvested RSUs, which is expected to be recognized over a weighted-average period of approximately 3.1 years. For the three months ended June 30, 2026 and 2025, the Company recognized $5.1 million and $2.4 million of stock-based compensation expense for restricted stock units, respectively. For the six months ended June 30, 2026 and 2025, the Company recognized $9.1 million and $4.1 million of stock-based compensation expense for restricted stock units,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related to the ESPP for the three months ended June 30, 2026 and 2025 was $0.3 million and $0.2 million, respectively. Stock-based compensation expense related to the ESPP for the six months ended June 30, 2026 and 2025 was $0.7 million and $0.3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stock options granted during the three and six months ended June 30, 2026 and 2025 was estimated using the Black-Scholes option pricing model based on the following assumptions:</w:t>
      </w:r>
    </w:p>
    <w:p>
      <w:pPr>
        <w:pStyle w:val="TextBody"/>
        <w:bidi w:val="0"/>
        <w:jc w:val="left"/>
        <w:rPr/>
      </w:pPr>
      <w:r>
        <w:rPr/>
        <w:t> </w:t>
      </w:r>
    </w:p>
    <w:tbl>
      <w:tblPr>
        <w:tblW w:w="7827" w:type="dxa"/>
        <w:jc w:val="left"/>
        <w:tblInd w:w="0" w:type="dxa"/>
        <w:tblLayout w:type="fixed"/>
        <w:tblCellMar>
          <w:top w:w="28" w:type="dxa"/>
          <w:left w:w="28" w:type="dxa"/>
          <w:bottom w:w="28" w:type="dxa"/>
          <w:right w:w="28" w:type="dxa"/>
        </w:tblCellMar>
      </w:tblPr>
      <w:tblGrid>
        <w:gridCol w:w="2086"/>
        <w:gridCol w:w="146"/>
        <w:gridCol w:w="1351"/>
        <w:gridCol w:w="1351"/>
        <w:gridCol w:w="146"/>
        <w:gridCol w:w="1351"/>
        <w:gridCol w:w="139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78.1% – 82.5%</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81.8% – 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78.1% – 87.6%</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81.8% – 83.9%</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 – 4.3%</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 – 4.3%</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4.5%</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LICENSES</w:t>
      </w:r>
    </w:p>
    <w:p>
      <w:pPr>
        <w:pStyle w:val="TextBody"/>
        <w:bidi w:val="0"/>
        <w:spacing w:before="240" w:after="283"/>
        <w:jc w:val="left"/>
        <w:rPr>
          <w:rFonts w:ascii="Times New Roman" w:hAnsi="Times New Roman"/>
          <w:sz w:val="20"/>
        </w:rPr>
      </w:pPr>
      <w:r>
        <w:rPr>
          <w:rFonts w:ascii="Times New Roman" w:hAnsi="Times New Roman"/>
          <w:b/>
          <w:color w:val="000000"/>
          <w:sz w:val="20"/>
        </w:rPr>
        <w:t>Ares Trading S.A.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license agreement with Ares Trading S.A. (Ares), pursuant to which the Company maintains an exclusive worldwide license to certain patents and related know-how to research, develop, manufacture, use and commercialize therapeutic products containing atacicept, a recombinant fusion protein used to inhibit B cell growth and differentiation.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2026, the Company achieved a specified regulatory milestone and paid $15.0 million to Ares upon acceptance of the Company’s Biologics License Application for treatment of IgAN by the FDA. This was recorded as research and development expense. In July 2026, the Company achieved a specified regulatory milestone and is obligated to pay $20.0 million to Ares upon accelerated approval of the Company’s Biologics License Application for treatment of IgAN by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obligated to pay Ares additional milestone payments, including $10.0 million upon the first filing of an approval application in the European Union, and other potential milestone payments of up to $131.5 million in aggregate upon the achievement of regulatory filing and approval milestones for other geographic regions and indications, and up to $515.0 million upon the achievement of specified worldwide aggregate annual net sales milestones, beginning with $15.0 million if net sales reach $250.0 million and $50.0 million if net sales reach $500.0 million.</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9.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believes that there are no actions pending which would have a material adverse effect on its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Indemnification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did not have any material indemnification claims that were probable and consequently no related liabilities have been recorded.</w:t>
      </w:r>
    </w:p>
    <w:p>
      <w:pPr>
        <w:pStyle w:val="TextBody"/>
        <w:bidi w:val="0"/>
        <w:spacing w:before="240" w:after="283"/>
        <w:jc w:val="left"/>
        <w:rPr>
          <w:rFonts w:ascii="Times New Roman" w:hAnsi="Times New Roman"/>
          <w:sz w:val="20"/>
        </w:rPr>
      </w:pPr>
      <w:r>
        <w:rPr>
          <w:rFonts w:ascii="Times New Roman" w:hAnsi="Times New Roman"/>
          <w:b/>
          <w:color w:val="000000"/>
          <w:sz w:val="20"/>
        </w:rPr>
        <w:t>Employee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signed employment agreements with certain key employees pursuant to which, if their employment is terminated following a change of control of the Company, the employees are entitled to receive certain benefits, including severance and accelerated vesting of equity incentives.</w:t>
      </w:r>
    </w:p>
    <w:p>
      <w:pPr>
        <w:pStyle w:val="TextBody"/>
        <w:bidi w:val="0"/>
        <w:spacing w:before="240" w:after="283"/>
        <w:jc w:val="left"/>
        <w:rPr>
          <w:rFonts w:ascii="Times New Roman" w:hAnsi="Times New Roman"/>
          <w:sz w:val="20"/>
        </w:rPr>
      </w:pPr>
      <w:r>
        <w:rPr>
          <w:rFonts w:ascii="Times New Roman" w:hAnsi="Times New Roman"/>
          <w:b/>
          <w:color w:val="000000"/>
          <w:sz w:val="20"/>
        </w:rPr>
        <w:t>Development and Manufacturing Services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development and manufacturing contracts with vendors in the conduct of its business. Contracts with these vendors may be terminated at the Company’s option, with varying provisions regarding termination. If a contract with a specific vendor were to be terminated, the Company would be obligated to pay for the products or services that had been provided or received at the time the termination became effective and potentially additional compensation based upon the period of time remaining between the date of notice of cancellation and the scheduled manufacturing.</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NET LOSS PER SHARE ATTRIBUTABLE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outstanding potentially dilutive shares were excluded from the computation of diluted net loss per share attributable to common stockholders for the periods presented, because including them would have been anti-dilutive (on an as-converted basis):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74"/>
        <w:gridCol w:w="146"/>
        <w:gridCol w:w="146"/>
        <w:gridCol w:w="1036"/>
        <w:gridCol w:w="146"/>
        <w:gridCol w:w="146"/>
        <w:gridCol w:w="146"/>
        <w:gridCol w:w="931"/>
        <w:gridCol w:w="146"/>
        <w:gridCol w:w="146"/>
        <w:gridCol w:w="146"/>
        <w:gridCol w:w="1036"/>
        <w:gridCol w:w="146"/>
        <w:gridCol w:w="146"/>
        <w:gridCol w:w="146"/>
        <w:gridCol w:w="931"/>
        <w:gridCol w:w="191"/>
      </w:tblGrid>
      <w:tr>
        <w:trPr/>
        <w:tc>
          <w:tcPr>
            <w:tcW w:w="44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9,915,851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8,104,871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9,915,851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8,104,871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1,379,915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ESPP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12,112,163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9,491,715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12,112,163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9,491,715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RELATED 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member of the Company’s board of directors also serves as chairman of the board of directors of IntegriChain. The Company entered into an agreement with IntegriChain to procure software and services for government pricing, contracting, policy development, and rebate operations related to commercialization and market access with expected fees and expenses of up to $0.3 million. The Company recorded related party expense of $0.1 million and $0.1 million to IntegriChain for these services in the three and six months ended June 30, 2026, respectively. This amount is included in general and administrative expenses on the Company’s condensed statements of operations and comprehensive loss. As of June 30, 2026, the Company recorded related party payable amounts of $0.1 million to IntegriChain, which were included in accounts payable and other current liabilities on the Company’s condensed balance sheet.</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one reportable segment: Therapeutics. This segment is dedicated to developing and commercializing medical treatments for patients with serious immunological diseases. The Company’s lead product, TRUTAKNA, was granted accelerated approval by the FDA for the treatment of IgAN in the U.S. in July 2026. TRUTAKNA is a native human TACI-Fc fusion protein that binds both the B-cell activating factor (BAFF) and A proliferation-inducing ligand (APRIL) cytokines and is self-administered subcutaneously at home. Atacicept is also being evaluated for the treatment of other autoimmune kidney diseases and the Company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intends to seek marketing approval of atacicept for the treatment of IgAN in regions outside of the U.S. in the future. The Company also holds worldwide, exclusive development and commercial rights to MAU868, a monoclonal antibody to treat BK virus infections for which the Company completed a Phase 2 clinical trial in 2022, and worldwide, exclusive development and commercial rights to VT-109, a novel, next generation dual BAFF/APRIL inhibitor that is in preclinical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the Company has devoted substantially all its resources to research and development efforts, pre-clinical studies and clinical trials, building a sales, marketing and distribution infrastructure to support commercial activities, establishing and maintaining intellectual property portfolio, hiring personnel, raising capital, and providing general and administrative support for these operations. As of June 30, 2026, the Company did not have any product candidates approved for commercial sale and had not generated any revenue from product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accounting policies used in the segment reporting are the same as those disclosed in the summary of significant accounting policies in the Company’s Annual Report on Form 10-K for the year ended December 31, 2025. The Company’s Chief Operating Decision Maker (CODM) is the Chief Executive Officer. The CODM assesses performance for the single reportable segment and decides how to allocate resources based on net loss and total operating expenses. As the Company has not generated any revenue as of June 30, 2026, total operating expenses is equivalent to loss from operations on the statements of operations and comprehensive loss. The measure of segment assets is reported on the balance sheet as total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uses net loss as the reportable segment’s primary measure of profit or loss to evaluate the segment’s financial position and to determine the need for additional financing or equity offerings. The CODM also uses total operating expenses as a measure to evaluate controllable spend from total current assets in deciding how to allocate resources within the Therapeutics segment.</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reportable segment total operating expenses, including significant segment expenses, and net loss for the three and six months ended June 30, 2026 and 2025, consisted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29"/>
        <w:gridCol w:w="146"/>
        <w:gridCol w:w="211"/>
        <w:gridCol w:w="841"/>
        <w:gridCol w:w="166"/>
        <w:gridCol w:w="146"/>
        <w:gridCol w:w="211"/>
        <w:gridCol w:w="736"/>
        <w:gridCol w:w="166"/>
        <w:gridCol w:w="146"/>
        <w:gridCol w:w="211"/>
        <w:gridCol w:w="841"/>
        <w:gridCol w:w="166"/>
        <w:gridCol w:w="146"/>
        <w:gridCol w:w="211"/>
        <w:gridCol w:w="841"/>
        <w:gridCol w:w="391"/>
      </w:tblGrid>
      <w:tr>
        <w:trPr/>
        <w:tc>
          <w:tcPr>
            <w:tcW w:w="4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Therapeutics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Payroll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Direct research and development - clinical trials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Direct research and development - contract drug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planning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and 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*Other segment items included in total operating expenses primarily consist of consulting and contractors, professional services, equipment and software, travel and entertainment, facilities, medical affairs, and corporate communications.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segment items included in net loss consist of currency exchange gains and losses and other income/expense.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0" w:name="item_2_managements_discussion"/>
      <w:bookmarkEnd w:id="10"/>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financial statements and related notes included elsewhere in this Quarterly Report on Form 10-Q and our audited financial statements and notes thereto and the related Management’s Discussion and Analysis of Financial Condition and Results of Operations included in our Annual Report on Form 10-K for the year ended December 31, 2025, filed with the U.S. Securities and Exchange Commission on February 26, 2026 (the Annual Report).</w:t>
      </w:r>
    </w:p>
    <w:p>
      <w:pPr>
        <w:pStyle w:val="TextBody"/>
        <w:bidi w:val="0"/>
        <w:spacing w:before="360" w:after="283"/>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 addition to historical financial information, this discussion contains forward-looking statements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are a commercial-stage biotechnology company focused on the pursuit of truth in science to transform medicine in autoimmune disease, starting with the kidney. Our flagship commercial product is TRUTAKNA</w:t>
      </w:r>
      <w:r>
        <w:rPr>
          <w:rFonts w:ascii="Times New Roman" w:hAnsi="Times New Roman"/>
          <w:color w:val="000000"/>
          <w:sz w:val="13"/>
        </w:rPr>
        <w:t>TM</w:t>
      </w:r>
      <w:r>
        <w:rPr>
          <w:rFonts w:ascii="Times New Roman" w:hAnsi="Times New Roman"/>
          <w:color w:val="000000"/>
          <w:sz w:val="20"/>
        </w:rPr>
        <w:t xml:space="preserve"> (atacicept-vymj), an inhibitor of B-cell activating factor (BAFF) and A Proliferation-Inducing Ligand (APRIL) indicated to reduce proteinuria in adults with primary immunoglobulin A nephropathy (IgAN) at risk for disease progression. Beyond IgAN, we are evaluating additional diseases where the reduction of autoantibodies through inhibition of BAFF and APRIL may prove clinically meaningful.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7, 2026, the U.S. Food and Drug Administration (FDA) granted accelerated approval to TRUTAKNA. The accelerated approval is based on a prespecified interim analysis of the ongoing ORIGIN Phase 3 trial (ORIGIN 3) in which participants treated with TRUTAKNA achieved a 46% reduction in proteinuria from baseline, with a statistically significant and clinically meaningful 42% reduction compared to placebo (p &lt; 0.0001) at 36 weeks. In this registrational program, TRUTAKNA was generally well-tolerated. The final efficacy analysis from ORIGIN 3 is expected in the third quarter of 2026, followed by an anticipated supplemental Biologics License Application submission to the FDA expected in the fourth quarter of 2026 which could lead to potential full FDA approval of TRUTAKNA in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TRUTAKNA is a soluble recombinant fusion protein containing the human transmembrane activator and calcium-modulating cyclophilin ligand interactor (TACI) receptor that binds to BAFF and APRIL, the two key cytokines that activate B cells and drive IgAN pathophysiology. In IgAN, activated B cells produce both the antigen and associated antibodies that result in the production of damaging IgA immune complexes. The overlapping roles of BAFF and APRIL in activating B cells support the potential for TRUTAKNA as a disease-modifying therapy. TRUTAKNA is self-administered as an at home, small-volume (1 ml), 150 mg once-weekly autoinjector.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atacicept has pipeline-in-a-molecule potential, with potential application in multiple diseases. In the Phase 2 PIONEER clinical trial, for which we expect to report additional results in the fourth quarter of 2026, we are evaluating atacicept in a broader population of IgAN patients as well as other autoimmune kidney diseases, including primary membranous nephropathy (pMN), focal segmental glomerulosclerosis (FSGS) and minimal change disease (MCD), in patients with anti-phospholipase A2 receptor or anti-nephrin autoantibodies. Potential future indications include anti-neutrophil cytoplasmic antibody-associated vasculitis, lupus nephritis, Sjogren’s disease, systemic lupus erythematosus, systemic sclerosis, generalized myasthenia gravis, and idiopathic thrombocytopenic purpura.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hold worldwide, exclusive development and commercial rights to MAU868, a potentially first-in-class monoclonal antibody to treat reactivated BK virus infections, for which we completed a Phase 2 clinical trial in 2022. In January 2025, we acquired worldwide, exclusive development and commercial rights to VT-109, a novel, next-generation BAFF and APRIL inhibitor that is in preclinical development. We believe that our current pipeline programs leverage the deep expertise of our team and have strong potential commercial synergies.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only one product approved for commercial sale and expect to record limited revenue from product sales during the third quarter of 2026. Our ability to generate revenue sufficient to achieve profitability, if ever, will depend on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commercialization of our lead product and development of our product candidates, which we expect will take a number of years. We also do not own or operate, and currently have no plans to establish, any manufacturing facilities. We rely, and expect to continue to rely, on third parties for the manufacture of our lead product and product candidates. We believe that this strategy allows us to maintain a more efficient infrastructure by eliminating the need for us to invest in our own manufacturing facilities, equipment, and personnel while also enabling us to focus our expertise and resources on the successful commercialization of our lead product and development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funded our operations primarily through proceeds from the sale of shares of our common stock, redeemable convertible preferred stock, debt financing and convertible promissory notes. As of June 30, 2026, we had $499.2 million in cash, cash equivalents and marketable securities, compared to $714.6 million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operating losses since the commencement of our operations. Our net losses were $109.5 million and $76.5 million for the three months ended June 30, 2026 and 2025, respectively, and we expect to incur significant and increasing losses for the foreseeable future as we commercialize our lead product and continue to advance our product candidates toward commercialization. Our net losses may fluctuate significantly from period to period, depending on the timing of expenditures on our research and development activities. As of June 30, 2026, we had an accumulated deficit of $991.4 million, compared to $760.9 million as of December 31, 2025. Our primary use of cash is to fund operating expenses, which consist of research and development and general and administrative expenditures. Cash used to fund operating expenses depends on the timing of when we pay these expenses, as reflected in the changes in our working capital balances.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net operating losses in the near term,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or continue nonclinical studies and clinical trials for our lead product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approvals for any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scale up external manufacturing capacity with the aim of securing sufficient quantities to meet our capacity requirements for clinical trials and potential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sales, marketing and distribution infrastructure to commercialize approved product candidates and related additional commercial manufacturing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maintain, expand, protect and enforce our intellectual property portfolio, including patents, trade secrets, and know-how;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develop or in-license other product candidates and technologies and further expand our clinical product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develop and retain additional clinical, scientific, quality control, commercial, and manufacturing management and administrative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clinical, operational, financial and management information systems and personnel, including personnel to support our product development and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expect to increase the size of our administrative function to support the growth of our business. Our net losses may fluctuate significantly from quarter-to-quarter and year-to-year, depending on the timing of our clinical trials and our expenditures on other research and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substantial additional funding to successfully commercialize our lead product, develop our product candidates and support our continuing operations.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Our failure to obtain sufficient funds on acceptable terms when needed could have a material adverse effect on our business, results of operations or financial condition, including requiring us to have to delay, reduce or eliminate our product development or commercialization efforts. Insufficient liquidity may also require us to relinquish rights to our lead product or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Geopolitical and Macroeconomic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geopolitical and macroeconomic events, including bank failures, tariffs and trade tensions, supply chain challenges, ongoing military conflicts, related sanctions, changes in U.S.-China relations, elevated inflation rates and the responses by central banking authorities to control such inflation, the U.S. and global financial markets experienced volatility, which has led to disruptions to trade, commerce, pricing stability, credit availability and supply chain continuity globally. As a result of these factors and other geopolitical and macroeconomic developments described in this Quarterly Report on Form 10-Q, our business and results of operations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did not see a significant financial impact to our business operations as a result of recent geopolitical and macroeconomic developments during the three months ended June 30, 2026, there may be potential impacts to our business in the future that are highly uncertain and difficult to predict such as disruptions or restrictions in our supply chain, disruption or restrictions on our employees’ ability to travel, disruptions to or delays in ongoing non-clinical trials, clinical trials, third-party manufacturing supply and other operations, interruptions or delays in the operations of the FDA or other regulatory authorities, and continued elevated inflation and interest rates which may increase the cost of conducting business activities or cause changes in availability and cost of credit and impact our ability to raise capital and conduct business development activities. The ultimate impact of these geopolitical and macroeconomic developments, as well as any lasting effects on our business, is highly uncertain and subject to continued change, and we recognize that macroeconomic and geopolitical factors may continue to present unique challenges for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existing cash, cash equivalents and marketable securities held as of June 30, 2026, will be sufficient to fund our planned operations and capital expenditure requirements for at least the next 12 months from the date of this Quarterly Report on Form 10-Q. However, should adverse geopolitical or macroeconomic events, such as those discussed above, any recession or depression associated with those events or other events described herein, continue for a prolonged period, our results of operations, financial condition, liquidity and cash flows could be materially impacted as a result of a lower likelihood of successfully commercializing our lead product and effectively developing our product candidates.</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and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w:t>
      </w:r>
    </w:p>
    <w:p>
      <w:pPr>
        <w:pStyle w:val="TextBody"/>
        <w:bidi w:val="0"/>
        <w:jc w:val="left"/>
        <w:rPr/>
      </w:pPr>
      <w:r>
        <w:rPr/>
        <w:t> </w:t>
      </w:r>
    </w:p>
    <w:tbl>
      <w:tblPr>
        <w:tblW w:w="11110" w:type="dxa"/>
        <w:jc w:val="left"/>
        <w:tblInd w:w="0" w:type="dxa"/>
        <w:tblLayout w:type="fixed"/>
        <w:tblCellMar>
          <w:top w:w="28" w:type="dxa"/>
          <w:left w:w="28" w:type="dxa"/>
          <w:bottom w:w="28" w:type="dxa"/>
          <w:right w:w="28" w:type="dxa"/>
        </w:tblCellMar>
      </w:tblPr>
      <w:tblGrid>
        <w:gridCol w:w="1491"/>
        <w:gridCol w:w="546"/>
        <w:gridCol w:w="211"/>
        <w:gridCol w:w="841"/>
        <w:gridCol w:w="166"/>
        <w:gridCol w:w="146"/>
        <w:gridCol w:w="211"/>
        <w:gridCol w:w="736"/>
        <w:gridCol w:w="166"/>
        <w:gridCol w:w="146"/>
        <w:gridCol w:w="211"/>
        <w:gridCol w:w="736"/>
        <w:gridCol w:w="566"/>
        <w:gridCol w:w="546"/>
        <w:gridCol w:w="211"/>
        <w:gridCol w:w="841"/>
        <w:gridCol w:w="166"/>
        <w:gridCol w:w="146"/>
        <w:gridCol w:w="211"/>
        <w:gridCol w:w="841"/>
        <w:gridCol w:w="166"/>
        <w:gridCol w:w="146"/>
        <w:gridCol w:w="211"/>
        <w:gridCol w:w="841"/>
        <w:gridCol w:w="611"/>
      </w:tblGrid>
      <w:tr>
        <w:trPr/>
        <w:tc>
          <w:tcPr>
            <w:tcW w:w="149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30,464</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32,349</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(32,349</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(100,287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(32,942</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(102,280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represent a substantial portion of our operating expenses. Our research and development expenses consist primarily of direct and indirect expenses incurred in connection with the research and development of our lead product and product candidates. Direct expenses include costs incurred under agreements with third parties, including contract research organizations, contract drug manufacturing organizations and consultants directly related to our research and development of our lead product and product candidates, and license and milestone fees incurred as a result of our contractual obligations for our development candidates. Until we receive marketing approval for a product candidate, all drug manufacturing costs are expensed as research and development. Indirect expenses include employee compensation and other personnel-related expenses, including stock-based compensation, facilities and depreciation related to buildings and equipment used by research and development personnel and activities and other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are recorded as expense in the period in which the related activities occurred, and payments we make prior to the receipt of goods or services to be used in research and development efforts are deferred as prepaid expenses until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goods or services are received and used. We accrue expenses for contract research and development as the related services are performed by monitoring the status of specified activities and billings received from our external service providers. These expenses are accrued based on estimates and are adjusted as actual expenses become known. The cost incurred in obtaining technology licenses, including initial and subsequent milestone payments incurred under our licensing agreements, are recorded as expense in the period in which they are incurred, as the licensed technology, method or process has no alternative future uses other than for our research and development activities. Where contingent milestone payments related to development-stage programs are due to third parties under license or other agreements, the milestone payment obligations are recognized as expense when achievement of the contingent milestone is probable, which is generally upon achievement of the milestone.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incurred during the respective periods: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86"/>
        <w:gridCol w:w="146"/>
        <w:gridCol w:w="211"/>
        <w:gridCol w:w="676"/>
        <w:gridCol w:w="146"/>
        <w:gridCol w:w="146"/>
        <w:gridCol w:w="211"/>
        <w:gridCol w:w="676"/>
        <w:gridCol w:w="146"/>
        <w:gridCol w:w="146"/>
        <w:gridCol w:w="211"/>
        <w:gridCol w:w="631"/>
        <w:gridCol w:w="166"/>
        <w:gridCol w:w="146"/>
        <w:gridCol w:w="211"/>
        <w:gridCol w:w="781"/>
        <w:gridCol w:w="146"/>
        <w:gridCol w:w="146"/>
        <w:gridCol w:w="211"/>
        <w:gridCol w:w="676"/>
        <w:gridCol w:w="146"/>
        <w:gridCol w:w="146"/>
        <w:gridCol w:w="211"/>
        <w:gridCol w:w="676"/>
        <w:gridCol w:w="411"/>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drug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trial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Consulting and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and milestone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Indirect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compensation and related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increased by $1.9 million, or 3%, to $60.1 million in the three months ended June 30, 2026, from $58.2 million in the three months ended June 30, 2025, due to an increase of $7.2 million for employee compensation and related benefit expenses, including a $2.7 million increase in stock-based compensation expense, as a result of growth in research and development employee headcount, an increase of $3.0 million in clinical trial expenses mainly due to increased expenses for the PIONEER and ORIGIN EXTEND trials, and an increase of $0.5 million in facilities and other, including a $0.3 million increase in travel expenses supporting research and development activities, partially offset by a decrease of $7.8 million in contract drug manufacturing costs for clinical and potential commercial use and a decrease of $1.0 million in consulting and professional services, primarily related to advisory board and expert forum activities incurred in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increased by $46.6 million, or 47%, to $146.1 million in the six months ended June 30, 2026, from $99.5 million in the six months ended June 30, 2025, due to an increase of $15.8 million for employee compensation and related benefit expenses, including a $5.7 million increase in stock-based compensation expense, as a result of growth in research and development employee headcount, an increase of $14.4 million in license and milestone expense related to current period recognition of a $15.0 million milestone payment due upon filing of the BLA, an increase of $13.2 million in contract drug manufacturing costs for clinical and potential commercial use, an increase of $5.3 million in clinical trial expenses mainly due to increased expenses for the PIONEER and ORIGIN EXTEND trials, and an increase of $0.9 million in facilities and other, including a $0.6 million increase in travel expenses supporting research and development activities, partially offset by a decrease of $2.9 million in consulting and professional services, primarily related to advisory board and expert forum activities incurred in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receiving accelerated approval from the FDA for TRUTAKNA on July 7, 2026, we recorded all manufacturing costs as research and development expenses as incurred, including costs for materials and work in process that we intend to use for commercial supply. From July 7, 2026 and onward, manufacturing costs incurred for commercial inventory will be capitalized as current assets and later recorded to expense as cost of sales in the periods in which sales of the related inventory are recognized.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research and development expenses to increase in future periods as we seek full regulatory approval of atacicept in IgAN in the U.S. and regulatory approval in other non-U.S. markets, conduct additional clinical trials of atacicept, and if we expand development of atacicept in other indications or product configurations, or advance other product candidates.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compensation and personnel-related expenses, including stock-based compensation, for our personnel in executive management, legal, finance, human resources, corporate communications, sales and marketing and other administrative functions. General and administrative expenses also include professional fees paid for accounting, auditing, legal, tax and consulting services, and other general overhead costs to support our operations. General and administrative expenses are recorded as expense in the period in which they are incurred, and payments we make prior to the receipt of goods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services to be used for general and administrative purposes are deferred as prepaid expenses until the goods or services are received and used.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general and administrative expenses incurred during the respective periods: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46"/>
        <w:gridCol w:w="346"/>
        <w:gridCol w:w="211"/>
        <w:gridCol w:w="676"/>
        <w:gridCol w:w="146"/>
        <w:gridCol w:w="146"/>
        <w:gridCol w:w="211"/>
        <w:gridCol w:w="676"/>
        <w:gridCol w:w="146"/>
        <w:gridCol w:w="146"/>
        <w:gridCol w:w="211"/>
        <w:gridCol w:w="676"/>
        <w:gridCol w:w="366"/>
        <w:gridCol w:w="346"/>
        <w:gridCol w:w="211"/>
        <w:gridCol w:w="676"/>
        <w:gridCol w:w="146"/>
        <w:gridCol w:w="146"/>
        <w:gridCol w:w="211"/>
        <w:gridCol w:w="676"/>
        <w:gridCol w:w="146"/>
        <w:gridCol w:w="146"/>
        <w:gridCol w:w="211"/>
        <w:gridCol w:w="676"/>
        <w:gridCol w:w="311"/>
      </w:tblGrid>
      <w:tr>
        <w:trPr/>
        <w:tc>
          <w:tcPr>
            <w:tcW w:w="2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compensation and related benefits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16,151</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planning and medical affairs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11,486</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Legal, accounting and audit fees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Software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Consultants, including non-employee director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30,464</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53,669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increased by $30.5 million, or 139%, to $52.4 million in the three months ended June 30, 2026, from $21.9 million in the three months ended June 30, 2025, primarily due to an increase of $16.2 million in employee compensation and related benefits expenses, including stock-based compensation, as a result of increased general and administrative employee headcount including sales personnel, an increase of $11.5 million in commercial planning and medical affairs expenses related to marketing, market research, market access, medical information, and health economics activities in preparation for the anticipated commercial launch of TRUTAKNA, an increase of $0.7 million in software expenses primarily supporting anticipated commercial operations, and an increase of $0.3 million in consulting expenses. The $1.9 million increase in other general and administrative expenses was primarily driven by increases of $1.2 million in corporate communications expenses and $0.9 million in business travel expenses, partially offset by decreases of $0.3 million in recruiting and placement expenses and $0.2 million in rent and facilities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by $53.7 million, or 142%, to $91.5 million in the six months ended June 30, 2026, from $37.9 million in the six months ended June 30, 2025, primarily due to an increase of $28.9 million in employee compensation and related benefits expenses, including stock-based compensation, as a result of increased general and administrative employee headcount including sales personnel, an increase of $18.8 million in commercial planning and medical affairs expenses related to marketing, market research, market access, medical information, and health economics activities in preparation for the anticipated commercial launch of TRUTAKNA, an increase of $1.6 million in software expenses to support scaling operations, and an increase of $0.3 million in legal, accounting, and audit expenses, partially offset by a decrease of $0.1 million in consulting expenses. The $4.2 million increase in other general and administrative expenses was primarily driven by increases of $1.9 million in corporate communications expenses, $1.6 million in business travel expenses, $0.6 million in recruiting and placement expenses, and $0.4 million in information technology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general and administrative expenses to increase in future periods as we scale up commercial manufacturing capacity, continue to build out a sales, marketing, and distribution infrastructure to support TRUTAKNA and any other approved product candidates, and provide general and administrative support for our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96"/>
        <w:gridCol w:w="346"/>
        <w:gridCol w:w="211"/>
        <w:gridCol w:w="631"/>
        <w:gridCol w:w="166"/>
        <w:gridCol w:w="146"/>
        <w:gridCol w:w="211"/>
        <w:gridCol w:w="631"/>
        <w:gridCol w:w="166"/>
        <w:gridCol w:w="146"/>
        <w:gridCol w:w="211"/>
        <w:gridCol w:w="481"/>
        <w:gridCol w:w="366"/>
        <w:gridCol w:w="346"/>
        <w:gridCol w:w="211"/>
        <w:gridCol w:w="676"/>
        <w:gridCol w:w="166"/>
        <w:gridCol w:w="146"/>
        <w:gridCol w:w="211"/>
        <w:gridCol w:w="676"/>
        <w:gridCol w:w="166"/>
        <w:gridCol w:w="146"/>
        <w:gridCol w:w="211"/>
        <w:gridCol w:w="631"/>
        <w:gridCol w:w="411"/>
      </w:tblGrid>
      <w:tr>
        <w:trPr/>
        <w:tc>
          <w:tcPr>
            <w:tcW w:w="24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net, decreased by $0.6 million, or 16%, to $3.0 million for the three months ended June 30, 2026, from $3.6 million in the three months ended June 30, 2025, primarily due to a decrease of $1.0 million in interest income resulting from lower average balances of marketable securities held during the three months ended June 30, 2026, as compared to the three months ended June 30, 2025, and a decrease in sublease income of $0.5 million due to the expiration of a sublease to a third-party in September 2025, partially offset by a decrease of $0.5 million in amortization of deferred debt issuance costs for unfunded loan commitments relating to the refinancing of the Oxford credit facility in June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decreased by $2.0 million, or 22%, to $7.1 million for the six months ended June 30, 2026, from $9.1 million in the six months ended June 30, 2025, primarily due to a decrease of $1.5 million in interest income resulting from lower average balances of marketable securities held during the three months ended June 30, 2026, as compared to the three months ended June 30, 2025 and a decrease in sublease income of $1.0 million due to the expiration of a sublease to a third-party in September 2025, partially offset by an increase of $0.2 million in currency exchange gains and losses and an increase of $0.3 million in unrealized gains and losses.</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funded our operations primarily through proceeds from the sale of shares of our common stock, redeemable convertible preferred stock, debt financing and convertible notes. From our inception through June 30, 2026, we have raised aggregate net cash proceeds of approximately $1.3 billion from the issuance and sale of redeemable convertible preferred stock, convertible notes and common stock, and proceeds from our Loan Agreements with Oxford. Since the date of our incorporation, we have not generated any revenue from product sales and have incurred substantial operating losses and negative cash flows from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we entered into an agreement to refinance our existing debt by replacing the existing $50.0 million in notes payable with $75.0 million in new notes payable. We received aggregate net proceeds of approximately $23.3 million, after deducting debt issuance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we completed a follow-on public offering and issued 7,058,824 shares of common stock for net proceeds of approximately $281.3 million, after deducting underwriting fees and offering-related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2025, we entered into a Sales Agreement (the Sales Agreement) with TD Securities (USA) LLC (TD Cowen). Under the Sales Agreement, we may offer and sell, from time to time, through TD Cowen as our sales agent and/or principal, shares of our common stock, having an aggregate offering amount of up to $200 million (the Shares). We are not obligated to sell Shares under the Sales Agreement. We will pay TD Cowen a commission of up to 3.0% of the gross sales proceeds of any Shares sold through TD Cowen under the Sales Agreement. As of June 30, 2026, there have been no sales under the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our cash to fund operations, primarily to fund our research and development efforts, including clinical trials, build a sales, marketing and distribution infrastructure to support commercial activities, establish and maintain our intellectual property portfolio, hire personnel, raise capital, and provide general and administrative support for these operations. Cash used to fund operating expenses is affected by the timing of when we pay these expenses, as reflected in the change in our outstanding accounts payable, accrued expenses and prepaid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we will continue to incur net losses for the foreseeable future as we continue research and development activities for our lead product and product candidates, hire additional staff, including clinical, commercial, operational, administrative and management personnel, and incur additional expenses associated with operating as a public company. We expect to incur significant expenses and operating losses for the foreseeable future as we continue to commercialize TRUTAKNA and advance our clinical development activities and our product candidate portfolio. We expect that our research and development and selling, general and administrative costs will increase substantially in connection with conducting additional clinical trials for our research programs, lead product, and product candidates, contracting with third parties to support nonclinical studies and clinical trials, expanding our intellectual property portfolio, scaling up external commercial manufacturing capacity, continuing to build a sales, marketing and distribution infrastructure to successfully commercialize TRUTAKNA and any other approved product candidates, and providing general and administrative support for our operations. As a result, we will need additional capital to fund our operations, which we may obtain from additional equity or debt financings, collaborations, licensing arrangements, or other 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cash, cash equivalents and marketable securities of $499.2 million, as compared to $714.6 million as of December 31, 2025. We believe, based on our current operating plan, that our cash, cash equivalents and marketable securities as of June 30, 2026 will be sufficient to fund our planned operations and capital expenditure requirements for at least the next 12 months from the date of this Quarterly Report on Form 10-Q.</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indicated:</w:t>
      </w:r>
    </w:p>
    <w:p>
      <w:pPr>
        <w:pStyle w:val="TextBody"/>
        <w:bidi w:val="0"/>
        <w:jc w:val="left"/>
        <w:rPr/>
      </w:pPr>
      <w:r>
        <w:rPr/>
        <w:t> </w:t>
      </w:r>
    </w:p>
    <w:tbl>
      <w:tblPr>
        <w:tblW w:w="6974" w:type="dxa"/>
        <w:jc w:val="left"/>
        <w:tblInd w:w="0" w:type="dxa"/>
        <w:tblLayout w:type="fixed"/>
        <w:tblCellMar>
          <w:top w:w="28" w:type="dxa"/>
          <w:left w:w="28" w:type="dxa"/>
          <w:bottom w:w="28" w:type="dxa"/>
          <w:right w:w="28" w:type="dxa"/>
        </w:tblCellMar>
      </w:tblPr>
      <w:tblGrid>
        <w:gridCol w:w="4201"/>
        <w:gridCol w:w="146"/>
        <w:gridCol w:w="211"/>
        <w:gridCol w:w="841"/>
        <w:gridCol w:w="166"/>
        <w:gridCol w:w="146"/>
        <w:gridCol w:w="211"/>
        <w:gridCol w:w="841"/>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six months ended June 30, 2026, we used $206.8 million of cash in operating activities, attributable to a net loss of $230.5 million and an increase in our net operating assets and liabilities of $20.2 million, partially offset by $15.0 million in license fees attributable to investing activities and adjustments for non-cash charges of $28.9 million. Non-cash charges primarily consisted of $29.1 million of stock-based compensation and $1.3 million net in accretion and amortization of loan exit fees and costs, partially offset by non-cash interest income of $1.9 million related to amortization of discount on purchases of marketable securities. The change in our net operating assets and liabilities was primarily due to a decrease of $7.3 million in accounts payable, an increase of $14.6 million in prepaid expense and other current assets, and a decrease of $0.4 million in operating lease liabilities, partially offset by an increase of $2.1 million in accrued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six months ended June 30, 2025, we used $109.2 million of cash in operating activities, attributable to a net loss of $128.2 million, partially offset by adjustments for non-cash charges of $14.3 million, $0.8 million in license fees attributable to investing activities, and a decrease in our net operating assets and liabilities of $3.9 million. Non-cash charges primarily consisted of $17.2 million of stock-based compensation, non-cash interest income of $4.4 million related to amortization of discount on purchases of marketable securities, and a $0.9 million reduction in the carrying amount of operating lease right-of-use assets. The change in our net operating assets and liabilities was primarily due to an increase of $3.3 million in accrued and other current liabilities and an increase of $5.5 million in accounts payable, partially offset by an increase of $4.2 million in prepaid expense and other current assets and a decrease of $0.9 million in operating lease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cash used in operating activities from the six months ended June 30, 2025 to the six months ended June 30, 2026 was primarily attributable to increased research and development and general and administrative expenses.</w:t>
      </w:r>
    </w:p>
    <w:p>
      <w:pPr>
        <w:pStyle w:val="TextBody"/>
        <w:bidi w:val="0"/>
        <w:spacing w:before="24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six months ended June 30, 2026, our investing activities used $104.9 million of cash, primarily resulting from $308.6 million used for purchases of marketable securities and $15.0 million paid in license fees, partially offset by $218.9 million provided by maturities of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six months ended June 30, 2025, our investing activities provided $43.9 million of cash, primarily resulting from $232.3 million provided by maturities of marketable securities, partially offset by $187.3 million used for purchases of marketable securities.</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six months ended June 30, 2026, our financing activities provided $5.9 million of cash, resulting from proceeds from exercise of stock options and issuance of shares under our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six months ended June 30, 2025, our financing activities provided $21.8 million of cash, resulting from $23.3 million in net proceeds from borrowings from the initial funding under the 2025 Loan Agreement in June 2025, after repayment of borrowings under the 2021 Loan Agreement, $2.0 million in proceeds from exercise of stock options and issuance of shares under our employee stock purchase plan, and $3.5 million in payment of deferred issuance costs related to unfunded loan commitments under the 2025 Loan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there were no material changes to our contractual obligations and commitments from those described under “Management’s Discussion and Analysis of Financial Condition and Results of Operations” in the Annual Report.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17, 2021, we entered into a Loan and Security Agreement (the 2021 Loan Agreement) with a loan syndicate involving Oxford Finance LLC, Oxford Finance Credit Fund II LP (OFCF II), and Oxford Finance Credit Fund III LP (OFCF III). The 2021 Loan Agreement provided for term loans (collectively, the Loan) in an aggregate maximum principal amount of $50.0 million, of which $5.0 million was funded on December 17, 2021, $20.0 million was funded on November 4, 2022, and the remaining $25.0 million was funded in December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2023, we opted to extend the final maturity date of the Loan from December 2026 to December 2027, based on positive Phase 2b clinical trial data of atacicept in IgAN, as provided in the 2021 Loan Agreement. We were required to make monthly interest-only payments for 60 months followed by full amortization through maturity.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we refinanced our debt under the 2021 Loan Agreement by entering into a new non-revolving loan and security agreement, the proceeds of which were partially used to prepay the outstanding principal balance of the 2021 Loan Agreement in full. As a result, we no longer have any contractual obligations and commitments under the 2021 Loan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2025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 2025, we entered into a Loan and Security Agreement (the 2025 Loan Agreement) with a loan syndicate involving Oxford Finance, OFCF II, OFCF III, and Oxford Finance Credit Fund IV LP (OFCF IV) (collectively, Oxford). The 2025 Loan Agreement provides for term loans (collectively, the 2025 Loan) in an aggregate maximum principal amount of $500.0 million, of which $75.0 million was funded on June 4,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2025 Loan Agreement is scheduled to mature in June 2030, but the maturity date can be extended based on achievement of a revenue-based interest-only extension milestone as of the end of the initial interest-only period in August 2029. If the Company achieves this interest-only extension milestone, the maturity date and the end of the interest-only period will be extended to June 2031 and August 2030, respectively. We are required to make monthly interest-only payments for 49 months (or 61 months upon achievement of the revenue-based interest-only extension milestone mentioned above) followed by full amortization through maturity.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2025 Loan incurs interest at a floating per annum rate (based on the actual number of days elapsed divided by a year of 360 days) equal to the sum of (a) the greater of (i) the 1-Month CME Term Secured Overnight Financing Rate (SOFR) and (ii) 3.75%, plus (b) 4.95%.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permitted to prepay the 2025 Loan in full or in part at any time upon 10 business days’ written notice to Oxford, subject to payment of the applicable Prepayment Fee (as defined in (c) below). Upon the earliest to occur of the maturity date, acceleration of the 2025 Loan or prepayment of the 2025 Loan, we are required to make a final payment equal to 5.0% of the aggregate principal amount of the 2025 Loan (the Final Fee). Any prepayments of the 2025 Loan must be accompanied by (a) accrued and unpaid interest thereon, (b) the Final Fee and (c) prepayment fee of (i) 2.0% of the portion of the 2025 Loan being prepaid if the repayment is on or before June 4, 2027 or (ii) 1.0% of the portion of the 2025 Loan being prepaid if the repayment is after June 4, 2027 through June 4, 2028 (the Prepayment Fee). There is no Prepayment Fee for any prepayments occurring after June 4,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obligations under the 2025 Loan Agreement are secured by a security interest in substantially all of our assets, other than our intellectual property, which is subject to a negative pledge. The 2025 Loan Agreement contains two financial related covenants. Also included in the 2025 Loan Agreement are customary representations and covenants that, subject to exceptions, restrict our ability to, among other things: declare dividends or redeem or repurchase equity interests; incur additional liens; make loans and investments; incur additional indebtedness; engage in mergers, acquisitions, and asset sales; transact with affiliates; undergo a change in control; add or change business locations; and engage in businesses that are not related to our existing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occurrence of an event of default, a default interest rate of an additional 4.0% may be applied to the outstanding loan balances, and Oxford may declare all outstanding obligations immediately due and payable and take such other actions as set forth in the 2025 Loan Agreement. Events of default under the 2025 Loan Agreement include customary events of default, including, but not limited to: (i) non-payment; (ii) failure to perform any obligation under the 2025 Loan Agreement and related documents; (iii) the occurrence of a material adverse change; (iv) bankruptcy and other insolvency events; (v) cross-defaults; and (vi) judgment defaults.</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discussion and analysis of our financial condition and results of operations is based on our unaudited condensed financial statements, which have been prepared in accordance with GAAP. The preparation of these unaudited condensed financial statements requires us to make estimates and assumptions that affect the reported amounts of assets and liabilities, and the disclosure of contingent assets and liabilities, at the date of the financial statements, as well as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critical accounting policies are described in the section titled “Management’s Discussion and Analysis of Financial Condition and Results of Operations – Critical Accounting Policies and Significant Judgments and Estimates” in the Annual Report and the notes to our unaudited condensed financial statements appearing elsewhere in this Quarterly Report on Form 10-Q. During the six months ended June 30, 2026, there were no material changes to our critical accounting policies and estimates from those discussed in the Annual Report.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1" w:name="item_3_quantitative_and_qualitative"/>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risks in the ordinary course of our business. These risks primarily include interest rate sensitivities. As of December 31, 2025 and June 30, 2026, we had cash, cash equivalents, and marketable securities of $714.6 million and $499.2 million, respectively, consisting primarily of money market funds, U.S. government bonds, and corporate debt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exposure to market risk is interest rate sensitivity in our fixed income portfolio, which is affected by changes in the general level of U.S. interest rates. Due to the short-term duration of our investment portfolio and the low risk profile of our investment portfolio, an immediate 100 basis point change in interest rates as of December 31, 2025 and June 30, 2026 would not have a material effect on the fair market value of our cash, cash equivalents, and marketable securities. We have the ability to hold our investments until maturity, and therefore, we would not expect our operating results or cash flows to be affected to any significant degree by the effect of a change in market interest rates on our investment portfolio.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exposed to interest rate risk in connection to our borrowings under our 2025 Loan Agreement with Oxford. As of June 30, 2026, we had $75.0 million of outstanding borrowings under the 2025 Loan Agreement. Pursuant to the 2025 Loan Agreement, outstanding indebtedness under the term loan bears interest at a per annum rate equal to the sum of (a) the greater of (i) the 1-Month CME Term SOFR (Term SOFR) and (ii) 3.75%, plus (b) 4.95%. We currently do not engage in any interest rate hedging activity, and we have no intention to do so in the foreseeable future. Based on the current interest rate of the term loan and the scheduled payments thereunder, we do not believe a 1.0% increase in the Term SOFR would have a material impact on our financial condition or results of operations. For more information regarding the 2025 Loan Agreement, see Note 5, Notes Payable, to our unaudited condensed financial statements.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Financial institution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Substantially all of our cash is held with a single financial institution. Due to its size, this financial institution represents a minimal credit risk. Cash amounts held at financial institutions are insured by the Federal Deposit Insurance Corporation up to $250,000 per depositor, per financial institution.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Foreign currency exchange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exposed to market risk related to changes in foreign currency exchange rates, including recent changes resulting from monetary policies set by the U.S. and international central banks, inflationary pressures, and geopolitical developments, or instability or volatility in the global markets. From time to time, we contract with vendors that are located in Asia and Europe and whose balances due are denominated in foreign currencies. We are subject to fluctuations in foreign currency rates in connection with these agreements. We do not currently hedge our foreign currency exchange rate risk. As of June 30, 2026 and December 31, 2025, we held limited funds and future obligations denominated in foreign currencies. As such, a 10.0% increase or decrease in current exchange rates would not have a material effect on our financial results.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Effects of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generally affects us by increasing our cost of labor, pricing of contracts for clinical trial and manufacturing costs, and indirectly, interest rates. We do not believe that inflation has had a material effect on our business, financial condition, or results of operations during the periods presented.</w:t>
      </w:r>
    </w:p>
    <w:p>
      <w:pPr>
        <w:pStyle w:val="TextBody"/>
        <w:bidi w:val="0"/>
        <w:spacing w:before="360" w:after="283"/>
        <w:jc w:val="left"/>
        <w:rPr>
          <w:rFonts w:ascii="Times New Roman" w:hAnsi="Times New Roman"/>
          <w:sz w:val="20"/>
        </w:rPr>
      </w:pPr>
      <w:bookmarkStart w:id="12" w:name="item_4_controls_and_procedures"/>
      <w:bookmarkEnd w:id="12"/>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(CEO) and chief financial officer (CFO), evaluated the effectiveness of our disclosure controls and procedures (as defined in Rules 13a-15(e) and 15d-15(e) under the Securities Exchange Act of 1934, as amended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upon such evaluation, our CEO and CFO concluded that, as of June 30, 2026, our disclosure controls and procedures are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CEO and CFO, as appropriate, to allow timely decisions regarding required disclosure.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identified no changes in our internal control over financial reporting (as defined in Exchange Act Rules 13a-15(f) and 15d-15(f)) during the quarter ended June 30, 2026, that have materially affected, or are reasonably likely to materially affect, our internal control over financial reporting.</w:t>
      </w:r>
    </w:p>
    <w:p>
      <w:pPr>
        <w:pStyle w:val="TextBody"/>
        <w:bidi w:val="0"/>
        <w:spacing w:before="240" w:after="283"/>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13" w:name="part_ii_other_information"/>
      <w:bookmarkEnd w:id="13"/>
      <w:r>
        <w:rPr>
          <w:rFonts w:ascii="Times New Roman" w:hAnsi="Times New Roman"/>
          <w:b/>
          <w:color w:val="000000"/>
          <w:sz w:val="20"/>
        </w:rPr>
        <w:t>PART II.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or be subject to claims arising in the ordinary course of our business. We are not currently a party to any material legal proceedings. Regardless of outcome, such proceedings or claims can have an adverse impact on us because of defense and settlement costs, diversion of resources and other factors, and there can be no assurances that favorable outcomes will be obtained.</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An investment in shares of our common stock involves a high degree of risk. You should carefully consider the risks described below, as well as the other information in this Quarterly Report on Form 10-Q, including our unaudited condensed financial statements and the related notes and the section titled “Management’s Discussion and Analysis of Financial Condition and Results of Operations” before deciding whether to purchase, hold or sell shares of our common stock. The occurrence of any of the risks described below could harm our business, financial condition, results of operations, growth prospects, and/or stock price or cause our actual results to differ materially from those contained in forward-looking statements we have made in this Quarterly Report on Form 10-Q and those we may make from time to time. You should consider all of the risk factors described when evaluating our business.</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jc w:val="left"/>
        <w:rPr>
          <w:rFonts w:ascii="Times New Roman" w:hAnsi="Times New Roman"/>
          <w:b/>
          <w:i/>
          <w:color w:val="000000"/>
          <w:sz w:val="20"/>
        </w:rPr>
      </w:pPr>
      <w:r>
        <w:rPr>
          <w:rFonts w:ascii="Times New Roman" w:hAnsi="Times New Roman"/>
          <w:b/>
          <w:i/>
          <w:color w:val="000000"/>
          <w:sz w:val="20"/>
        </w:rPr>
        <w:t>We have completed a limited number of clinical trials for our lead product, TRUTAKNA, and have only recently received accelerated approval for commercial sale in the United States, which may make it difficult to evaluate our current business and predict our future success and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commercial-stage biotechnology company and, until July 7, 2026, we had no products approved for commercial sale. At this time, we expect to record limited revenue from product sales during the third quarter of 2026 and have incurred losses since inception. To date, we have devoted substantially all of our resources to our research and development efforts, pre-clinical studies and clinical trials, preparing for commercialization, establishing and maintaining our intellectual property portfolio, hiring personnel, raising capital and providing general and administrative support for these operations. We have not yet demonstrated over an extended period of time our ability to successfully conduct sales and marketing activities necessary for successful product commercialization. As a result, it may be more difficult to accurately predict our future success or viability than it would be if we had a longer operating history.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encounter unforeseen expenses, difficulties, complications, delays and other known and unknown factors and risks frequently experienced by biotechnology companies in rapidly evolving fields. We may face difficulty transitioning from a company with a clinical development focus to a company capable of supporting successful commercial operations. If we do not adequately address these risks and difficulties or successfully make such a transition, our business, financial condition, results of operations and prospects will be significantly harmed.</w:t>
      </w:r>
    </w:p>
    <w:p>
      <w:pPr>
        <w:pStyle w:val="TextBody"/>
        <w:bidi w:val="0"/>
        <w:jc w:val="left"/>
        <w:rPr>
          <w:rFonts w:ascii="Times New Roman" w:hAnsi="Times New Roman"/>
          <w:b/>
          <w:i/>
          <w:color w:val="000000"/>
          <w:sz w:val="20"/>
        </w:rPr>
      </w:pPr>
      <w:r>
        <w:rPr>
          <w:rFonts w:ascii="Times New Roman" w:hAnsi="Times New Roman"/>
          <w:b/>
          <w:i/>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of our product candidates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treatments for immunological and rare diseases, including conducting nonclinical studies and clinical trials, is a very time-consuming, expensive and uncertain process that takes years to complete. Our operations have consumed substantial amounts of cash since inception, and we expect our expenses will increase in connection with our ongoing activities, particularly as we continue our commercialization efforts for our lead product and continue to conduct clinical trials of, and seek marketing approval for, our product candidates. We anticipate incurring significant commercialization expenses related to drug sales, marketing, manufacturing, and distribution costs associated with our commercialization efforts for our lead product. In addition, we expect to incur significant costs associated with the development of our product candidates. Our expenses could increase beyond expectations if we are required by the FDA, or any comparable foreign regulatory authority, to perform clinical trials or nonclinical studies in addition to those that we currently anticipate. Other unanticipated costs may also arise. We cannot reasonably estimate the actual amounts necessary to successfully commercialize our lead product or to complete the development of our product candidates. We also will continue to incur costs associated with operating as a public company. Accordingly, we will need to obtain substantial additional funding in order to maintain our continuing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$499.2 million in cash, cash equivalents and marketable securities. We expect that our existing cash, cash equivalents and marketable securities will be sufficient to fund our planned operations and capital expenditure requirements beyond the next 12 months from the date of this Quarterly Report on Form 10-Q. Our estimate is based on assumptions that may prove to be wrong, and we could use our available capital resources sooner than we currently expect. Changing circumstances, some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which may be beyond our control, could cause us to consume capital significantly faster than we currently anticipate, and we may need to seek additional funds sooner than planned. Moreover, it is particularly difficult to estimate with certainty our future expenses given the dynamic nature of our business and the macroeconomic and geopolitical environment generally.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or continue nonclinical studies and clinical trials for our lead product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approvals for any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scale up external manufacturing capacity with the aim of securing sufficient quantities to meet our capacity requirements for clinical trials and potential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continue to build a sales, marketing and distribution infrastructure to commercialize any approved products and related additional commercial manufacturing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maintain, expand, protect and enforce our intellectual property portfolio, including patents, trade secrets, and know-how;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develop or in-license other product candidates and technologies and further expand our clinical product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develop and retain additional clinical, scientific, quality control, commercial, and manufacturing management and administrative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clinical, operational, financial and management information systems and personnel, including personnel to support our product development and ongoing and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commercializing our lead product and advancing the development of our product candidates will require a significant amount of capital. Our working capital and available credit will not be sufficient to fund all of the activities that are necessary to successfully commercialize our lead product and complete the development of our product candidates through approval and commercial launch.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be required to obtain further funding through public or private equity offerings, debt financings, collaborations and licensing arrangements or other sources, which may dilute our stockholders or restrict our operating activities. Adequate additional financing may not be available to us on acceptable terms, or at all. Adverse geopolitical and macroeconomic developments, such as potential disruptions in access to bank deposits and lending commitments due to bank failures, ongoing military conflicts, related sanctions, actual and anticipated changes in interest rates, economic inflation and the responses by central banking authorities to control such inflation, could affect our ability to access capital as and when needed.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ongoing or future commercialization efforts.</w:t>
      </w:r>
    </w:p>
    <w:p>
      <w:pPr>
        <w:pStyle w:val="TextBody"/>
        <w:bidi w:val="0"/>
        <w:jc w:val="left"/>
        <w:rPr>
          <w:rFonts w:ascii="Times New Roman" w:hAnsi="Times New Roman"/>
          <w:b/>
          <w:i/>
          <w:color w:val="000000"/>
          <w:sz w:val="20"/>
        </w:rPr>
      </w:pPr>
      <w:r>
        <w:rPr>
          <w:rFonts w:ascii="Times New Roman" w:hAnsi="Times New Roman"/>
          <w:b/>
          <w:i/>
          <w:color w:val="000000"/>
          <w:sz w:val="20"/>
        </w:rPr>
        <w:t>We have incurred net losses since inception and expect to record limited revenue from product sales during the third quarter of 2026. We expect to continue to incur net losses at least until we have one or more approved products that achieve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in each reporting period since the commencement of our operations and expect to record limited revenue from product sales during the third quarter of 2026. We had net losses of $109.5 million and $76.5 million for the three months ended June 30, 2026 and 2025, respectively. We had an accumulated deficit of $991.4 million as of June 30, 2026. Our losses have resulted principally from expenses incurred in research and development and from general and administrative costs and other expenses that we have incurred while building our business infrastructure. Our product candidates are in clinical and pre-clinical development. Even though TRUTAKNA received accelerated approval by the FDA for the treatment of IgAN in the U.S. in July 2026, we expect that it will be years, if ever, before revenue from product sales will result in net income. In addition, we expect that we will continue to incur substantial research and development and other expenses as we continue the clinical development programs for our lead product and product candidates in other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increased expenses and operating losses for the foreseeable future as we continue to commercialize our lead product, continue our research and development efforts and seek to obtain regulatory approval for our product candidates. The net losses we incur may fluctuate significantly from quarter to quarter such that a period-to-period comparison of our results of operations may not be an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losses and negative cash flows from operations. As a company which received its first FDA accelerated approval for a product in July 2026, we expect to continue to incur significant losses at least until we successfully commercialize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Successful commercialization of a product is not guaranteed and may never be achieved. As a result, there is a possibility that the company may never be profitable.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 from product sales and achieve profitability depends on our ability, alone or with our collaboration partners, to successfully commercialize our lead product and complete the development of, and obtain the regulatory approvals necessary to commercialize our product candidates. Our ability to generate revenue from product sales depends heavily on our and our potential future collaborators’ success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completing clinical development of product candidates and programs and identifying and developing new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seeking and obtaining marketing approvals for any product candidates that we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launching and commercializing approved products by establishing a sales force, marketing, medical affairs and distribution infrastructure or, alternatively, collaborating with a commercialization partner;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achieving adequate access and reimbursement by government and third-party payors for our lead product and product candidates that we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supply and manufacturing relationships with third parties that can provide adequate, in both amount and quality, products and services to support clinical development of our product candidates and the market demand for our lead product and product candidates that we develop,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market acceptance of our lead product and any product candidates that we develop as viable treatment options;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addressing any competing technological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our rights under our existing license agreements and any similar agreements we may enter into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negotiating favorable terms in any collaboration, licensing or other arrangements into which we may enter and performing our obligations in such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protecting, enforcing and expanding our portfolio of intellectual property rights, including patents, trade secrets and know-how;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defending against third-party interference, infringement or other intellectual property-related claims, if 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attracting, developing and retaining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a product candidate that we develop is approved for commercial sale, we anticipate incurring significant costs associated with commercializing such approved product candidate, including our lead product. Our expenses could increase beyond expectations if we are required by the FDA or comparable foreign regulatory authorities to perform clinical trials or nonclinical studies in addition to those that we currently anticipate. Even if we are able to generate revenue from the sale of any approved products, we may not be able to reach or sustain profitability, and may need to obtain additional funding to continue operations.</w:t>
      </w:r>
    </w:p>
    <w:p>
      <w:pPr>
        <w:pStyle w:val="TextBody"/>
        <w:bidi w:val="0"/>
        <w:jc w:val="left"/>
        <w:rPr>
          <w:rFonts w:ascii="Times New Roman" w:hAnsi="Times New Roman"/>
          <w:b/>
          <w:i/>
          <w:color w:val="000000"/>
          <w:sz w:val="20"/>
        </w:rPr>
      </w:pPr>
      <w:r>
        <w:rPr>
          <w:rFonts w:ascii="Times New Roman" w:hAnsi="Times New Roman"/>
          <w:b/>
          <w:i/>
          <w:color w:val="000000"/>
          <w:sz w:val="20"/>
        </w:rPr>
        <w:t>The terms of our loan agreement place restrictions on our operating and financial flexibility. If we raise additional capital through debt financing, the terms of any new debt could further restrict our ability to operate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we entered into a Loan and Security Agreement (2025 Loan Agreement) with a loan syndicate involving Oxford Finance LLC, Oxford Finance Credit Fund II LP, Oxford Finance Credit Fund III LP, and Oxford Finance Credit Fund IV LP (collectively, Oxford) providing for borrowing capacity of up to $500.0 million. As of June 30, 2026, our outstanding debt balance under the 2025 Loan Agreement was $75.0 million. Our overall leverage and certain obligations and affirmative and negative covenants contained in the related documentation could adversely affect our financial health and business and future operations by limiting our ability to, among other things, satisfy our obligations under the 2025 Loan Agreement, refinance our debt on terms acceptable to us or at all, plan for and adjust to changing business, industry and market conditions, use our available cash flow to fund future acquisitions and make dividend payments, and obtain additional financing for working capital, to fund growth or for general corporate purposes, even when necessary to maintain adequate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default under the 2025 Loan Agreement, Oxford may accelerate all of our repayment obligations and exercise all of their rights and remedies under the 2025 Loan Agreement and applicable law, potentially requiring us to renegotiate our agreement on terms less favorable to us. Further, if we are liquidated, the lenders’ right to repayment would be senior to the rights of the holders of our common stock to receive any proceeds from the liquidation. Oxford could declare a default upon the occurrence of customary events of default, including events that they interpret as a material adverse change as delineated in the 2025 Loan Agreement, payment defaults or breaches of certain affirmative or negative covenants, thereby requiring us to repay the loan immediately. Any declaration by the lender of an event of default could significantly harm our business and prospects and could cause the price of our common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to decline. Additionally, if we raise any additional debt financing, the terms of such additional debt could further restrict our operating and financial flexibility.</w:t>
      </w:r>
    </w:p>
    <w:p>
      <w:pPr>
        <w:pStyle w:val="TextBody"/>
        <w:bidi w:val="0"/>
        <w:jc w:val="left"/>
        <w:rPr>
          <w:rFonts w:ascii="Times New Roman" w:hAnsi="Times New Roman"/>
          <w:b/>
          <w:color w:val="000000"/>
          <w:sz w:val="20"/>
        </w:rPr>
      </w:pPr>
      <w:r>
        <w:rPr>
          <w:rFonts w:ascii="Times New Roman" w:hAnsi="Times New Roman"/>
          <w:b/>
          <w:color w:val="000000"/>
          <w:sz w:val="20"/>
        </w:rPr>
        <w:t>Risks related to the successful commercialization of our lead product and the development of our product candidates</w:t>
      </w:r>
    </w:p>
    <w:p>
      <w:pPr>
        <w:pStyle w:val="TextBody"/>
        <w:bidi w:val="0"/>
        <w:jc w:val="left"/>
        <w:rPr>
          <w:rFonts w:ascii="Times New Roman" w:hAnsi="Times New Roman"/>
          <w:b/>
          <w:i/>
          <w:color w:val="000000"/>
          <w:sz w:val="20"/>
        </w:rPr>
      </w:pPr>
      <w:r>
        <w:rPr>
          <w:rFonts w:ascii="Times New Roman" w:hAnsi="Times New Roman"/>
          <w:b/>
          <w:i/>
          <w:color w:val="000000"/>
          <w:sz w:val="20"/>
        </w:rPr>
        <w:t>TRUTAKNA is our only FDA-approved product and the success of our business depends, in part, on its successful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TRUTAKNA was recently approved by the FDA for the treatment of IgAN. The success of our business will depend, in part, on the successful commercialization of TRUTAKNA. The commercial success of TRUTAKNA will depend on a number of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sales team and scale our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adequate reimbursement for TRUTAKNA;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physicians, payors and patients of the benefits, safety and efficacy of TRUTAKNA, including relative to alternative and competing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continued acceptable safety profile of TRUTAKNA;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obtain the substances and materials from third parties and to have finished product manufactured by third parties in accordance with regulatory requirements and in sufficient quantities for our commercial needs;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enforce intellectual property rights in and to TRUTAKNA and avoid third-party patent interference or intellectual property infringement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achieve one or more of these factors, many of which are beyond our control, in a timely manner or at all, we could experience significant delays or an inability to successfully commercialize TRUTAKNA, which would harm our business, financial condition, operating results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have never successfully commercialized a product before and may lack the necessary expertise, personnel and resources to successfully commercialize any product on our own or together with suitable collaborators.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an organization, we have never successfully commercialized a product, and we are currently building and strengthening marketing, sales force, market access, and distribution capabilities. To achieve commercial success for a product, which we may license to others, we will rely on the assistance and guidance of those collaborators. For any products for which we retain commercialization rights, we will have to develop and maintain our own sales, marketing and supply organization or outsource these activities to a third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Factors that may affect our ability to successfully commercialize TRUTAKNA include recruiting and retaining adequate numbers of effective sales and marketing personnel, obtaining access to or educating adequate numbers of physicians on its benefits and other unforeseen costs associated with creating an independent sales and marketing organization. Developing a sales and marketing organization has been and will continue to be expensive and time-consuming. We may not be able to maintain an effective sales and marketing organization. If we are unable to build our own distribution and marketing capabilities or to find suitable partners for the successful commercialization of TRUTAKNA, we may not generate revenues or be able to achieve or sustain profitability.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TRUTAKNA may fail to achieve the broad degree of physician and patient adoption and use necessary for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commercial success of TRUTAKNA will depend significantly on its broad adoption and use by physicians and patients for the approved indication. The degree and rate of physician and patient adoption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profile as demonstrated in clinical trials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TRUTAKNA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use, such as warnings or precautions in labeling, which may not be required of alternative treatments and competitor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TRUTAKNA over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pricing and the availability of coverage and adequate reimbursement by third-party payors, including government authorities;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TRUTAKNA for use in combination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sales and marketing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inclusion or exclusion of TRUTAKNA from treatment guidelines established by various physician groups;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publicity relating to TRUTAKNA or similar approved products or product candidates in development by third parties;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of other new therapies for the same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medical products also depend on the willingness of physicians to prescribe the treatment, which is likely to be based on a determination by these physicians that the products are safe, therapeutically effective and accessible to patients.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professionals, government agencies, regulatory authorities or private insurers will determine that TRUTAKNA is safe, therapeutically effective and cost effective as compared with competing treatments. If our lead product does not achieve an adequate level of acceptance by such parties, we may not generate or derive sufficient revenue and may not be able to achieve or sustain profitability.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depend, in part, on the success of our product candidates. If we are unable to complete development of, obtain regulatory approval for and successfully commercialize our product candidates in one or more indications and in a timely manner, our business, financial condition, results of operations and prospects will be significantly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depends, in part, on our ability to timely complete clinical trials, obtain marketing approval for and successfully commercialize our product candidates. We expect that a substantial portion of our efforts and expenses over the next several years will continue to be devoted to the development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invest significant efforts and financial resources in the research and development of our product candidates, which will require additional clinical development, evaluation of clinical, nonclinical and manufacturing activities, marketing approval from regulatory authorities, and significant marketing efforts before we can generate any revenues from product sales. We are not permitted to market or promote our product candidates before we receive marketing approval from the FDA and comparable foreign regulatory authorities, and we may never receive such marketing approvals. We cannot assure you that our planned clinical development programs for our product candidates will be completed in a timely manner, or at all, or that we will be able to obtain approval for our product candidates from the FDA or comparable foreign regulatory authorities. If we are unable to complete development of, obtain regulatory approval for and successfully commercialize our product candidates in one or more indications and in a timely manner, our business, financial condition, results of operations and prospects will be harmed.</w:t>
      </w:r>
    </w:p>
    <w:p>
      <w:pPr>
        <w:pStyle w:val="TextBody"/>
        <w:bidi w:val="0"/>
        <w:jc w:val="left"/>
        <w:rPr>
          <w:rFonts w:ascii="Times New Roman" w:hAnsi="Times New Roman"/>
          <w:b/>
          <w:i/>
          <w:color w:val="000000"/>
          <w:sz w:val="20"/>
        </w:rPr>
      </w:pPr>
      <w:r>
        <w:rPr>
          <w:rFonts w:ascii="Times New Roman" w:hAnsi="Times New Roman"/>
          <w:b/>
          <w:i/>
          <w:color w:val="000000"/>
          <w:sz w:val="20"/>
        </w:rPr>
        <w:t>Clinical development is a lengthy and expensive process with an uncertain outcome, and results of earlier studies and trials may not be predictive of future trial results. Failure can occur at any stage of clinical development. If we are ultimately unable to obtain regulatory approval for our product candidates, our business, financial condition, results of operations and prospects will be significantly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testing is expensive and can take many years to complete, and its outcome is inherently uncertain. Failure can occur at any time during the clinical trial process. The results of nonclinical studies and early clinical trials may not be predictive of the results of subsequent clinical trials. We have limited experience in conducting large scale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candidates in later stages of clinical trials may fail to show the desired safety and efficacy traits despite having progressed through nonclinical studies and initial clinical trials. For example, atacicept has been the subject of clinical trials by prior sponsors, including a Phase 2 trial in systemic lupus erythematosus, that missed its primary endpoint in the overall study population. In the future, clinical trial failures may result from a multitude of factors including flaws in trial design, dose selection, placebo effect and patient enrollment criteria. A number of companies in the biotechnology industry have suffered significant setbacks in advanced clinical trials due to lack of efficacy or adverse safety profiles, notwithstanding promising results in earlier trials. Based upon negative or inconclusive results, we or any potential future collaborator may decide to conduct additional clinical trials or nonclinical studies. Any future delays or abandonment could harm our business, financial condition, results of operations and prospects. Even if our clinical trials are completed as planned, we cannot be certain that their results will support our proposed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clinical trials may not be successful. If any product candidate is found to be unsafe or lack efficacy, we will not be able to obtain regulatory approval for it and our business, financial condition, results of operations and prospects may be significantly harmed. In some instances, there can be significant variability in safety and/or efficacy results between different trials of the same product candidate due to numerous factors, including changes in trial protocols, differences in composition of the patient populations,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adherence to the dosing regimen and other trial protocols and the dropout rate among clinical trial participants. As a result, assessments of efficacy can vary widely for a particular patient, and from patient to patient and site to site within a clinical trial. This subjectivity can increase the uncertainty of, and adversely impact, our clinical trial outcomes.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know whether our clinical trials will demonstrate consistent or adequate efficacy and safety to obtain regulatory approval to market our product candidates. Most product candidates that begin clinical trials are never approved by regulatory authorities for commercialization. If we are unable to bring our product candidates to market, our ability to create long-term shareholder value will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rely, in part, on nonclinical, clinical and quality data generated by CROs and other third parties in connection with our planned regulatory submissions.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nonclinical and clinical data are often susceptible to varying interpretations and analyses and many companies that believed their product candidates performed satisfactorily in nonclinical studies and clinical trials nonetheless failed to obtain FDA or comparable foreign regulatory authority approval. We cannot guarantee that the FDA or foreign regulatory authorities will interpret trial results as we do, and more trials could be required before we are able to submit an application seeking approval of our product candidates.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 product candidate, the terms of such approval may limit the scope and use, which may also limit commercial potential. Furthermore, the approval policies or regulations of the FDA or comparable foreign regulatory authorities may significantly change in a manner rendering our clinical data insufficient for approval, which may lead to the FDA or comparable foreign regulatory authorities delaying, limiting or denying approval of a product candidate.</w:t>
      </w:r>
    </w:p>
    <w:p>
      <w:pPr>
        <w:pStyle w:val="TextBody"/>
        <w:bidi w:val="0"/>
        <w:jc w:val="left"/>
        <w:rPr>
          <w:rFonts w:ascii="Times New Roman" w:hAnsi="Times New Roman"/>
          <w:b/>
          <w:i/>
          <w:color w:val="000000"/>
          <w:sz w:val="20"/>
        </w:rPr>
      </w:pPr>
      <w:r>
        <w:rPr>
          <w:rFonts w:ascii="Times New Roman" w:hAnsi="Times New Roman"/>
          <w:b/>
          <w:i/>
          <w:color w:val="000000"/>
          <w:sz w:val="20"/>
        </w:rPr>
        <w:t>Delays in clinical trials are common and have many causes, and any delay could result in increased costs to us and jeopardize or delay our ability to obtain regulatory approval and commence product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in clinical trials of our product candidates. Our planned clinical trials may not begin on time, have an effective design, enroll a sufficient number of participants, or be completed on schedule, if at all. Our clinical trials can be delayed for a variety of reasons, including delays related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regulatory authorizations to commence a clinical trial or reaching a consensus with regulatory authorities on trial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or delay in reaching an agreement with CROs and clinical trial sites, the terms of which can be subject to extensive negotiation and may vary significantly among different CROs and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approval from one or more institutional review boards (IRBs) or positive ethics committee opinions;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IRBs refusing to approve or ethics committees issuing negative opinions, suspending or terminating the trial at an investigational site, precluding enrollment of additional subjects, or withdrawing their approval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clinical trial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sites deviating from trial protocol or dropping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study conduct issues, which could confound the clinical endpoints and/or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sufficient quantities of clinical trial material to supply the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failing to enroll or remain in our trial at the rate we expect, or failing to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enrollment due to low prevalence or incidence rates of subjects with the applicable disease;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enrollment due to a shift in our prioritization and dedication of resources towards other product candidates or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choosing an alternative treatment or participating in competing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adequate funding to continue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experiencing severe or unexpected drug-related adverse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imposing a clinical hold;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occurrence of serious adverse events in trials of the same class of agents conducted by other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shutdowns, either temporarily or permanently, of any facility manufacturing our product candidates or any of their components, including by order from the FDA or comparable foreign regulatory authorities due to violations of current good manufacturing practice (cGMP) or similar foreign requirements, regulations or other applicable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contractors not performing data collection or analysis in a timely or accurate manner;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conducting clinical trials in foreign countries, as we may do for our lead product and product candidates, presents additional risks that may delay completion of our clinical trials. These risks include the failure of enrolled participants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in the completion of, or termination of, any clinical trial, the commercial prospects of our product candidates will be harmed, and our ability to generate product revenues will be delayed. Moreover, any delays in completing our clinical trials will increase our costs, slow down development and approval processes and jeopardize our ability to commence product sales and generate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many of the factors that cause, or lead to, termination or suspension of, or a delay in the commencement or completion of, clinical trials may also ultimately lead to the denial of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delays in our clinical trials that occur as a result could shorten any period during which we may have the exclusive right to commercialize our product candidates and our competitors may be able to bring products to market before we do, and the commercial viability of such product candidates could be significantly reduced. Any of these occurrences may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Enrollment and retention of participants in clinical trials is an expensive and time-consuming process and could be made more difficult or rendered impossible by multiple factors outside our control, due in part to the availability of competitive products and significant competition for recruiting participants in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and qualifying patients to participate in our clinical trials is critical to our success. We may encounter delays in enrolling, or be unable to enroll, a sufficient number of participants to complete any of our clinical trials, and even once enrolled we may be unable to retain a sufficient number of participants to complete any of our trials. Although we have engaged certain third-party investigators to assist with participant enrollment, there can be no assurance that we will be able to maintain our relationships with such third parties or that such third parties will be successful in helping us identify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Factors that may generally affect participant enrollment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nature of the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location of clinical sites we enroll;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with other companies for clinical sites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drug background and clinical experience (e.g., safety profile, risk/benefit assessment, mechanism of action, known proof of concept);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eligibility and exclusion criteria for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obtain and maintain participant consents;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 that enrolled participants will drop out before completion;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shift in our prioritization and dedication of resources towards other product candidates or indications; and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competing clinical trials and clinicians’ and patients’ perceptions as to the potential advantages of the drug being studied in relation to other available therapies, including any new drugs that may be approved for the indications we are investigating.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any significant adverse events or other side effects are observed in any of our future clinical trials or other sponsor development programs of similar mechanism of action that may result in a drug class effect, it may make it more difficult for us to recruit patients to our clinical trials and participants may drop out of our trials, or we may be required to abandon the trials or our development efforts of one or more product candidates altogether. Our inability to enroll or retain a sufficient number of participants for our clinical trials would result in significant delays, which would increase our costs and have an adverse effect on our company.</w:t>
      </w:r>
    </w:p>
    <w:p>
      <w:pPr>
        <w:pStyle w:val="TextBody"/>
        <w:bidi w:val="0"/>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limited financial and human resources, which has in the past and may in the future cause us to make prioritization and resource allocation decisions.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jc w:val="left"/>
        <w:rPr>
          <w:rFonts w:ascii="Times New Roman" w:hAnsi="Times New Roman"/>
          <w:b/>
          <w:i/>
          <w:color w:val="000000"/>
          <w:sz w:val="20"/>
        </w:rPr>
      </w:pPr>
      <w:r>
        <w:rPr>
          <w:rFonts w:ascii="Times New Roman" w:hAnsi="Times New Roman"/>
          <w:b/>
          <w:i/>
          <w:color w:val="000000"/>
          <w:sz w:val="20"/>
        </w:rPr>
        <w:t>We may develop our product candidates in combination with other therapies, which exposes us to additional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develop our product candidates in combination with one or more currently approved therapies. Even if a product candidate we develop were to receive marketing approval or be commercialized for use in combination with other existing therapies, we would continue to be subject to the risks that the FDA or similar regulatory authorities outside of the United States could revoke or modify approval of the therapy used in combination with our product candidate or that safety, efficacy, manufacturing or supply issues could arise with these existing therapies. This could result in our own products being removed from the market or being less successful commercially.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evaluate our product candidates in combination with one or more other therapies that have not yet been approved for marketing by the FDA or similar regulatory authorities outside of the United States. We will not be able to market and sell such product candidate we develop in combination with any such unapproved therapies that do not ultimately obtain marketing approval. If the FDA or similar regulatory authorities outside of the United States do not approve these other drugs or revoke their approval of, or if safety, efficacy, manufacturing, or supply issues arise with, the drugs we choose to evaluate in combination with our product candidates, we may be unable to obtain approval of or market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European Union (EU) regulates medical devices and medicinal products separately, through different legislative instruments, and the applicable requirements will vary depending on the type of drug-device combination product. For instance, drug-delivery products intended to administer a medicinal product where the medicinal product and the device form a single integral product are regulated as medicinal products in the EU. In such a case, the marketing authorization application must include – where available – the results of the assessment of the conformity of the device part with the EU Medical Devices Regulation contained in the manufacturer’s EU declaration of conformity of the device or the relevant certificate issued by a notified body. If the marketing authorization application does not include the results of the conformity assessment and where for the conformity assessment of the device, if used separately, the involvement of a notified body is required, the European Medicine Agency or the EU member state competent authority must require the applicant to provide a notified body opinion on the conformity of the device. By contrast, in case of drug-delivery products intended to administer a medicinal product where the device and the medicinal product do not form a single integral product (but are e.g. co-packaged), the medicinal product is regulated in accordance with the rules for medicinal products described above while the device part is regulated as a medical device and will have to comply with all the requirements set forth by the EU Medical Devices Regulation.</w:t>
      </w:r>
    </w:p>
    <w:p>
      <w:pPr>
        <w:pStyle w:val="TextBody"/>
        <w:bidi w:val="0"/>
        <w:jc w:val="left"/>
        <w:rPr>
          <w:rFonts w:ascii="Times New Roman" w:hAnsi="Times New Roman"/>
          <w:b/>
          <w:i/>
          <w:color w:val="000000"/>
          <w:sz w:val="20"/>
        </w:rPr>
      </w:pPr>
      <w:r>
        <w:rPr>
          <w:rFonts w:ascii="Times New Roman" w:hAnsi="Times New Roman"/>
          <w:b/>
          <w:i/>
          <w:color w:val="000000"/>
          <w:sz w:val="20"/>
        </w:rPr>
        <w:t>The incidence and prevalence for target patient populations of our product candidates in specific indications are based on estimates and third-party sources. If the market opportunities for our product candidates, if and when approved, are smaller than we estimate or if any approval that we obtain is based on a narrower definition of the patient population, our revenue and ability to achieve profitability might be materially and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otherwise amenable to treatment with our drugs, or new patients may become increasingly difficult to identify or gain access to. If the market opportunities for our product candidates, if and when approved, are smaller than we estimate or if any approval that we obtain is based on a narrower definition of the patient population, our revenue and ability to achieve and sustain profitability might be materially and adversely affected.</w:t>
      </w:r>
    </w:p>
    <w:p>
      <w:pPr>
        <w:pStyle w:val="TextBody"/>
        <w:bidi w:val="0"/>
        <w:jc w:val="both"/>
        <w:rPr>
          <w:rFonts w:ascii="Times New Roman" w:hAnsi="Times New Roman"/>
          <w:b/>
          <w:i/>
          <w:color w:val="000000"/>
          <w:sz w:val="20"/>
        </w:rPr>
      </w:pPr>
      <w:r>
        <w:rPr>
          <w:rFonts w:ascii="Times New Roman" w:hAnsi="Times New Roman"/>
          <w:b/>
          <w:i/>
          <w:color w:val="000000"/>
          <w:sz w:val="20"/>
        </w:rPr>
        <w:t>Interim, initial, “top-line” and preliminary data from our clinical trials that we announce or publish from time to time may change as more participant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also disclose interim data from our clinical trials. Interim data from clinical trials that we may complete are subject to the risk that one or more of the clinical outcomes may materially change as patient enrollment continues and more participant data become available or as participants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others, including regulatory authorities,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interim, top-line, or preliminary data that we report differ from actual results, or if others, including regulatory authorities, disagree with the conclusions reached, our ability to obtain approval for, and commercialize, our product candidates may be harmed, which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We face significant competition, which may result in others discovering, developing or commercializing products before or more successfully than us.</w:t>
      </w:r>
    </w:p>
    <w:p>
      <w:pPr>
        <w:pStyle w:val="TextBody"/>
        <w:bidi w:val="0"/>
        <w:spacing w:before="120" w:after="283"/>
        <w:jc w:val="left"/>
        <w:rPr>
          <w:rFonts w:ascii="Times New Roman" w:hAnsi="Times New Roman"/>
          <w:sz w:val="20"/>
        </w:rPr>
      </w:pPr>
      <w:r>
        <w:rPr>
          <w:rFonts w:ascii="Times New Roman" w:hAnsi="Times New Roman"/>
          <w:color w:val="000000"/>
          <w:sz w:val="20"/>
        </w:rPr>
        <w:t>The biotechnology industry is intensely competitive and subject to rapid and significant technological change. Our competitors include multinational pharmaceutical companies, specialized biotechnology companies and universities and other research institutions. The current standard-of-care for IgAN consists of treatment with off-label use of renin-angiotensin-aldosterone system inhibitors, including ACE inhibitors and ARBs, to control blood pressure, or steroids with or without other immunosuppressive agents to non-specifically reduce inflammation. SGLT2 inhibitors, including AstraZeneca’s FARXIGA</w:t>
      </w:r>
      <w:r>
        <w:rPr>
          <w:rFonts w:ascii="Times New Roman" w:hAnsi="Times New Roman"/>
          <w:color w:val="000000"/>
          <w:sz w:val="13"/>
        </w:rPr>
        <w:t>®</w:t>
      </w:r>
      <w:r>
        <w:rPr>
          <w:rFonts w:ascii="Times New Roman" w:hAnsi="Times New Roman"/>
          <w:color w:val="000000"/>
          <w:sz w:val="20"/>
        </w:rPr>
        <w:t>, which is approved for chronic kidney disease, is becoming the standard-of-care in some geographies including the United States. Among emerging therapies, we consider our most direct competitors with respect to TRUTAKNA to be approved products: the reformulated steroid (TARPEYO</w:t>
      </w:r>
      <w:r>
        <w:rPr>
          <w:rFonts w:ascii="Times New Roman" w:hAnsi="Times New Roman"/>
          <w:color w:val="000000"/>
          <w:sz w:val="13"/>
        </w:rPr>
        <w:t>®</w:t>
      </w:r>
      <w:r>
        <w:rPr>
          <w:rFonts w:ascii="Times New Roman" w:hAnsi="Times New Roman"/>
          <w:color w:val="000000"/>
          <w:sz w:val="20"/>
        </w:rPr>
        <w:t>) from Asahi Kasei Corp., the anti-APRIL monoclonal antibody (VOYXACT</w:t>
      </w:r>
      <w:r>
        <w:rPr>
          <w:rFonts w:ascii="Times New Roman" w:hAnsi="Times New Roman"/>
          <w:color w:val="000000"/>
          <w:sz w:val="13"/>
        </w:rPr>
        <w:t>®</w:t>
      </w:r>
      <w:r>
        <w:rPr>
          <w:rFonts w:ascii="Times New Roman" w:hAnsi="Times New Roman"/>
          <w:color w:val="000000"/>
          <w:sz w:val="20"/>
        </w:rPr>
        <w:t>) from Otsuka Pharmaceuticals, both the complement inhibitor (FABHALTA</w:t>
      </w:r>
      <w:r>
        <w:rPr>
          <w:rFonts w:ascii="Times New Roman" w:hAnsi="Times New Roman"/>
          <w:color w:val="000000"/>
          <w:sz w:val="13"/>
        </w:rPr>
        <w:t>®</w:t>
      </w:r>
      <w:r>
        <w:rPr>
          <w:rFonts w:ascii="Times New Roman" w:hAnsi="Times New Roman"/>
          <w:color w:val="000000"/>
          <w:sz w:val="20"/>
        </w:rPr>
        <w:t>) and selective ETA receptor antagonist (VANRAFIA</w:t>
      </w:r>
      <w:r>
        <w:rPr>
          <w:rFonts w:ascii="Times New Roman" w:hAnsi="Times New Roman"/>
          <w:color w:val="000000"/>
          <w:sz w:val="13"/>
        </w:rPr>
        <w:t>®</w:t>
      </w:r>
      <w:r>
        <w:rPr>
          <w:rFonts w:ascii="Times New Roman" w:hAnsi="Times New Roman"/>
          <w:color w:val="000000"/>
          <w:sz w:val="20"/>
        </w:rPr>
        <w:t>) from Novartis, and the endothelin and angiotensin II receptor antagonist (FILSPARI</w:t>
      </w:r>
      <w:r>
        <w:rPr>
          <w:rFonts w:ascii="Times New Roman" w:hAnsi="Times New Roman"/>
          <w:color w:val="000000"/>
          <w:sz w:val="13"/>
        </w:rPr>
        <w:t>®</w:t>
      </w:r>
      <w:r>
        <w:rPr>
          <w:rFonts w:ascii="Times New Roman" w:hAnsi="Times New Roman"/>
          <w:color w:val="000000"/>
          <w:sz w:val="20"/>
        </w:rPr>
        <w:t>) from Travere Therapeutics, Inc.; and programs in Phase 3 clinical development: Roche/Ionis, Vertex, AstraZeneca, Biogen, Takeda, Novartis, and Biohaven.</w:t>
      </w:r>
    </w:p>
    <w:p>
      <w:pPr>
        <w:pStyle w:val="TextBody"/>
        <w:bidi w:val="0"/>
        <w:spacing w:before="120" w:after="283"/>
        <w:jc w:val="left"/>
        <w:rPr>
          <w:rFonts w:ascii="Times New Roman" w:hAnsi="Times New Roman"/>
          <w:sz w:val="20"/>
        </w:rPr>
      </w:pPr>
      <w:r>
        <w:rPr>
          <w:rFonts w:ascii="Times New Roman" w:hAnsi="Times New Roman"/>
          <w:color w:val="000000"/>
          <w:sz w:val="20"/>
        </w:rPr>
        <w:t>There are no FDA-approved therapies for pMN. Companies with pMN trials in Phases 2 or 3 include Vertex, Roche, BeOne Medicines, Biogen, Climb Bio, and Walden Biosciences. Notably, Roche recently reported positive Phase 3 data for obinutuzumab in pMN. On April 13, 2026, Travere’s FILSPARI</w:t>
      </w:r>
      <w:r>
        <w:rPr>
          <w:rFonts w:ascii="Times New Roman" w:hAnsi="Times New Roman"/>
          <w:color w:val="000000"/>
          <w:sz w:val="13"/>
        </w:rPr>
        <w:t>®</w:t>
      </w:r>
      <w:r>
        <w:rPr>
          <w:rFonts w:ascii="Times New Roman" w:hAnsi="Times New Roman"/>
          <w:color w:val="000000"/>
          <w:sz w:val="20"/>
        </w:rPr>
        <w:t xml:space="preserve"> received full FDA approval for the treatment of FSGS, becoming the first and only therapy approved in this indication. Companies with FSGS trials in Phases 2 or 3 include the following: Sanofi, Eli Lilly, Astellas, Walden Biosciences, Boehringer Ingelheim, Novartis, and Vertex. There are no FDA-approved therapies for MCD. Companies with MCD trials in Ph2/Ph3 include Sanofi, Travere Therapeutics, and Walden Biosciences.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kidney transplant or hematopoietic stem cell transplant setting, there are currently no anti-BK Virus (anti-BKV) therapies approved. The standard of care in both settings is to reduce immunosuppression as a first line, and potentially to offer intravenous immune globulin in kidney transplant recipients or antivirals with limited clinical evidence, including leflunomide and cidofovir,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either setting. There are few industry sponsored programs in development for these indications; we consider our most direct competitor to be Memo Therapeutics AG’s Anti-BKV, a neutralizing monoclonal antibody in a Phase 2/3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current landscape of B cell modulators primarily includes monoclonal antibodies, or Fc-fusion proteins containing TACI or TACI variants, including TRUTAKNA. VT-109 is a novel BAFF/APRIL dual-inhibitor B cell maturation antigen (BCMA) molecule which, if successfully developed, approved, and commercialized, may compete with the existing approaches to treat B cell mediated autoimmune diseases, many of which are described in the preceding paragraphs on IgAN. We consider the most advanced direct competitor to VT-109 to be the BCMA Fc-fusion protein from Aurinia Pharmaceuticals Inc., which is currently in Phase 1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competitors have significantly greater financial, technical, human and other resources than we do and may be better equipped to develop, manufacture and market technologically superior products. In addition, many of these competitors have significantly greater experience than we have in undertaking nonclinical studies and human clinical trials of new pharmaceutical products and in obtaining regulatory approvals of human therapeutic products. Accordingly, our competitors may succeed in obtaining FDA or comparable approval for superior products. Many of our competitors have established and in-use distribution channels for the commercialization of their products, whereas our channels and capabilities are less established. In addition, many competitors have greater name recognition and more extensive collaborative relationships.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may obtain regulatory approval of their products more rapidly than we do or may obtain patent protection or other intellectual property rights that limit our ability to develop or commercialize our product candidates or any future product candidates. Our competitors may also develop drugs that are more effective, more convenient, more widely used and less costly or have a better safety profile than our products and these competitors may also be more successful than we are in manufacturing and marketing their products. If we are unable to compete effectively against these companies, then we may not be able to commercialize our product candidates or any future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participant registration for clinical trials, as well as in acquiring technologies complementary to, or necessary for, our programs.</w:t>
      </w:r>
    </w:p>
    <w:p>
      <w:pPr>
        <w:pStyle w:val="TextBody"/>
        <w:bidi w:val="0"/>
        <w:jc w:val="left"/>
        <w:rPr>
          <w:rFonts w:ascii="Times New Roman" w:hAnsi="Times New Roman"/>
          <w:b/>
          <w:i/>
          <w:color w:val="000000"/>
          <w:sz w:val="20"/>
        </w:rPr>
      </w:pPr>
      <w:r>
        <w:rPr>
          <w:rFonts w:ascii="Times New Roman" w:hAnsi="Times New Roman"/>
          <w:b/>
          <w:i/>
          <w:color w:val="000000"/>
          <w:sz w:val="20"/>
        </w:rPr>
        <w:t>Changes in methods of manufacturing or formulation of our product candidates may result in additional costs or delays.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our product candidates progress through preclinical to late-stage clinical trials to marketing approval and commercialization, it is common that various aspects of the development program, such as manufacturing methods and formulation, and manufacturing sites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pStyle w:val="TextBody"/>
        <w:bidi w:val="0"/>
        <w:jc w:val="left"/>
        <w:rPr>
          <w:rFonts w:ascii="Times New Roman" w:hAnsi="Times New Roman"/>
          <w:b/>
          <w:color w:val="000000"/>
          <w:sz w:val="20"/>
        </w:rPr>
      </w:pPr>
      <w:r>
        <w:rPr>
          <w:rFonts w:ascii="Times New Roman" w:hAnsi="Times New Roman"/>
          <w:b/>
          <w:color w:val="000000"/>
          <w:sz w:val="20"/>
        </w:rPr>
        <w:t>Risks related to regulatory approval and other legal compliance matters</w:t>
      </w:r>
    </w:p>
    <w:p>
      <w:pPr>
        <w:pStyle w:val="TextBody"/>
        <w:bidi w:val="0"/>
        <w:jc w:val="both"/>
        <w:rPr>
          <w:rFonts w:ascii="Times New Roman" w:hAnsi="Times New Roman"/>
          <w:b/>
          <w:i/>
          <w:color w:val="000000"/>
          <w:sz w:val="20"/>
        </w:rPr>
      </w:pPr>
      <w:r>
        <w:rPr>
          <w:rFonts w:ascii="Times New Roman" w:hAnsi="Times New Roman"/>
          <w:b/>
          <w:i/>
          <w:color w:val="000000"/>
          <w:sz w:val="20"/>
        </w:rPr>
        <w:t>The regulatory approval processes of the FDA and comparable foreign authorities are lengthy, time consuming and inherently unpredictable, and if we are ultimately unable to obtain regulatory approval for our product candidates, our business, financial condition, results of operations and prospects will be significantly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required to obtain approval by the FDA and comparable foreign authorities typically takes many years following the commencement of clinical trials. In addition, approval policies, regulations, or the type and amount of clinical data necessary to gain approval may change during the course of a product candidate’s clinical development and may vary among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candidate we may develop could fail to receive regulatory approval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the design, implementation or results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determine that our product candidates are not safe, pure, and/or potent (or effective), only moderately effective, or have undesirable or unintended side effects, toxicities or other characteristics that preclude our obtaining marketing approval or prevent or limit commercial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efficacy and safety in the full population for which we seek approval, potentially resulting in a restrictive label and limiting commercial use;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our interpretation of data from nonclinical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clinical trials may not be sufficient to support the submission of a Biologics License Application (BLA), or other submission or to obtain regulatory approval in the United States or elsewhere;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to the FDA or comparable foreign regulatory authorities that the risk-benefit ratio for our proposed indication is acceptable;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fail to approve the manufacturing processes, test procedures and specifications or facilities of third-party manufacturers with which we contract for clinical and commercial supplies;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in a manner rendering our clinical data insufficient for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government and regulatory agencies caused by funding shortages, furloughs or other reasons could result in delays in reviewing regulatory submissions or extensions of time necessary for new drugs to be reviewed and/or approved.</w:t>
      </w:r>
    </w:p>
    <w:p>
      <w:pPr>
        <w:pStyle w:val="TextBody"/>
        <w:bidi w:val="0"/>
        <w:jc w:val="left"/>
        <w:rPr>
          <w:rFonts w:ascii="Times New Roman" w:hAnsi="Times New Roman"/>
          <w:color w:val="000000"/>
          <w:sz w:val="20"/>
        </w:rPr>
      </w:pPr>
      <w:r>
        <w:rPr>
          <w:rFonts w:ascii="Times New Roman" w:hAnsi="Times New Roman"/>
          <w:color w:val="000000"/>
          <w:sz w:val="20"/>
        </w:rPr>
        <w:t>This lengthy approval process, as well as the unpredictability of the results of clinical trials, may result in our failing to obtain regulatory approval to market our product candidates, which would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even if we obtain approval of our product candidates for one indication, regulatory authorities may not approve such product candidates for other indications, may impose significant limitations in the form of narrow indications, warnings, or a Risk Evaluation and Mitigation Strategy (REMS). Certain regulatory authorities may grant approval contingent on the performance of costly post-marketing clinical trials or may approve them with a label that does not include the labeling claims necessary or desirable for successful commercialization of our product candidates. In addition, if we are unable to obtain regulatory approval, or if regulatory approval results in a limited label, our business, financial condition, results of operation and prospects will be significantly harmed.</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entails a significant risk of product liability and product liability claims could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exposes us to significant product liability risks inherent in the development, testing, manufacturing and marketing of therapeutic treatments. Product liability claims could delay or prevent completion of our development programs. If we succeed in obtaining regulatory approval of a product, such claims could result in an FDA or other regulatory authority investigation of the safety and effectiveness of our product, our manufacturing processes and facilities or our marketing programs. FDA or other regulatory authority investigations could potentially lead to a recall of our product or more serious enforcement action, limitations on the approved indications for which it may be used or suspension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at a future date. Any insurance we have or may obtain may not provide sufficient coverage against potential liabilities caused by product liability claims, which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Our product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pharmaceuticals generally, it is likely that there may be side effects and adverse events associated with the use of our product candidates.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For example, Merck previously conducted APRIL-LN, a Phase 2/3 clinical trial aimed to evaluate the efficacy and safety of atacicept in patients with active lupus nephritis, receiving newly initiated mycophenlate mofetil (MMF) and corticosteroids (CS). Two weeks before the initiation of atacicept, significant decreases in immunoglobulin G levels began unexpectedly with initiation of MMF and high-dose CS, and persisted upon initiation of atacicept, which led to trial termination. Such drug-related side effects could affect participant recruitment or the ability of enrolled participants to complete the trial or result in potential product liability claims. Any of these occurrences may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product candidates we develop are associated with undesirable side effects or have unexpected characteristics in nonclinical studies or clinical trials when used alone or in combination with other approved products or investigational drugs, we may need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participant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Participants in our ongoing and planned clinical trials may in the future suffer significant adverse events or other side effects not observed in our nonclinical studies or previous clinical trials. Our product candidates may be used as chronic therapies or be used in pediatric populations, for which safety concerns may be particularly scrutinized by regulatory authorities. In addition, if our product candidates are used in combination with other therapies, such product candidates may exacerbate adverse events associated with the therapy and it may not be possible to determine whether such adverse events were caused by our product candidate or the agent with which it was combined. The inclusion of patients with advanced disease in our clinical trials may result in deaths or other adverse medical events due to other therapies or medications that such patients may be using or due to the gravity of such patients’ illnesses.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significant adverse events or other side effects are observed in any of our current or future clinical trials, we may have difficulty recruiting participants to the clinical trials, participants may drop out of our trials, or we may be required to abandon the trials or our development efforts of that product candidate altogether. We, the FDA, other comparable regulatory authorities or an IRB or ethics committee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toxicities associated with our products not seen during clinical testing may also develop after approval is obtained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lead product or product candidates will cause toxicities in humans that would preclude or lead to the revocation of regulatory approval based on nonclinical studies or early-stage clinical trials.</w:t>
      </w:r>
    </w:p>
    <w:p>
      <w:pPr>
        <w:pStyle w:val="TextBody"/>
        <w:bidi w:val="0"/>
        <w:jc w:val="left"/>
        <w:rPr>
          <w:rFonts w:ascii="Times New Roman" w:hAnsi="Times New Roman"/>
          <w:b/>
          <w:i/>
          <w:color w:val="000000"/>
          <w:sz w:val="20"/>
        </w:rPr>
      </w:pPr>
      <w:r>
        <w:rPr>
          <w:rFonts w:ascii="Times New Roman" w:hAnsi="Times New Roman"/>
          <w:b/>
          <w:i/>
          <w:color w:val="000000"/>
          <w:sz w:val="20"/>
        </w:rPr>
        <w:t>Maintaining regulatory approval of our lead product or obtaining regulatory approval of our product candidates in one jurisdiction does not mean that we will be successful in obtaining or maintaining regulatory approval in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regulatory approval of our lead product or obtaining regulatory approval of our product candidates in one jurisdiction does not guarantee that we will be able to obtain or maintain regulatory approval in any other jurisdiction. For example, even though the FDA granted accelerated approval for TRUTAKNA, we must obtain additional marketing approvals from comparable regulatory authorities in foreign jurisdictions. In addition,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foreign regulatory approvals and establishing and maintaining compliance with foreign regulatory requirements could result in significant delays, difficulties and costs for us and could delay or prevent the introduction of our lead product or product candidates in certain countries. If we or any future collaborator fail to comply with the regulatory requirements in international markets or fail to receive applicable marketing approvals, our target market will be reduced and our ability to realize the full market potential of our lead product or product candidates will be harmed.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lead product is subject to continued regulatory oversight and failure to comply with applicable regulatory requirements could have a material adverse impact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though the FDA granted accelerated approval for TRUTAKNA, such regulatory approval and any future regulatory approvals that we may receive for our lead product and product candidates will require the submission of reports to regulatory authorities and surveillance to monitor the safety and efficacy of the marketed product, may contain significant limitations related to use restrictions for specified age groups, warnings, precautions or contraindications, and may include burdensome post-approval study or risk management requirements. For example, in connection with the FDA granting accelerated approval for TRUTAKNA, certain post-approval studies are required to maintain such approval. Furthermore,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applicable foreign regulatory authorities approve any of our product candidates, the manufacturing processes, labeling, packaging, distribution, adverse event reporting, storage, advertising, promotion, import, export and recordkeeping will be subject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extensive and ongoing regulatory requirements, all to which our lead product is currently subject.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or the rejection of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our ability to conduct clinical trials, including full or partial clinical holds on ongoing or planned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products, manufacturers or manufacturing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warning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civil and criminal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variation or withdrawal of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seizures, detentions or import bans;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voluntary or mandatory product recalls and publicity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or partial suspension of production;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imposition of restrictions on operations, including costly new manufacturing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event or penalty described above may inhibit our ability to commercialize our product candidates and generate revenue and could require us to expend significant time and resources in response and could generate negative publicity.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FDA’s and other regulatory authorities’ policies may change, and additional government regulations may be enacted that could prevent, limit or delay regulatory approval of any of our product candidates. If we are slow or unable to adapt to changes in existing requirements or the adoption of new requirements or policies, or if we are not able to maintain regulatory compliance, we may lose any marketing approval that we may have obtained, and we may not be able to achieve or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cannot predict the likelihood, nature or extent of government regulation that may arise from future legislation or administrative or executive action, either in the United States or abroad. If these actions impose constraints on FDA’s or foreign regulatory authorities’ ability to engage in oversight and implementation activities in the normal course, it may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We may seek but fail to obtain orphan drug designations from the FDA or other regulatory authorities for our product candidates, and even where we have obtained such designations, we may be unable to receive or maintain the benefits associated with orphan drug designation, including the potential for market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orphan drug designation for some or all of our product candidates. Under the Orphan Drug Act, the FDA may designate a drug product as an orphan drug if it is intended to treat a rare disease or condition, defined as a patient population of fewer than 200,000 in the United States, or a patient population greater than 200,000 in the United States but where there is no reasonable expectation to recover the costs of developing and marketing a treatment drug in the United States. In the United States, orphan drug designation entitles a party to financial incentives such as opportunities for grant funding towards clinical trial costs, tax advantages, and application fee waivers. However, orphan drug designation neither shortens the development time nor regulatory review time of a product candidate nor gives the candidate any advantage in the regulatory review or approval process. We sought orphan drug designation for TRUTAKNA in IgAN in the United States but such designation was not obtained.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product receives the first FDA approval for the disease or condition for which it has orphan designation, the product is entitled to orphan drug exclusivity, which means the FDA may not approve any other application to market the same drug for the same disease or condition for a period of seven years, except in limited circumstances, such as a showing of clinical superiority over the product with orphan exclusivity or where the manufacturer is unable to assure sufficient product quantity for the orphan patient population. Exclusive marketing rights in the United States may also be unavailable if we or our collaborators seek approval for a disease or condition broader than the orphan designated disease or condition and may be lost if the FDA later determines that the request for designation was materially defective. Even if we obtain orphan drug designation, we may not be the first to obtain marketing approval for any particular orphan disease or condition due to the uncertainties associated with developing pharmaceutical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Further, even if we obtain orphan drug exclusivity for a product candidate,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safer, more effective, or makes a major contribution to patient 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received orphan medicinal product designation for atacicept in the EU in October 2024. In the EU, a medicinal product may receive orphan designation under Article 3 of Regulation (EC) 141/2000 if its sponsor can establish that (i) the product is intended for the diagnosis, prevention or treatment of a life-threatening or chronically debilitating condition and (ii) either (1) such condition affects no more than five in 10,000 persons in the EU when the application is made, or (2) the product, without the benefits derived from orphan status, would be unlikely to generate sufficient returns in the EU to justify the necessary investment in its development. Moreover, in order to obtain orphan designation in the EU it is necessary to demonstrate that there exists no satisfactory method of diagnosis, prevention or treatment of such condition authorized for marketing in the EU or, if such a method exists, the product will be of significant benefit to those affected by the condition. The application for orphan designation must be submitted before the application for marketing authorization. Orphan medicinal product designation entitles an applicant to financial incentives such as fee reductions or fee waivers, protocol assistance, and access to the centralized marketing authorization procedure. Moreover, upon grant of a marketing authorization and assuming the requirements for orphan designation are also met at the time the marketing authorization is granted, orphan medicinal product are entitled to a ten-year period of market exclusivity for the approved therapeutic indication, which means that the EMA cannot accept another marketing authorization application or accept an application to extend for a similar product and the European Commission cannot grant a marketing authorization for the same indication for a period of ten years. A “similar medicinal product” is defined as a medicinal product containing a similar active substance or substances as contained in an authorized orphan medicinal product, and which is intended for the same therapeutic indication. The period of market exclusivity is extended by two years for orphan medicinal products that have also complied with an agreed pediatric investigation plan. No extension to any supplementary protection certificate can be granted on the basis of pediatric studies for orphan indications. Orphan medicinal product designation does not convey any advantage in, or shorten the duration of, the regulatory review and approval process. This market exclusivity period may, however, be reduced to six years if, at the end of the fifth year, it is established that the product no longer meets the criteria for orphan drug designation, for example because the product is sufficiently profitable not to justify continued market exclusivity. In addition, a marketing authorization may be granted to a similar medicinal product with the same orphan indication during the ten year period of market exclusivity on an individual basis in very select cases, such as with consent from the marketing authorization holder, if the manufacturer of the original orphan medicinal product is unable to supply sufficient quantities of the authorized product or if the second applicant can establish that its product, although similar, is safer, more effective or otherwise clinically superior to the original orphan medicinal product. A company may voluntarily remove a product from the register of orphan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received orphan drug designation for atacicept in Japan in September 2025. In Japan, drugs can be designated as orphan drugs if they are (1) intended for use in less than 50,000 patients in Japan or, if the usage is for a designated intractable disease, the number of patients is less than approximately one-thousandth of the population; (2) there is a high medical need due to the seriousness of the disease for which there are no sufficient alternative drugs or treatments or high efficacy or safety is expected with the new drug compared with existing products; and (3) the development plan is appropriate and there is reasonable possibility of development success. The benefits of orphan drug designation in Japan include subsidies to reduce the financial burden of product development, guidance and consultation from governmental agencies on development activities with a priority consultation system, tax credits for development costs, eligibility for priority review, and following approval, extension of the exclusivity period for up to ten years as well as premium pricing.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receive or maintain orphan drug designation for our product candidates, it could limit our ability to realize revenues.</w:t>
      </w:r>
    </w:p>
    <w:p>
      <w:pPr>
        <w:pStyle w:val="TextBody"/>
        <w:bidi w:val="0"/>
        <w:jc w:val="left"/>
        <w:rPr>
          <w:rFonts w:ascii="Times New Roman" w:hAnsi="Times New Roman"/>
          <w:b/>
          <w:i/>
          <w:color w:val="000000"/>
          <w:sz w:val="20"/>
        </w:rPr>
      </w:pPr>
      <w:r>
        <w:rPr>
          <w:rFonts w:ascii="Times New Roman" w:hAnsi="Times New Roman"/>
          <w:b/>
          <w:i/>
          <w:color w:val="000000"/>
          <w:sz w:val="20"/>
        </w:rPr>
        <w:t>Even though MAU868 has Fast Track designation from the FDA for the prevention of BK viremia in renal transplant and hematopoietic stem cell transplant, it may not lead to a faster development or regulatory review or approval process, and will not increase the likelihood that MAU868 will receive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drug or biologic is intended for the treatment of a serious or life-threatening condition or disease, whether alone or in combination with other drugs or biologics, and nonclinical or clinical data demonstrate the potential to address an unmet medical need for such condition or disease, the product candidate may qualify for FDA Fast Track designation, for which sponsors must apply. The FDA has broad discretion whether or not to grant this designation. Fast Track designation allows for more frequent communication with the FDA and the potential for rolling review of a marketing application. Although we have received Fast Track designation for the investigation of MAU868 for the prevention of BK viremia in renal transplant and hematopoietic stem cell transplant recipients, we may not experience a faster development process, review or approval compared to conventional FDA procedures. In addition, the FDA may withdraw Fast Track designation if it believes that the designation is no longer supported by data from our clinical development program.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or comparable foreign regulatory authorities, if our confirmatory trials do not verify clinical benefit, or if we do not comply with rigorous post-marketing requirements, the FDA or comparable foreign regulatory authorities may seek to withdraw any accelerated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TRUTAKNA received accelerated approval for the treatment of IgAN from the FDA in July 2026 and we may attempt to secure accelerated approval for our product candidates in the future.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For example, endpoints assessing changes in 24-hour urine protein-to-creatinine ratio (UPCR) have been accepted by FDA as surrogate primary endpoints for clinical trials of drugs targeting patients with IgAN, while assessments of estimated glomerular filtration rate (eGFR) slope have been viewed by regulators as the more conventional endpoint assessing clinical benefit in IgAN patients. We received accelerated approval for TRUTAKNA based on the UPCR endpoint results observed in our ORIGIN 3 trial and are required as a condition of such approval to complete the trial to collect eGFR data to demonstrate improvement in kidney function.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complete ongoing trials and/or conduct, in a diligent manner, additional post-approval confirmatory studies to verify and describe the drug’s clinical benefit and to report regularly to the FDA on progress of such trials. Additionally, unless and until converted to full approval at the time of satisfying the conditions of any accelerated approval letter, the sponsor must submit any promotional materials for the accelerated approval drug to FDA at least 30 days prior to use. Third-party payors may refuse to provide coverage or reimbursement for the drug until the confirmatory studies are complete. Additionally, if such post-approval studies fail to confirm the drug’s clinical benefit, or if the product sponsor fails to complete any confirmatory studies in a timely manner, the FDA may withdraw its approval of the drug on an expedited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seeking accelerated approval for any of our other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there can be no assurance that such submission or application will be accepted or that any expedited review or approval will be granted on a timely basis, or at all. The FDA or comparable foreign regulatory authorities could also require us to conduct further studies prior to considering our application or granting approval of any type. A failure to obtain accelerated approval or any other form of expedited review or approval for our product candidates would result in a longer time period to commercialization of such product candidate, could increase the cost of development of such product candidate and could harm our competitive position in the marketplace.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EMA PRIME (PRIority MEdicines) designation or other designations, schemes or tools for one or more of our product candidates. In the EU, innovative products that target an unmet medical need and are expected to be of major public health interest may be eligible for a number of expedited development and review programs, some which provide incentives similar to the Breakthrough Therapy designation in the United States. For instance, in the EU, a “conditional” marketing authorization may be granted in cases where all the required safety and efficacy data are not yet available.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become a “standard” marketing authorization. However, if the conditions are not fulfilled within the timeframe set by the EMA, the marketing authorization will cease to be renewed.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marketing authorizations may also be granted “under exceptional circumstances” when the applicant can show that it is unable to provide comprehensive data on the efficacy and safety under normal conditions of use even after the product has been authorized and subject to the introduction of specific procedures. This may arise when the intended indications are very rare and, in the present state of scientific knowledge, it is not possible to provide comprehensive information, or when generating data may be contrary to generally accepted ethical principles. This type of marketing authorization is close to a conditional marketing authorization as it is reserved to medicinal products to be approved for severe diseases or unmet medical needs and the applicant does not hold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data set legally required for the grant of a marketing authorization. However, unlike a conditional marketing authorization, the applicant does not have to provide the missing data and will never have to. Although a marketing authorization “under exceptional circumstances” is granted definitively, the risk-benefit balance of the medicinal product is reviewed annually and the marketing authorization may be withdrawn where the risk-benefit ratio is no longer favorable.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competent regulatory authorities in the EU have broad discretion whether to grant such an accelerated assessment, conditional marketing authorization or marketing authorization under exceptional circumstances, and, even if such assessment or authorization is granted, we may not experience a faster development process, review or authorization compared to conventional procedures. Moreover, the removal or threat of removal of such marketing authorizations may create uncertainty or delay in the clinical development of our product candidates and threaten the commercialization prospects of our products and product candidates, if approved. Such an occurrence could materially impact our business, financial condition and results of operations.</w:t>
      </w:r>
    </w:p>
    <w:p>
      <w:pPr>
        <w:pStyle w:val="TextBody"/>
        <w:bidi w:val="0"/>
        <w:jc w:val="left"/>
        <w:rPr>
          <w:rFonts w:ascii="Times New Roman" w:hAnsi="Times New Roman"/>
          <w:sz w:val="20"/>
        </w:rPr>
      </w:pPr>
      <w:r>
        <w:rPr>
          <w:rFonts w:ascii="Times New Roman" w:hAnsi="Times New Roman"/>
          <w:b/>
          <w:i/>
          <w:color w:val="000000"/>
          <w:sz w:val="20"/>
        </w:rPr>
        <w:t>A Breakthrough Therapy Designation from the FDA, even if granted for any of our product candidates, may not lead to a faster development or regulatory review or approval process, and does not increase the likelihood that our product candidates will receive FDA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obtained Breakthrough Therapy Designation from the FDA for TRUTAKNA for the treatment of IgAN, and we may seek additional Breakthrough Therapy Designations for our product candidates where we believe the clinical data support such designation. A “Breakthrough Therapy” is defined as a drug or biologic that is intended, alone or in combination with one or more other drugs or biologics, to treat a serious or life-threatening disease or condition, where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increased interaction and communication between the FDA and the sponsor of the trial can help to identify the most efficient path for clinical development while minimizing the number of patients placed in ineffective control regimens. Products designated as Breakthrough Therapies also receive the same benefits associated with Fast Track designation, including eligibility for rolling review of a submitted BLA.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or review and does not assure ultimate approval by the FDA. In addition, even if one or more of our product candidates qualify as Breakthrough Therapies, the FDA may later decide that the product candidate no longer meets the conditions for qualification and rescind the designation.</w:t>
      </w:r>
    </w:p>
    <w:p>
      <w:pPr>
        <w:pStyle w:val="TextBody"/>
        <w:bidi w:val="0"/>
        <w:jc w:val="left"/>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staffing limitations, or policy changes could hinder their ability to hire, retain or deploy key leadership and other personnel, and prevent new or modified products from being developed, reviewed, approved or commercialized in a timely manner or at all,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Disruptions at the FDA and other agencies may also prolong the time necessary for new biologics or modifications to approved biologics to be reviewed and/or approved by necessary government agencies, which would adversely affect our business. For example, in recent years, the U.S. government has shut down several times and certain regulatory agencies, such as the FDA, have had to furlough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 If a prolonged government shutdown occurs, or if changes in policy, funding shortages or staffing limitations hinder or prevent the FDA or other regulatory authorities from conducting their regular inspections, reviews, or other regulatory activities, it could significantly impact the ability of the FDA or other such regulatory authorities to timely review and process our planned regulatory submissions, which could have a material adverse effect on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Biosimilars may provide competition sooner than anticipated.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Protection and Affordable Care Act, as amended by the Health Care and Education Reconciliation Act of 2010 (collectively, the Affordable Care Act), signed into law on March 23, 2010,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Moreover, the extent to which a biosimilar, once approved, will be substituted for any one of our reference products in a way that is similar to traditional generic substitution for non-biological products will depend on a number of marketplace and regulatory factors that are still developing.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upon receiving a marketing authorization, innovative medicinal products are generally entitled to receive eight years of data exclusivity and an additional two years of market exclusivity. Data exclusivity, if granted, prevents regulatory authorities in the EU from referencing the innovator’s data to assess a generic or biosimilar application for eight years from the date of authorization of the innovative product, after which a generic or biosimilar marketing authorization application can be submitted, and the innovator’s data may be referenced. The market exclusivity period prevents a successful generic or biosimilar applicant from commercializing its product in the EU until ten years have elapsed from the initial marketing authorization of the reference product in the EU. The overall ten-year period may, occasionally, be extended for a further year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 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marketing authorization. Guidelines from the EMA detail the type of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 However, guidance from the EMA states that they will be considered in the future in light of the scientific knowledge and regulatory experience gained at the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approved products are subject to biosimilar competition sooner than we expect, we will face significant pricing pressure and our commercial opportunity will be limited.</w:t>
      </w:r>
    </w:p>
    <w:p>
      <w:pPr>
        <w:pStyle w:val="TextBody"/>
        <w:bidi w:val="0"/>
        <w:jc w:val="left"/>
        <w:rPr>
          <w:rFonts w:ascii="Times New Roman" w:hAnsi="Times New Roman"/>
          <w:b/>
          <w:i/>
          <w:color w:val="000000"/>
          <w:sz w:val="20"/>
        </w:rPr>
      </w:pPr>
      <w:r>
        <w:rPr>
          <w:rFonts w:ascii="Times New Roman" w:hAnsi="Times New Roman"/>
          <w:b/>
          <w:i/>
          <w:color w:val="000000"/>
          <w:sz w:val="20"/>
        </w:rPr>
        <w:t>The successful commercialization of our lead product and any product candidate we develop will depend in part on the extent to which governmental authorities, private health insurers, and other third-party payors provide coverage and adequate reimbursement. Failure to obtain or maintain coverage and adequate reimbursement for our product candidates, if any and if approved, could limit our ability to market those products and decrease our ability to generate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received accelerated approval to market our lead product in the United States and intend to seek approval to market our product candidates in the United States, the EU, Japan, and certain foreign jurisdictions. If we obtain approval in one or more foreign jurisdictions for our lead product or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in the United States, the EU, and other jurisdictions, market acceptance and sales of an approved product candidate will depend significantly on the availability of adequate coverage and reimbursement from third-party payors.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treatments. Sales of our lead product and any product candidates, if approved, will depend substantially, both in the United States and internationally, on the extent to which the costs of the product will be covered and reimbursed by third-party payors. If reimbursement is not available, or is available only at inadequate levels, we may not be able to successfully commercialize our lead product or any product candidates we develop. Even if coverage is provided, the approved reimbursement amount may not be sufficient to allow us to establish or maintain pricing to support an adequate return on our investment. Coverage and reimbursement may impact the demand for, or the price of, our lead product or any product candidate for which we obtain marketing approval. If coverage and reimbursement are not available or reimbursement is available only to limited levels, we may not successfully commercialize our lead product or any product candidate for which we obtain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significant uncertainty related to third-party payor coverage and reimbursement of newly approved products. In the United States, for example, the Centers for Medicare &amp; Medicaid Services (CMS), an agency within the U.S. Department of Health and Human Services (HHS), determines which new products will be covered and reimbursed under Medicare. Private third-party payors often follow CMS’s decisions regarding coverage and reimbursement to a substantial degree. However, one third-party payor’s determination to provide coverage for a product does not assure that other payors will also provide coverage for the product.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primary trend in the U.S. healthcare industry and elsewhere is cost containment. Governmental payors, as well as other third-party payors, including pharmacy benefit managers,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products on an approved list, known as a formulary, which might not include all FDA-approved drugs for a particular indication. We may need to conduct expensive pharmaco-economic studies to demonstrate the medical necessity and cost effectiveness of our product. Nonetheless, our lead product or any product candidates, if approved, may not be considered medically necessary or cost effective. We cannot be sure that coverage and reimbursement will be available for any product that we commercialize and, if reimbursement is available, whether the level of reimbursement will be adequate.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pharmaceutical sales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those we are developing or may develop in the future.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study that compares the cost-effectiveness of our product candidates or any future product candidates we may develop to other available therapies. The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amending Directive 2011/24/EU, was adopted in the EU. This Regulation, which entered into force in January 2022 began to apply on January 12, 2025 through a phased implementation. It is intended to boost cooperation among EU Member States in assessing health technologies, including new medicinal products, and providing the basis for cooperation at EU level for joint clinical assessments in these areas. The Regulation will permit EU Member States to use common HTA tools, methodologies, and procedures across the EU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any product that we commercialize may be reduced compared with the United States and may be insufficient to generate commercially reasonable revenue and profits.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or sustain coverage and adequate reimbursement for our lead product or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 Even if favorable coverage and reimbursement status is attained for a product for which we receive regulatory approval, less favorable coverage policies and reimbursement rates may be implemented in the future.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Current and future healthcare reform legislation or regulation may increase the difficulty and cost for us to successfully commercialize our lead product or product candidates and may adversely affect the prices we may obtain and may have a negative impact on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be able to achieve or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the Affordable Care Act substantially changed healthcare financing, access, and delivery by both governmental and private insurers. The Affordable Care Act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 Under currently applicable U.S. law, certain products not usually self-administered, including injectable drugs, may be eligible for coverage under Medicare Part B. As a condition of receiving Medicare Part B reimbursement, manufacturers are required to participate in other government healthcare programs, including the Medicaid Drug Rebate Program and the 340B Drug Pricing Program, which requires manufacturers to extend discounts to participating entities. These programs may be subject to change as a result of future health reform measures and may reduce the profitability of our lead product or any successfully commercialized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in the United States since the Affordable Care Act was enacted in 2010. These changes include aggregate reductions to Medicare payments to providers pursuant to the Budget Control Act of 2011, which began in 2013, and due to subsequent legislative amendments to the statute will remain in effect until 2032, unless additional congressional action is taken. Additionally, the American Rescue Plan Act of 2021 eliminated the statutory Medicaid drug rebate cap, previously set at 100% of a drug’s average manufacturer price, effective January 1, 2024. These laws may result in additional reductions in Medicare and other healthcare funding, which could have an adverse effect on customers for our lead product or product candidates, if approved, and, accordingly, our financial operations. In addition, Congress is considering additional health reform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Most significantly, the Inflation Reduction Act of 2022 (IRA) was signed into law in August 2022. Among other things, the IRA requires manufacturers of certain drugs to engage in price negotiations with Medicare, with prices that can be negotiated subject to a cap (with resulting prices for the initial ten drugs first effective in 2026), imposes rebates under Medicare Part B and Medicare Part D to penalize price increases that outpace inflation (first due in 2023), redesigns the Medicare Part D benefit (starting in 2025), and replaces the Part D coverage gap discount program with a new discounting program (which began on January 1, 2025). CMS has published the negotiated prices for the initial ten drugs, which will first be effective in 2026, and the subsequent 15 drugs, which will first be effective in 2027. Each year thereafter, more Part B and Part D products will become subject to the HHS price negotiation program, although the program is currently subject to legal challenges. HHS has issued and will continue to issue guidance implementing the IRA. While the impact of the IRA on us and the pharmaceutical industry cannot yet be fully determined, it is likely to be significant.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our lead product or any product candidate that we commercialize.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Trump administration is pursuing a two-fold strategy to reduce drug costs in the U.S. While it is unclear whether and how the proposals will be implemented, the policies may have a negative impact on the pharmaceutical industry and on our ability to receive adequate revenues for our lead product or any product candidate we commercialize. On the one hand, significant tariffs have been threatened to be imposed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although proposed regulations have not yet been published. Such regulatory proposals or executive actions could negatively impact the U.S. pharmaceutical sector and our business.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Pharmaceutical pricing and marketing has long been the subject of considerable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discussion in Congress and among policymakers, and it is possible that Congress could enact additional laws that negatively affect the pharmaceutical industry. If most favored nation pricing was ever to be codified by legislation, it could have a significant financial impact on 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reimbursement-constraints, discounts, restrictions on certain product access, marketing cost disclosure, drug price reporting and other transparency measures, and, in some cases, designed to encourage importation from other countries and bulk purchasing. One state has utilized a so-called prescription drug affordability board to impose an upper payment limit in the state, while another state has enacted legislation that bans price increases that outpace inflation. Other enacted state laws affect the distribution of pharmaceuticals. Legally mandated price controls on payment amounts by third-party payors or other restrictions could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health reform measures may continue and affect our business in unknown ways, including proposed policies to reduce regulations and expenditures across government agencies, which could create additional uncertainty for our business. Congress may introduce and ultimately pass health care related legislation that could impact the drug approval process and make changes to the Medicare Drug Price Negotiation Program created under the IRA.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the Affordable Care Act, the IRA, as well as other healthcare reform measures that may be adopted in the future, particularly under the Trump administration,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meaningful revenue and achieve and sustain profitability for our lead product or commercialize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terms of future potential marketing approvals for our product candidates and ongoing regulation regarding promotional activities and post-market obligations may limit how we manufacture and market products that are approved, and compliance with such requirements may involve substantial resources, which could materially impair our ability to generate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and comparable foreign regulations and guidance may be revised or reinterpreted by the competent authorities in ways that may significantly affect our business and our products. Any new regulations or guidance, or revisions or reinterpretations of existing regulations or guidance, may impose additional costs or lengthen review times for our product candidates. We cannot determine how changes in regulations, statutes, policies, or interpretations when and if issued, enacted or adopted, may affect our business in the future. Such changes could, among other things, require: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clinical trials to be conducted prior to obtaining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manufacturing methods;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recalls, replacements, or discontinuance of one or more of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recordkeeping.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either in the United States or abroad. As an example, the regulatory landscape related to clinical trials in the EU has evolved. The EU Clinical Trials Regulation (CTR), which was adopted in 2014 and repeals the EU Clinical Trials Directive (CTD), became applicable on January 31, 2022. While the CTD required a separate clinical trial application (CTA), to be submitted in each EU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 portal. Once the clinical trial is approved, clinical study development may proceed. The CTR foresaw a three-year transition period that ended on January 31, 2025. Since this date, all new or ongoing trials (and related applications) are fully subject to the provisions of the CTR. Compliance with the CTR requirements by us and our third-party service providers, such as CROs, may impact our developments plans. In light of the entry into application of the CTR on January 31, 2022, we were required to transition clinical trials for which we have obtained regulatory approvals in accordance with the CTD to the regulatory framework of the CTR. Transition of clinical trials governed by the CTD to the CTR was required for clinical trials which had at least one site active in the EU on January 30, 2025. A timely transitioning application was filed with the competent authorities of EU Member States through the Clinical Trials Information Systems in order to continue the clinical trial past January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on April 28, 2025, the UK adopted an amendment to the UK Medicines for Human Use (Clinical Trials) Regulations 2004 intended to support a more streamlined and flexible regulation of clinical trials, removing unnecessary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administrative burdens on trial sponsors, whilst protecting the interests of trial participants. It also intends to bring the UK regulatory framework for clinical trials, which is still based on the CTD, into closer alignment with the CTR. The amendment became applicable on April 28, 2026 following a one-year transition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EU pharmaceutical legislation is currently undergoing a complete review process, in the context of the Pharmaceutical Strategy for Europe initiative, launched by the European Commission in November 2020. On April 26, 2023, the European Commission published a proposal for a new Directive and Regulation to revise the existing pharmaceutical legislation. The European Parliament and the Council of the EU adopted their respective positions on April 10, 2024 and June 4, 2025. Subsequent inter-institutional trilogue negotiations concluded on December 11, 2025, with a provisional political agreement. The proposed revisions remain to be formally adopted. The new framework is expected to enter into force in 2026 and to be subject to transitional arrangements, with full application not anticipated before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changes would likely require substantial time and impose significant costs, or could reduce the potential commercial value of our lead product or product candidates, and could materially harm our business and our financial results. In addition, delays in receipt of or failure to receive regulatory approvals for any other products would harm our business, financial condition, and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Our relationships with healthcare professionals, clinical investigators, CROs and third-party payors in connection with our current and future business activities may be subject to federal, state and foreign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professionals and third-party payors play a primary role in the recommendation and prescription of our lead product or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market, sell and distribute our lead product or product candidates for which we obtain marketing approval. Restrictions under applicable federal and state healthcare laws and regulations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of 2009 (HITECH) and their implementing regulations, also imposes obligations, including mandatory contractual terms, upon certain covered healthcare providers, health plans, and healthcare clearinghouses as well as their respective business associates and subcontractors that perform services for them that involve the use, or disclosure of, individually identifiable health information with respect to safeguarding the privacy, security and transmission of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analogous state and foreign laws and regulations, such as state and foreign anti-kickback and false claims laws, may apply to sales or marketing arrangements and claims involving healthcare items or services reimbursed by non-governmental third-party payors, including private insurers.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state and local laws require certain regulatory licenses to manufacture and distribute products commercially and/or the registration of pharmaceutical sales representatives. Some state and foreign laws require biotechnology companies to comply with the biotechnology industry’s voluntary compliance guidelines and the relevant compliance guidance promulgated by the government and may require drug manufacturers to report information related to payments and other transfers of value to physicians and other healthcare professionals or marketing expenditures. Some state and foreign laws require biotechnology companies to report information on the pricing of certain drug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Much like the federal Anti-Kickback Statute prohibition in the United States, the provision of benefits or advantages to physicians and other healthcare professionals to induce or encourage the prescription, recommendation, endorsement, purchase, supply, order or use of medicinal products is also prohibited in the EU. Outside the United States, interactions between pharmaceutical companies and health 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 Infringement of related laws could result in substantial fines and imprisonment.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to physicians and other healthcare professionals in certain EU Member States must be publicly disclosed. Moreover, agreements with physicians and other healthcare professionals may require prior notification or approval by the physician’s or other health care professional’s employer, his or her competent professional organization and/or the regulatory authorities of the individual EU Member States. Failure to comply with these requirements could result in reputational risk, public reprimands, administrative penalties, fines or imprisonment.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or comparable foreign programs,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professionals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actions) and mass arbitration demands; fines and penalties; disruptions of our business operations; reputational harm; loss of revenue or profits; and other adverse business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collect, receive, store, process, generate, use, transfer, disclose, make accessible, protect, secure, dispose of, transmit, and share (collectively, process) personal data and other sensitive information, including proprietary and confidential business information, trade secrets, intellectual property, information we collect about trial participants in connection with clinical trials in the U.S. and abroad, and sensitive third-party information (collectively, sensitive information). Our data processing activities subject us to numerous obligations relating to data privacy and security, such as various state, federal, and foreign laws, regulations, guidance, industry standards, external and internal privacy and security policies, contractual obligations and other obligations relating to data privacy and security.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United States, our operations are or may become subject to an increasing number of laws, regulations and industry standards governing data privacy and security. For example, the EU’s General Data Protection Regulation (EU GDPR) and the UK’s Data Protection Act 2018 (UK GDPR) (collectively, GDPR), Canada’s Personal Information Protection and Electronic Documents Act (PIPEDA), Australia’s Privacy Act, India’s Information Technology Act, China’s Personal Information Protection Law (PIPL) and South Korea’s Personal Information Protection Act impose strict requirements for processing of personal data, including clinical trials participants and other individuals. For instance, companies that violate the GDPR can face private litigation related to processing of personal data brought by classes of data subjects or consumer protection organizations authorized at law to represent their interests, temporary or definitive prohibitions on data processing and other corrective actions, fines of up to the greater of 20 million Euros under the EU GDPR / 17.5 million pounds under the UK GDPR, or 4% of their worldwide annual revenue, whichever is higher.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China’s PIPL imposes a set of specific obligations on covered businesses in connection with their processing and transfer of personal data and imposes fines of up to RMB 50 million or 5% of the prior year’s total annual revenue of the violator.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the EEA and/or UK)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ordered certain companies to suspend or permanently cease certain transfers of personal data out of the EEA for allegedly violating the EU GDPR’s cross-border data transfer limitations. Additionally, companies that transfer personal data out of the EEA and/or UK to other jurisdictions, particularly to the United States, are subject to increased scrutiny from regulators, individual litigants, and activist groups. Other regulators (such as the United States Department of Justice (US DOJ)) are also increasingly scrutinizing data transfers and have enacted certain cross-border data transfer prohibitions and restrictions that impact us. Violations of the relevant US DOJ rule can lead to significant civil and criminal penalties and applies regardless of whether the data is anonymized, key-coded, pseudonymized, de-identified or encrypted.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federal, state and local governments have enacted numerous data privacy and security laws, including data breach notification laws, personal data privacy laws, consumer protection laws (e.g. Section 5 of the Federal Trade Commission Act), other similar laws (e.g. wiretapping laws). For example, HIPAA, as amended by HITECH, imposes, among other things, specific requirements relating to the privacy, security, and transmission and breach reporting of individually identifiable health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(collectively, the CCPA), requires covered businesses that process the personal data of California residents to, among other things: to (i) provide specific disclosures to California residents in privacy notices; (ii) honor requests of such individuals to exercise certain privacy rights; and (iii) enter into specific contractual provisions with service providers that process California resident personal data on the business’s behalf. The CCPA also provides for fines and allows private litigants affected by certain data breaches to recover significant statutory damages. Although there are limited exemptions for clinical trial data under the CCPA, the CCPA increases compliance costs and potential liability with respect to other personal data we maintain about California residents. Similar laws have been enacted or are being considered in several other states, as well as at the federal and local levels, and we expect more states to pass similar laws in the future. While certain of these laws exempt or may exempt data processed in the context of clinical trials, these developments may further complicate compliance efforts, and increase legal risk and compliance costs for us and the third parties with whom we 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publish privacy policies, marketing materials, and other statements, such as compliance with certain certifications or self-regulatory principles, regarding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All of these evolving compliance and operational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impose significant costs that are likely to increase over time, may require us to modify our information processing practices and policies, divert resources from other initiatives and projects, including increased costs related to insurance, cybersecurity and information technology, and could restrict the way products and services involving data are offered, all of which could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at times fail (or be perceived to have failed) in our effort to comply with our data privacy and security obligations. Moreover, despite our efforts, our personnel or third-party partners (such as contract research organizations and clinical trial sites) may fail (or be perceived to have failed) to comply with such obligations, which could negatively impact our business operations. If we or our third-party partners fail, or are perceived to have failed, to address or comply with applicable data privacy and security obligations, we could face significant consequences. These consequences may include, but are not limited to, government enforcement actions (e.g., investigations, fines, penalties, audits, inspections, and similar); litigation (including class actions)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as relevant, clinical trials); inability to process sensitive information or to operate in certain jurisdictions; limited ability to develop or commercialize our product candidates; expenditure of time and resources to defend any claim or inquiry; adverse publicity; or substantial changes to our business model or operations.</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significantly harm our business, financial condition, results of operations or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various laws relating to foreign investment and the export of certain technologies, and our failure to comply with these laws or adequately monitor the compliance of our suppliers and others we do business with could subject us to substantial fines, penalties and even injunctions, the imposition of which on us could have a material adverse effect on the success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U.S. laws that regulate foreign investments in U.S. businesses and access by foreign persons to technology developed and produced in the United States. These laws include Section 721 of the Defense Production Act of 1950, as amended by the Foreign Investment Risk Review Modernization Act of 2018, and the regulations at 31 C.F.R. Parts 800 and 801, as amended, administered by the Committee on Foreign Investment in the United States; and the Export Control Reform Act of 2018, which is being implemented in part through Commerce Department rulemakings to impose new export control restrictions on “emerging and foundational technologies” yet to be fully identified. Application of these laws, including as they are implemented through regulations being developed, may negatively impact our business in various ways, including by restricting our access to capital and markets; limiting the collaborations we may pursue; regulating the export of our products, services, and technology from the United States and abroad; increasing our costs and the time necessary to obtain required authorizations and to ensure compliance; and threatening monetary fines and other penalties if we do not.</w:t>
      </w:r>
    </w:p>
    <w:p>
      <w:pPr>
        <w:pStyle w:val="TextBody"/>
        <w:bidi w:val="0"/>
        <w:jc w:val="left"/>
        <w:rPr>
          <w:rFonts w:ascii="Times New Roman" w:hAnsi="Times New Roman"/>
          <w:b/>
          <w:color w:val="000000"/>
          <w:sz w:val="20"/>
        </w:rPr>
      </w:pPr>
      <w:r>
        <w:rPr>
          <w:rFonts w:ascii="Times New Roman" w:hAnsi="Times New Roman"/>
          <w:b/>
          <w:color w:val="000000"/>
          <w:sz w:val="20"/>
        </w:rPr>
        <w:t>Risks related to employee matters, managing our growth and other risks related to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Unfavorable geopolitical and global economic conditions, including tariffs and trade tensions, could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the global financial markets, and adverse geopolitical and macroeconomic developments. U.S. and global market and economic conditions have been, and continue to be, volatile due to many factors, including tariffs and trade tensions, supply chain challenges, ongoing military conflicts, related sanctions, changes in U.S.-China relations, elevated inflation rates and the responses by central banking authorities to control such inflation, among others. General business and economic conditions that could affect our business, financial condition or results of operations include fluctuations in economic growth, debt and equity capital markets, bank failures, liquidity of the global financial markets, the availability and cost of credit, investor and consumer confidence, and the strength of the economies in which we, our manufacturers and our suppliers operate.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 severe or prolonged global economic downturn could result in a variety of risks to our business. For example, inflation rates, particularly in the United States, have been elevated compared to recent historical levels, and continued high rates of inflation may result, directly or indirectly, in increases in our operating costs (including our labor costs) and limits on our ability to access credit or otherwise raise capital on acceptable terms, if at all. Any of the foregoing could harm our business and we cannot anticipate all of the ways in which the current economic climate and financial market conditions could adversely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response to the invasion of Ukraine by Russia, the United States, United Kingdom and EU,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(as well as possible future punitive measures that may be implemented), as well as the counter-measures imposed by Russia, in addition to the ongoing military conflict between Ukraine and Russia, which could conceivably expand into the surrounding region, remains uncertain; however, both the conflict and related sanctions have resulted and could continue to result in disruptions to trade, commerce, pricing stability, credit availability, supply chain continuity and reduced access to liquidity in both Europe and globally, and has introduced significant uncertainty into global markets. As a result, our business and results of operations, including conduct of any global clinical trials with sites in eastern Europe and western Asia, may be adversely affected by the ongoing conflict between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Ukraine and Russia and related sanctions, particularly to the extent it escalates to involve additional countries, further economic sanctions or wider military conflict.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Tensions between the United States and China have increased over the past few years as a result of disputes in areas including trade policy, intellectual property, cybersecurity and data privacy, as well as due to geopolitical conflicts such as the war between Ukraine and Russia. We conduct manufacturing and clinical development activities in China. Any unfavorable government policies on cross-border relations or international trade, changes to law, executive orders, tariffs, treaties or trade agreements, or deterioration in U.S.-China relations or international trade may adversely affect the import or export of our drug candidates and materials required for manufacturing or otherwise delay our product development activities, which could in turn have a material adverse effect on our business, financial condition and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Our success is highly dependent on our ability to attract and retain highly skilled executive officers, employees and key consultants.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 including certain key consultants.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although we have employment offer letters with each of our executive officers, each of them may terminate their employment with us at any time. We do not maintain “key person” insurance for all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continue to commercialize our lead product and develop and commercialize our product candidates will be limited and the potential for successfully growing our business will be harmed.</w:t>
      </w:r>
    </w:p>
    <w:p>
      <w:pPr>
        <w:pStyle w:val="TextBody"/>
        <w:bidi w:val="0"/>
        <w:jc w:val="left"/>
        <w:rPr>
          <w:rFonts w:ascii="Times New Roman" w:hAnsi="Times New Roman"/>
          <w:b/>
          <w:i/>
          <w:color w:val="000000"/>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is adversely impacting, and may continue to adversely impact,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or future tariffs may result in increased research and development expenses, including with respect to increased costs associated with active pharmaceutical ingredients, raw materials, laboratory equipment and research materials and components. In addition, such tariffs may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continue to commercialize our lead product and advance toward commercialization of our product candidates, tariffs and trade restrictions could hinder our ability to establish cost-effective production capabilities, negatively impacting our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disputes, tariffs, restrictions and other political tensions between the U.S.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results of operations and financial condition. In addition, trade developments have and may continue to heighten the risks related to the other risk factors described elsewhere in this Quarterly Report on Form 10-Q.</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establish and maintain sales or marketing capabilities or enter into agreements with third parties to sell or market our lead product or product candidates, we may not be able to successfully sell or market our lead product or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successfully commercialize our lead product and commercialize any product candidates, if approved, we must build and maintain marketing, sales, distribution, managerial and other non-technical capabilities or make arrangements with third parties to perform these services for each of the territories in which we may have approval to sell or market our lead product or product candidates, if approved. We may not be successful in accomplishing these required tasks.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an internal sales or marketing team with technical expertise and supporting distribution capabilities to continue to commercialize our lead product and commercialize our product candidates, if approved, will be expensive and time-consuming, and will require significant attention of our executive officers to manage. Any failure or delay in the development or maintenance of our internal sales, marketing and distribution capabilities could adversely impact the successful commercialization of our lead product or product candidates, if approved,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our lead product or any product candidate that may receive regulatory approval, or any such commercialization may experience delays or limitations. If we are unable to successfully commercialize our lead product or approved product candidates, either on our own or through collaborations with one or more third parties, our future product revenue will suffer and we may incur significant additional losses.</w:t>
      </w:r>
    </w:p>
    <w:p>
      <w:pPr>
        <w:pStyle w:val="TextBody"/>
        <w:bidi w:val="0"/>
        <w:jc w:val="left"/>
        <w:rPr>
          <w:rFonts w:ascii="Times New Roman" w:hAnsi="Times New Roman"/>
          <w:b/>
          <w:i/>
          <w:color w:val="000000"/>
          <w:sz w:val="20"/>
        </w:rPr>
      </w:pPr>
      <w:r>
        <w:rPr>
          <w:rFonts w:ascii="Times New Roman" w:hAnsi="Times New Roman"/>
          <w:b/>
          <w:i/>
          <w:color w:val="000000"/>
          <w:sz w:val="20"/>
        </w:rPr>
        <w:t>In order to successfully implement our plans and strategies, we will need to grow the size of our organization, and we may experience difficulties in managing this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361 full-time employees, including 152 employees engaged in research and development. In order to successfully implement our development and commercialization plans and strategies, and as we continue to operate as a public company, we expect to need additional managerial, operational, sales, marketing, financial and other personnel. Future growth would impose significant added responsibilities on members of management,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recruiting, integrating, maintaining and motivating additional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our internal development efforts effectively, including the clinical, FDA and other comparable foreign regulatory authorities’ review processes for our lead product and product candidates, while complying with any contractual obligations to contractors and other third parties we may have;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improving our operational, financial and management controls, reporting systems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are conducting multiple clinical trials of atacicept. Given the small size of our organization, we may encounter difficulties managing multiple clinical trials at the same time, which could negatively affect our ability to manage growth of our organization. Our future financial performance and our ability to successfully commercialize our lead product and develop and commercialize, if approved,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our product candidates or otherwise advance our business. We cannot assure you that we will be able to manage our existing third-party service providers or find other competent outside contractors and consultants on economically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effectively expand our organization by hiring new employees and/or engaging additional third-party service providers, we may not be able to successfully implement the tasks necessary to further commercialize our lead product or develop and commercialize our product candidates and, accordingly, may not achieve our research, development and commercialization goals.</w:t>
      </w:r>
    </w:p>
    <w:p>
      <w:pPr>
        <w:pStyle w:val="TextBody"/>
        <w:bidi w:val="0"/>
        <w:jc w:val="left"/>
        <w:rPr>
          <w:rFonts w:ascii="Times New Roman" w:hAnsi="Times New Roman"/>
          <w:b/>
          <w:i/>
          <w:color w:val="000000"/>
          <w:sz w:val="20"/>
        </w:rPr>
      </w:pPr>
      <w:r>
        <w:rPr>
          <w:rFonts w:ascii="Times New Roman" w:hAnsi="Times New Roman"/>
          <w:b/>
          <w:i/>
          <w:color w:val="000000"/>
          <w:sz w:val="20"/>
        </w:rPr>
        <w:t>We or the third parties upon whom we depend may be adversely affected by earthquakes, fires or other natural disasters and our business continuity and disaster recovery plans may not adequately protect us from a serious disaster.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headquarters is located in Brisbane, California, in a region which in the past has experienced severe earthquakes and fires. If earthquakes, fires, other natural disasters, terrorism or similar unforeseen events beyond our control prevent us from using all or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portion of our office facilities, it may be difficult or, in certain cases, impossible for us to continue our business for a period of time. We do not have a comprehensive internal disaster recovery or business continuity plan in place and any third-party service provider plans are limited in nature. We may incur substantial expenses as a result of the absence or limited nature of our plans, which could have a material adverse effect on our business. Furthermore, parties integral to our supply chain are operating from single sites, increasing their vulnerability to natural disasters or other sudden, unforeseen and severe adverse events. If such an event were to affect our supply chain, it could have an adverse effect on our development plans and ability to conduct our clinical trials, and future commercialization plans.</w:t>
      </w:r>
    </w:p>
    <w:p>
      <w:pPr>
        <w:pStyle w:val="TextBody"/>
        <w:bidi w:val="0"/>
        <w:jc w:val="left"/>
        <w:rPr>
          <w:rFonts w:ascii="Times New Roman" w:hAnsi="Times New Roman"/>
          <w:b/>
          <w:i/>
          <w:color w:val="000000"/>
          <w:sz w:val="20"/>
        </w:rPr>
      </w:pPr>
      <w:r>
        <w:rPr>
          <w:rFonts w:ascii="Times New Roman" w:hAnsi="Times New Roman"/>
          <w:b/>
          <w:i/>
          <w:color w:val="000000"/>
          <w:sz w:val="20"/>
        </w:rPr>
        <w:t>Comprehensive tax reform legislation could adversely affect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Inflation Reduction Act of 2022 includes provisions that will affect the U.S. federal income taxation of corporations, including imposing a minimum tax on the book income of certain large corporations and an excise tax on certain corporate stock repurchases that would be imposed on the corporation repurchasing such stock. Future guidance from the Internal Revenue Service and other tax authorities with respect to new or existing tax legislation may affect us, and certain aspects of such legislation could be repealed or modified in future legislation. In addition, it is uncertain if and to what extent various states will conform to such legislation or any newly enacted federal tax legislation. Changes in corporate tax rates, the realization of net deferred tax assets relating to our operations, the taxation of foreign earnings, and the deductibility of expenses under tax legislation could have a material impact on the value of our deferred tax assets, could result in significant one-time charges, and could increase our future U.S. tax expense. We continue to examine the impact tax legislation may have on our business. We urge investors to consult with their legal and tax advisers regarding the implications of past and potential future changes in U.S. tax laws on an investment in our common stock.</w:t>
      </w:r>
    </w:p>
    <w:p>
      <w:pPr>
        <w:pStyle w:val="TextBody"/>
        <w:bidi w:val="0"/>
        <w:jc w:val="left"/>
        <w:rPr>
          <w:rFonts w:ascii="Times New Roman" w:hAnsi="Times New Roman"/>
          <w:b/>
          <w:i/>
          <w:color w:val="000000"/>
          <w:sz w:val="20"/>
        </w:rPr>
      </w:pPr>
      <w:r>
        <w:rPr>
          <w:rFonts w:ascii="Times New Roman" w:hAnsi="Times New Roman"/>
          <w:b/>
          <w:i/>
          <w:color w:val="000000"/>
          <w:sz w:val="20"/>
        </w:rPr>
        <w:t>Our ability to utilize our net operating loss carryforwards and certain other tax attributes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losses during our history, we expect to continue to incur significant losses for the foreseeable future, and we may never achieve profitability. As of December 31, 2025, we had federal and state net operating loss (NOL) carryforwards of $389.9 million and $42.3 million, respectively, of which $10.2 million of federal NOL carryforwards and $37.0 million of state NOL carryforwards will begin expiring in the years 2032 and 2036, respectively, if not utilized. We also have $379.6 million of federal NOL carryforwards as of December 31, 2025 that do not expire. Our NOL carryforwards are subject to review and possible adjustment by the U.S. and state tax authorities. NOLs generated in tax years ending on or prior to December 31, 2017 are only permitted to be carried forward for 20 taxable years under applicable U.S. federal tax law. Federal NOLs generated in tax years ending after December 31, 2017 may be carried forward indefinitely, but the deductibility of such federal NOLs is limited to 80% of current year taxable income. At the state level, there may be periods during which the use of NOLs is suspended or otherwise limited, which could accelerate or permanently increase state taxes owed. For example, California recently enacted legislation that, with certain exceptions, suspends the ability to use California net operating losses to offset California income and limits the ability to use California business tax credits to offset California taxes, for taxable years beginning after 2023 and before 2027. It is generally uncertain if and to what extent various states will conform to federal tax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under Sections 382 and 383 of the Internal Revenue Code of 1986, as amended,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ownership changes in the future as a result of subsequent shifts in our stock ownership, some of which are outside our control. We have not conducted any studies to determine annual limitations, if any, that could result from such changes in the ownership. Our ability to utilize those NOLs could be limited by an “ownership change” as described above and consequently, we may not be able to utilize a material portion of our NOLs and certain other tax attributes, which could have an adverse effect on our cash flows and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A variety of risks associated with marketing our lead product or any future product candidate we may develop internationally could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our lead product, TRUTAKNA, received accelerated approval from the FDA for treatment of IgAN, we plan to seek regulatory approval for our lead product, and product candidates we may develop, outside of the United States and, accordingly, we expect that we will be subject to additional risks related to operating in foreign countries if we obtain the necessary approvals,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regulatory requirements and reimbursement regimes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risks associated with our international operations may significantly harm our business, financial condition, results of operations and prospects.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jc w:val="left"/>
        <w:rPr>
          <w:rFonts w:ascii="Times New Roman" w:hAnsi="Times New Roman"/>
          <w:b/>
          <w:i/>
          <w:color w:val="000000"/>
          <w:sz w:val="20"/>
        </w:rPr>
      </w:pPr>
      <w:r>
        <w:rPr>
          <w:rFonts w:ascii="Times New Roman" w:hAnsi="Times New Roman"/>
          <w:b/>
          <w:i/>
          <w:color w:val="000000"/>
          <w:sz w:val="20"/>
        </w:rPr>
        <w:t>Our success depends on our ability to protect our intellectual property and our proprietary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and our current or future licensors’, licensees’ or collaborators’ ability to obtain and maintain proprietary or intellectual property protection in the United States and other countries for our lead product and product candidates and technologies related to their various uses. We generally seek to protect our proprietary position by, among other things, filing patent applications in the United States and abroad related to our proprietary technologies, and their manufacture and uses that are important to our business, as well as inventions and improvements that are important to the development and implementation of our business. Our owned and in-licensed patents and patent applications in both the United States and certain foreign jurisdictions relate to our lead product and product candidates. There can be no assurance that the claims of our owned or in-licensed patents, or any patent application that issues as a patent, will exclude others from making, using or selling our lead product, product candidates, or any future product candidates or products that are substantially similar to our lead product, product candidates, or any future product candidates. We also rely on trade secrets, know-how and continuing technological innovation to develop and maintain our proprietary and intellectual property position. We may seek to protect our proprietary position by acquiring or in-licensing additional relevant issued patents or pending applications from third parties. If we or our potential licensors, licensees or collaborators are unable to obtain or maintain patent protection with respect to our lead product or product candidates, proprietary technologies and their uses, our business, financial condition, results of operations and prospects could be significantly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owned or in-licensed patent applications or our current or future licensors’, licensees’ or collaborators’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in the future, some of our owned or in-licensed patents and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lead product or product candidates could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be certain that the claims in our U.S. pending patent applications and corresponding international applications will be considered patentable by the United States Patent and Trademark Office (USPTO) courts in the United States or by the patent offices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courts in foreign countries, nor can we be certain that the claims in our issued patent(s) will not be found invalid or unenforceable if challenged.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potential future collaborators will be successful in protecting our lead product or product candidates by obtaining and defending patents. These risks and uncertainties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must be filed in advance of certain events (e.g., third-party filings, certain sales or offers for sale, or other activities that might be legally deemed to be public disclosures) and we might not be aware of such events or otherwise might not succeed in filing applications before they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may not result in any patents being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may be challenged, invalidated, modified, revoked, circumvented, found to be unenforceable or otherwise may not provide any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significant pressure on the U.S. government and international governmental bodies to limit the scope of patent protection both inside and outside the United States;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or in-licensed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If we breach our license agreement with Ares, an affiliate of Merck, related to atacicept, the license agreement with Novartis related to MAU868, or the license agreement with Stanford related to VT-109, we could lose the ability to continue the development and commercialization of atacicept, MAU868, or VT-109,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dependent on patents, know-how and proprietary technology licensed or sublicensed to us from Ares, Novartis, and Stanford. Our commercial success depends upon our ability to develop, manufacture, market and sell our lead product and product candidates and use our and our licensor’s proprietary technologies without infringing the proprietary rights of third parties. Ares, Novartis, or Stanford may have the right to terminate the applicable license agreement in full in the event we materially breach or default in the performance of any of the obligations under the applicable license agreement. A termination of any of our existing license agreements could result in the loss of significant rights and could harm our ability to continue to commercialize our lead product and commercialize our product candidates. Additionally, certain patents, know-how and proprietary technology of third parties, including certain composition of matter patents, are sublicensed to us and in the event the applicable license agreement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terminates, expires or is in dispute, it could result in the loss of significant rights and could harm our ability to continue to commercialize our lead product and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also arise between us and Ares, an affiliate of Merck, Novartis, Stanford, or any future potential licensors, regarding intellectual property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patent and other rights to third parties under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lead product or product candidates and what activities satisfy those diligence obligations;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partners.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our current licensing arrangements on acceptable terms, we may be unable to successfully commercialize our lead product or develop and commercialize the affected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acquired worldwide, exclusive rights to atacicept pursuant to the Ares Agreement, and worldwide, exclusive rights to develop, manufacture and commercialize MAU868 pursuant to the asset purchase agreement (Amplyx Agreement) with Amplyx Pharmaceuticals, Inc. (Amplyx), a wholly owned subsidiary of Pfizer, Inc., pursuant to which we acquired Amplyx’s right, title and interest in the license agreement between Amplyx and Novartis related to MAU868. We also entered into an exclusive license agreement with Stanford for rights to VT-109. The Ares Agreement, Novartis License, and Stanford Agreement are complex, and certain provisions may be susceptible to multiple interpretations. The resolution of any contract interpretation disagreement that may arise could narrow what we believe to be the scope of our rights to the relevant intellectual property, or increase what we believe to be our financial or other obligations under such agreement, either of which could have an adverse effect on our business, financial condition, results of operations, and prospects. Moreover, if disputes over intellectual property that we have licensed prevent or impair our ability to maintain our current licensing arrangement on commercially acceptable terms, we may be unable to successfully commercialize our lead product or develop and commercialize the affected product candidates, which could have an adverse effect on our business, financial conditions,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products could suffer.</w:t>
      </w:r>
    </w:p>
    <w:p>
      <w:pPr>
        <w:pStyle w:val="TextBody"/>
        <w:bidi w:val="0"/>
        <w:jc w:val="left"/>
        <w:rPr>
          <w:rFonts w:ascii="Times New Roman" w:hAnsi="Times New Roman"/>
          <w:b/>
          <w:i/>
          <w:color w:val="000000"/>
          <w:sz w:val="20"/>
        </w:rPr>
      </w:pPr>
      <w:r>
        <w:rPr>
          <w:rFonts w:ascii="Times New Roman" w:hAnsi="Times New Roman"/>
          <w:b/>
          <w:i/>
          <w:color w:val="000000"/>
          <w:sz w:val="20"/>
        </w:rPr>
        <w:t>We may be required to make significant payments under our license agreements related to our lead product and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consideration for the license under the Ares Agreement, we paid Ares $25.0 million in 2020 upon delivery and initiation of the transfer of specified information and materials and $15.0 million in January 2026 upon achievement of the BLA filing. Upon accelerated approval of TRUTAKNA by the FDA in July 2026, we became obligated to pay $20.0 million to Ares. We are required to pay Ares additional aggregate milestone payments, including $10.0 million due upon the first filing of an approval application in the EU, and up to $131.5 million upon the achievement of regulatory filing and approval milestones for other geographic regions and indications, and aggregate milestone payments of up to $515.0 million upon the achievement of specified worldwide aggregate net sales milestones, beginning with $15.0 million if net sales reach $250.0 million and $50.0 million if net sales reach $500.0 million. Commencing on the first commercial sale of licensed products, we are obligated to pay tiered royalties of low double-digit to mid-teen percentages on annual net sales of the products covered by the license. In the event we sublicense our rights under the Ares Agreement, we are obligated to pay Ares a percentage ranging from the mid-single-digit to the low double-digits of specified sublicensing income received.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Amplyx Agreement, we are obligated to make certain milestone payments to Amplyx in an aggregate amount of up to $7.0 million based on the achievement of certain regulatory milestones. Further, we are required to pay Amplyx low single digit percentage royalties on net sales of MAU868 on a country-by-country and product-by-product basis. In addition, pursuant to the Novartis License, we are obligated to make certain milestone payments to Novartis in an aggregate amount of up to $62.0 million based on the achievement of certain clinical development, regulatory and sales milestones. Further, we are required to pay Novartis mid-to high-single digit percentage royalties based on net sales of MAU868 on a country-by-country and product-by-product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Stanford Agreement, we are obligated to make certain milestone payments to Stanford based on the achievement of certain development, regulatory, and commercial milestones. Further, we are required to pay Stanford royalties based on net sales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VT-109 worldwide. In the event we sublicense our rights under the Stanford Agreement, we are obligated to pay Stanford a percentage of specified sublicensing income received.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milestone or other non-royalty obligations become due, we may not have sufficient funds available to meet our obligations, which will adversely affect our business operations and financial condition.</w:t>
      </w:r>
    </w:p>
    <w:p>
      <w:pPr>
        <w:pStyle w:val="TextBody"/>
        <w:bidi w:val="0"/>
        <w:jc w:val="left"/>
        <w:rPr>
          <w:rFonts w:ascii="Times New Roman" w:hAnsi="Times New Roman"/>
          <w:b/>
          <w:i/>
          <w:color w:val="000000"/>
          <w:sz w:val="20"/>
        </w:rPr>
      </w:pPr>
      <w:r>
        <w:rPr>
          <w:rFonts w:ascii="Times New Roman" w:hAnsi="Times New Roman"/>
          <w:b/>
          <w:i/>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positions of biotechnology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our lead product or product candidates, or which effectively prevent others from commercializing competitive technologies and product candidates. In addition, the laws of foreign countries may not protect our rights to the same extent as the laws of the United States. For example, many countries restrict the patentability of methods of treatment of the human body.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lead product or product candidates will be protectable or remain protected by valid and enforceable patents. Our competitors or other third parties may be able to circumvent our patents by developing similar or alternative technologies or products in a non-infringing manner which could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issuance of a patent is not conclusive as to its inventorship, scope, validity or enforceability, and our patents may be challenged in the courts or patent offices in the United States and abroad.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do. Also, in the United States and certain other jurisdictions, third parties are entitled to submit prior art to patent offices for consideration during examination.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aware of certain relevant prior art, may fail to identify or timely cite certain prior art, or may not be able to convince a patent examiner that our patent(s) should issue in light of the art. Also, we cannot be certain that all relevant art will be or was identified during examination of a patent application so that, even if a patent issues, it may be susceptible to challenge that it is not valid over art that was not considered during its examination.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a third-party pre-issuance submission of prior art to the USPTO or other jurisdictions, or become involved in post-grant challenges such as opposition, derivation, revocation, reexamination, post-grant review (PGR) and inter partes review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our lead product or product candidates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lead product or product candidates. The outcome following legal assertions of invalidity and unenforceability is unpredictable. With respect to the validity question, for example, we cannot be certain that there is no invalidating prior art, including art of which we were unaware, and art which was not raised during prosecution of any of our patents or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our lead product or current or future product candidates or could embolden competitors to launch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or take other steps that could disadvantage us in the marketplace or draw us into additional expensive and time consuming disputes. Should any of these events occur, it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competitive advantage.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detect infringement of our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develop products that are similar to our lead product or product candidates, but that are not covered by the claims of the patents that we may in-license in the future or own;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may seek or may have already obtained patents that will limit, interfere with or eliminate our ability to make, use and sell our lead product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current or future collaborators or license partners, might not have been the first to make the inventions covered by the issued patents or patent applications that we may in-license in the future or own;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current or future collaborators or license partners, might be found not have been the first to file patent applications covering certain of our or their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the pending patent applications we may in-license in the future or own will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there are prior public disclosures that could invalidate our patents, or parts of our patents, for which we are not aware;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hold rights to may be held invalid or unenforceable, as a result of legal challenges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may not have sufficient term or geographic scope to provide meaningful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not to file a patent in order to maintain certain trade secrets, and a third party may subsequently file a patent covering such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any of these events occur, it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successfully commercializing our lead product 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entities may have or obtain patents or proprietary rights that could limit our ability to make, use, sell, offer for sale or import our lead product or product candidates, or impair our competitive position. There is a substantial amount of litigation adversarial activity, both within and outside the United States, involving patent and other intellectual property rights in the biotechnology industry, including patent infringement lawsuits, and proceedings, such as oppositions, reexaminations, IPR proceedings, PGR proceedings, and other third party submissions, before the USPTO and/or corresponding foreign patent offices. In addition, many companies in intellectual property-dependent industries, including the biotechnology industry, have employed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intellectual property litigation as a means to gain an advantage over their competitors. Numerous third-party U.S. and foreign issued patents and pending patent applications may exist in the fields in which we are commercializing our lead product and developing our product candidates. There may be third-party patents or patent applications with claims to compositions, formulations, methods of manufacture or methods for treatment related to the use or manufacture of our lead product 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or product candidates that were ultimately held to infringe such patents.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the biotechnology industry expands and more patents are issued, the risk increases that our lead product or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our lead product or product candidates, and we cannot be certain that we were the first to file a patent application related to a product, product candidate or technology. Moreover, because patent applications can take many years to issue, there may be currently pending patent applications that may later result in issued patents that our lead product or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lead product or product candidates that may be approved in the future, or impair our competitive position. In addition, third parties may obtain 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therapeutic products under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claims of patent infringement, misappropriation or other violations asserted by third parties would be time consuming and could: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 in costly litigation that may cause negative publicity;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divert the time and attention of our technical personnel and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cause development delays;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prevent us from successfully commercializing our lead product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develop non-infringing technology, which may not be possible on a cost-effective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us to significant liability to third parties;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patent-related legal action against us claiming damages or seeking to enjoin commercial activities relating to our lead product or product candidates, or processes could subject us to significant liability for damages, including treble damages if we were determined to willfully infringe, and require us to obtain a license to manufacture or market our lead product or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processes for our lead product or product candidates to avoid infringement, if necessary.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adverse determination in a judicial or administrative proceeding, or the failure to obtain necessary licenses, could prevent us from successfully commercializing our lead product or developing our product candidates, which could significantly harm our business, financial condition and operating results. In addition, intellectual property litigation, regardless of its outcome, may cause negative publicity and could prohibit us from marketing or otherwise commercializing our lead product or product candidates, if approved.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an adverse effect on our ability to raise additional funds or otherwise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from third parties that we identify as necessary for future product candidates we may develop through acquisitions and in-licenses.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our development programs may in the future require the use of proprietary rights held by third parties, the growth of our business may depend in part on our ability to acquire, in-license, or use these third-party proprietary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may have in-licensed patents that cover our product candidates, it is possible that third parties may have blocking patents that prevent us from marketing, manufacturing or commercializing our patented products and practicing our in-licensed patented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unsuccessful in acquiring or in-licensing compositions, methods of use, processes, or other intellectual property rights from third parties that we identify as necessary for practicing inventions claimed by our patents, including the manufacture, sale and use of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We may be involved in lawsuits to protect or enforce our patents, which could be expensive, time consuming and unsuccessful. Further, our issued patents could be found invalid or unenforceable if challenged in court.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or in-licensed patents do not cover the technology in question. If we or any of our potential future collaborators were to initiate legal proceedings against a third party to enforce a patent directed at our lead product or any of our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defendant were to prevail on a legal assertion of invalidity and/or unenforceability, we may lose at least part, and perhaps all, of the patent protection on such product or product candidate. In addition, if the breadth or strength of protection provided by our patents and patent applications is threatened, it could dissuade companies from collaborating with us to license, develop or commercialize our lead product or current or future product candidates. Such a loss of patent protection would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any of these events occur, it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Intellectual property litigation may lead to unfavorable publicity that harms our reputation and causes the market price of our common shares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Derivation proceedings may be necessary to determine inventorship, and an unfavorable outcome may require us to cease using the related technology or to attempt to license rights from the prevailing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Derivation proceedings provoked by third parties or brought by us or declared by the USPTO may be necessary to determine inventorship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an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 Should any of these events occur, it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Patent reform legislation could increase the uncertainties and costs surrounding the prosecution of our patent applications and the enforcement or defense of our patents.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biotechnology companies, our success is heavily dependent on intellectual property, particularly patents. Obtaining and enforcing patents in the biotechnology industry involve a high degree of technological and legal complexity. Therefore, obtaining and enforcing biopharmaceutical patents is costly, time consuming and inherently uncertain. 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Further, the United States has enacted and implemented wide-ranging patent reform legislation and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w:t>
      </w:r>
      <w:r>
        <w:rPr>
          <w:rFonts w:ascii="Times New Roman" w:hAnsi="Times New Roman"/>
          <w:color w:val="231F20"/>
          <w:sz w:val="20"/>
        </w:rPr>
        <w:t>For example, recent decisions raise questions regarding the award of patent term adjustment (PTA) for patents in families where related patents have issued without PTA. Thus, it cannot be said with certainty how PTA will or will not be viewed in the future and whether patent expiration dates may be impacted.</w:t>
      </w:r>
      <w:r>
        <w:rPr>
          <w:rFonts w:ascii="Times New Roman" w:hAnsi="Times New Roman"/>
          <w:color w:val="000000"/>
          <w:sz w:val="20"/>
        </w:rPr>
        <w:t xml:space="preserve"> An inability to obtain, enforce, and defend patents covering our proprietary technologies (including those for our lead product or product candidates) would adversely affect our business prospects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and Europe.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interpretations of patent laws in the United States and other countries may materially diminish the value of our intellectual property or narrow the scope of our patent protection.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we do not transfer or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ability to claim priority for certain patent filings, intervening art or other events may preclude us from issuing patents.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pStyle w:val="TextBody"/>
        <w:bidi w:val="0"/>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lead product or our product candidates for an adequate amount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have a limited lifespan. Generally, issued patents are granted a term of 20 years from the earliest claimed non-provisional filing date. Various extensions may be available, but there can be no assurance that any such extensions will be obtained, and the life of a patent, and the protection it affords, is limited.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There is a risk that we may take action that detracts from any accrued patent term adjustment. Even if patents covering our lead product and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expiration of our current patents, we may lose the right to exclude others from practicing these inventions. The expiration of these patents could also have a similar material adverse effect on our business, financial condition, prospects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foregoing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significantly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the amount of time required for the development, testing and regulatory review of new product candidates, patents protecting such candidates might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per approved drug product, and only those claims covering the approved drug product,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rights for that product will be impacted and our competitors may obtain approval to market competing products sooner. As a result, our revenue from applicable products could be reduced and could have a material adverse effect on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will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our lead product or product candidates without any available recourse.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ongoing conflict in Ukraine and related sanctions could significantly devalue our Russian and Eurasian patents. Recent Russian decrees may significantly limit our ability to enforce Russian patents. We cannot predict when or how this situation will 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recordation of licenses with respect to exclusively licensed patent rights outside of the United States is potentially costly and we might fail to record such rights timely. If we fail to timely record our patent rights, third parties may try to seek licenses from the patent owners, or we may not be able to recover full damages for patent infringement in jurisdictions where we have no such recordations, any of which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financial condition, results of operations and prospects could be significantly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any proprietary name we propose to use with our current or future products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financial condition, results of operations, prospects and competitive position would be significantly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 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or in-licensed by us. Monitoring unauthorized uses and disclosures of our intellectual property is difficult, and we do not know whether the steps we have taken to protect our intellectual property will be effective. In 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claims that we or our employees have wrongfully used or disclosed alleged confidential information or trade secrets.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may have previously provided or may be currently providing consulting services to, other biotechnology companies, including our competitors or potential competitors.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or patent applications. Defense of such matters, regardless of their merit, could involve substantial litigation expense and be a substantial diversion of employee resources from our business. We cannot predict whether we would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prevail in any such actions. Moreover, intellectual property litigation, regardless of its outcome, may cause negative publicity and could prohibit us from marketing or otherwise successfully commercializing our lead product or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an adverse effect on our ability to raise additional funds or otherwise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Our rights to develop and successfully commercialize our technology, lead product, and product candidates may be subject, in part, to the terms and conditions of licenses granted to us by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enter into license agreements in the future with others to advance our research or commercialization of our lead product or product candidates.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our 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successfully commercializing our lead product or product candidates, and competitors could have the freedom to seek regulatory approval 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successful commercialization of our lead product or one or more product candidates that rely on such agreements. It is possible that we may be unable to obtain any additional licenses at a reasonable cost or on reasonable terms, if at all. In that event, we may be required to expend significant time and resources to redesign our lead product or product candidates or the methods for manufacturing them or to develop or license replacement technology, all of which may not be feasible on a technical or commercial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lead product or product candidates.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an adverse effect on our competitive position,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to obtain additional licenses from existing licensors and others to advance our research or allow commercialization of our lead product or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lead product, product candidates, or the methods for manufacturing them or to develop or license replacement technology, all of which may not be feasible on a technical or commercial basis. If we are unable to do so, we may be unable to develop or commercialize the affected product or product candidates, which could significantly harm our business, financial condition, results of operations and prospects significantly. We cannot provide any assurances that third-party patents do not exist which might be enforced against our current technology, manufacturing methods, lead product, product candidates, or future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us and our past, current or future licensors regarding intellectual property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patents and other rights to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transfer or assign the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licensors and us and our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candidates, which could significantly harm our business,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significantly harm our competitive position, business, financial condition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jc w:val="left"/>
        <w:rPr>
          <w:rFonts w:ascii="Times New Roman" w:hAnsi="Times New Roman"/>
          <w:b/>
          <w:i/>
          <w:color w:val="000000"/>
          <w:sz w:val="20"/>
        </w:rPr>
      </w:pPr>
      <w:r>
        <w:rPr>
          <w:rFonts w:ascii="Times New Roman" w:hAnsi="Times New Roman"/>
          <w:b/>
          <w:i/>
          <w:color w:val="000000"/>
          <w:sz w:val="20"/>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our product candidates and our business, financial condition, results of operations and prospects could be significantly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the conduct of clinical trials, as well as Good Laboratory Practices (GLPs), which include regulations and guidelines governing the conduct of certain nonclinical studies. Regulatory authorities enforce GCPs through periodic inspections of trial sponsors, principal investigators and trial sites. If we or any of these third parties or our CROs fail to comply with applicable GCPs, GLPs, or similar requirements, the data generated in our studies and clinical trials may be deemed unreliable and the FDA or comparable foreign regulatory authorities may require us to perform additional clinical trials or nonclinical studies before approving our marketing applications, if ever. We cannot assure you that upon inspection by a given regulatory authority, such regulatory authority will determine that any of our clinical trials or nonclinical studies have complied with GCP or GLP regulations. In addition, our clinical trials must be conducted with product produced under cGMP regulations or similar foreign requirements. Failure to comply and maintain adequate documentation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these investigators and CROs are not our employees and we will not be able to control, other than by contract, the amount of resources, including time, which they devote to our product candidates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product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or precluded entirely, and our business, financial condition, results of operations and prospects could be significantly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 In addition, our CROs could fail to perform, we could terminate their agreements or they could go out of business. If our relationships with our CROs terminate, we may not be able to enter into arrangements with alternative CROs or do so on commercially reasonable terms. Switching or adding CROs involves substantial cost and requires management time and focus, and could delay development and commercialization of our product candidates. In addition, there is a natural transition period when a new CRO commences work. As a result, delays occur, which can negatively impact our ability to meet our desired clinical development timelines. Additionally, CROs may lack the capacity to absorb higher workloads or take on additional capacity to support our needs. Though we intend to carefully manage our relationships with our CROs, there can be no assurance that we will not encounter challenges or delays with CROs in the future or that these delays or challenges will not significantly harm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obtaining the rights to MAU868 from Amplyx, third parties had been responsible for all development activities. Although we believe these historical development activities were conducted in accordance with applicable rules and regulations in material respects, we cannot assure you that we will not discover inaccuracies or noncompliance in prior development activities that have an adverse effect on the future development of MAU868. For example, a regulatory authority may choose to inspect 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investigational site and/or vendor such as a CRO for a MAU868 study that was previously conducted by Amplyx. Findings from such inspections could have an impact on the review of any future marketing applications by the FDA or foreign regulatory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our acquisition of MAU868, we have assumed the responsibility for ongoing clinical studies with MAU868, including related expenses and manufacturing and regulatory activities, which were previously managed and funded by Amplyx. This includes responsibility for the Phase 2 clinical trial of MAU868 for the treatment of reactivated BK virus infection in kidney transplant recipients previously conducted by Amplyx. Any adverse events or reactions experienced by subjects in the trial may be attributed to MAU868 and may limit our ability to obtain regulatory approval with labeling that we consider desirable, or at all.</w:t>
      </w:r>
    </w:p>
    <w:p>
      <w:pPr>
        <w:pStyle w:val="TextBody"/>
        <w:bidi w:val="0"/>
        <w:jc w:val="left"/>
        <w:rPr>
          <w:rFonts w:ascii="Times New Roman" w:hAnsi="Times New Roman"/>
          <w:b/>
          <w:i/>
          <w:color w:val="000000"/>
          <w:sz w:val="20"/>
        </w:rPr>
      </w:pPr>
      <w:r>
        <w:rPr>
          <w:rFonts w:ascii="Times New Roman" w:hAnsi="Times New Roman"/>
          <w:b/>
          <w:i/>
          <w:color w:val="000000"/>
          <w:sz w:val="20"/>
        </w:rPr>
        <w:t>We contract with third parties for the manufacture of our lead product and product candidates, and expect to continue to do so. This reliance on third parties increases the risk that we will not have sufficient quantities of our commercial product or product candidates necessary for their development, or obtain such quantities at an acceptable cost, which could delay, prevent or impair our commercialization or development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have the infrastructure or internal capability to manufacture supplies of our lead product for commercialization or product candidates for use in development. We rely, and expect to continue to rely, on third-party manufacturers for the production of our lead product for commercialization and our product candidates for clinical trials under the guidance of members of our organization. Furthermore, raw materials for our lead product and product candidates are sourced, in some cases, from a single source supplier. If we were to experience an unexpected loss of supply of our lead product or product candidates for any reason, whether as a result of manufacturing, supply or storage issues or otherwise, we could experience delays, disruptions, suspensions or terminations of, or be required to restart or repeat, any pending or ongoing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rely on third-party manufacturers for the commercial supply of our lead product and product candidates,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the third party to manufacture our lead product or product candidates according to our schedule, or at all, including if our third-party contractors give greater priority to the supply of other products over our lead product or product candidates or otherwise do not satisfactorily perform according to the terms of the agreements between us and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reduction or termination of production or deliveries by suppliers, or the raising of prices or renegotiation of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termination or nonrenewal of arrangements or agreements by our third-party contractors at a time that is costly or inconvenient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breach by the third-party contractors of our agreements with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third-party contractors to comply with applicable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the third party to manufacture our lead product or product candidates according to our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mislabeling of clinical supplies, potentially resulting in the wrong dose amounts being supplied or active drug or placebo not being properly identified;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supplies not being delivered to clinical sites on time, leading to clinical trial interruptions, or of drug supplies not being distributed to commercial vendors in a timely manner, resulting in lost sales;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resulting from the effect of public health pandemics or epidemics;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misappropriation of our proprietary information, including our trade secrets and know-how.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limited control over the manufacturing process of, and are dependent on, our contract manufacturing partners for compliance with cGMP regulations or similar foreign requirements for manufacturing both active drug substances and finished drug products. Third-party manufacturers may not be able to comply with cGMP regulations or similar foreign requirements. If our contract manufacturers cannot successfully manufacture material that conforms to our specifications and the strict regulatory requirements of the FDA or other regulatory authorities, they will not be able to secure and/or maintain marketing approval for their manufacturing facilities. In addition, we have limited control over the ability of our contract manufacturers to maintain adequate quality control, quality assurance and qualified personnel. If the FDA or a comparable foreign regulatory authority does not approve these facilities for the manufacture of our lead product or product candidates, or if it withdraws any such approval in the future, we may need to find alternative manufacturing facilities, which would significantly impact our ability to successfully commercialize our lead product and develop our product candidates, if approved. We, or our contract manufacturers, any future collaborators and their contract manufacturers could be subject to periodic unannounced inspections by the FDA or other comparable foreign regulatory authorities, to monitor and ensure compliance with cGMP or similar foreign requirements. Despite our efforts to audit and verify regulatory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one or more of our third-party manufacturing vendors may be found on regulatory inspection by the FDA or other comparable foreign regulatory authorities to be noncompliant with cGMP regulations or similar foreign requirements. Our failure, or the failure of our third-party manufacturers, to comply with applicable regulations could result in sanctions being imposed on us, including shutdown of the third-party vendor or invalidation of drug product lots or processes, fines, injunctions, civil penalties, delays, suspension, variation or withdrawal of approvals, license revocation, seizures or recalls of product candidates or drugs, operating restrictions and criminal prosecutions, any of which could significantly and adversely affect supplies of our lead product, product candidates or other drugs necessary for the successful commercialization of our lead product or development of our product candidates and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if the third-party providers of therapies or therapies in development used in combination with our product candidates are unable to produce sufficient quantities for clinical trials or for commercialization of our product candidates, or if the cost of combination therapies is prohibitive, our development and commercialization efforts would be impaired, which would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anticipated future dependence upon others for the manufacture of our lead product and product candidates or other drugs necessary for the successful commercialization of our lead product and development of our product candidates may adversely affect our future profit margins and our ability to successfully commercialize our lead product and any product candidates that receive marketing approval on a timely and competitive basis.</w:t>
      </w:r>
    </w:p>
    <w:p>
      <w:pPr>
        <w:pStyle w:val="TextBody"/>
        <w:bidi w:val="0"/>
        <w:jc w:val="left"/>
        <w:rPr>
          <w:rFonts w:ascii="Times New Roman" w:hAnsi="Times New Roman"/>
          <w:b/>
          <w:i/>
          <w:color w:val="000000"/>
          <w:sz w:val="20"/>
        </w:rPr>
      </w:pPr>
      <w:r>
        <w:rPr>
          <w:rFonts w:ascii="Times New Roman" w:hAnsi="Times New Roman"/>
          <w:b/>
          <w:i/>
          <w:color w:val="000000"/>
          <w:sz w:val="20"/>
        </w:rPr>
        <w:t>The manufacture of drugs is complex and our third-party manufacturers may encounter difficulties in production. If any of our third-party manufacturers encounter such difficulties, our ability to provide adequate supply of our product candidates for clinical trials or our lead product for patients could be delayed or prevented.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significantly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operating expenses and cash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assumption of contingent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issuance of our equity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assimilation of operations, intellectual property and products of an acquired company, including difficulties associated with integrating new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diversion of our management’s attention from our existing programs and initiatives in pursuing such a strategic merger or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retention of key employees, the loss of key personnel and uncertainties in our ability to maintain key business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and uncertainties associated with the other party to such a transaction, including the prospects of that party and their existing products or product candidates and marketing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generate revenue from acquired technology and/or products sufficient to meet our objectives in undertaking the acquisition or even to offset the associated acquisition and maintenance costs.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may enter into collaborations with third parties for the development and commercialization of our lead product or product candidates. If those collaborations are not successful, we may not be able to capitalize on the market potential of our lead product 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future, we may partner with third-party collaborators for the development and commercialization of our lead product or product candidates. Our likely collaborators for any future collaboration arrangements would likely include large and mid-size pharmaceutical companies, regional and national pharmaceutical companies and biotechnology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likely have limited control over the amount and timing of resources that our collaborators dedicate to the development or commercialization of our lead product or product candidates. Our ability to generate revenues from these arrangements will depend on our collaborators’ abilities and efforts to successfully perform the functions assigned to them in these arrangements. Collaborations involving our lead product or product candidates could pose numerous risks to us,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 and may not perform their obligations as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deemphasize or not pursue development or commercialization of our lead product or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lead product or product candidates if the collaborators believe that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and distribution rights to multiple products may not commit sufficient resources to the marketing and distribution of our product relative to other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the collaborators and us that result in the delay or termination of the research, development or commercialization of our lead product or product candidates or that result in costly litigation or arbitration that diverts management attention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our lead product or the applicable product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products or product candidates in the most efficient manner or at all;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collaborator of ours were to be involved in a business combination, the continued pursuit and emphasis on our drug development or commercialization program could be delayed, diminished or terminated.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decide to establish collaborations in the future, but are not able to establish those collaborations on commercially reasonable terms, we may have to alter our development and commercialization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drug development programs, the commercialization of our current or any future products or product candidates we may develop, and the successful commercialization of our lead product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or product candidate, the costs and complexities of manufacturing and delivering such product or product candidate to patients, the potential of competing drugs, the existence of uncertainty with respect to our ownership of intellectual property and industry and market conditions generally. The potential collaborator may also consider alternative products, product candidates, or technologies for similar indications that may be available to collaborate on and whether such collaboration could be more attractive than the one with us for our product or product candidates.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jc w:val="left"/>
        <w:rPr>
          <w:rFonts w:ascii="Times New Roman" w:hAnsi="Times New Roman"/>
          <w:b/>
          <w:i/>
          <w:color w:val="000000"/>
          <w:sz w:val="20"/>
        </w:rPr>
      </w:pPr>
      <w:r>
        <w:rPr>
          <w:rFonts w:ascii="Times New Roman" w:hAnsi="Times New Roman"/>
          <w:b/>
          <w:i/>
          <w:color w:val="000000"/>
          <w:sz w:val="20"/>
        </w:rPr>
        <w:t>The price of our common stock may be volatile,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has been, and is likely to be, highly volatile and subject to wide fluctuations in response to various factors, some of which we cannot control. For example, the closing price of our common stock from January 1, 2025 to July 29, 2026, has ranged from a low of $18.86 to a high of $55.67. The stock market in general, and pharmaceutical and biotechnology companies in particular, have experienced extreme price and volume fluctuations that have often been unrelated or disproportionate to the operating performance of these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Broad market and industry factors may negatively affect the market price of our common stock, regardless of our actual operating performance. In addition to the factors discussed in this “Risk Factors” section and elsewhere in this Quarterly Report on Form 10-Q, these factors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results of nonclinical studies and clinical trials of our current or any future product candidates we may develop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actions with respect to our product candidate or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collaborations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competitive products or announcements by potential competitors of their product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associated with our license with Ares, an affiliate of Merck, including any termination or other change in our relationship with Ares or Merck;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associated with our license with Novartis, including any termination or other change in our relationship with Novartis or Amplyx;</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associated with our license with Stanford, including any termination or other change in our relationship with Stanford;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our growth rate relative to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efforts to in-license or acquire additional product candidates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public release of clinical trial data from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our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securities by us, our insiders or our other stockholders; and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general </w:t>
      </w:r>
      <w:r>
        <w:rPr>
          <w:rFonts w:ascii="Times New Roman" w:hAnsi="Times New Roman"/>
          <w:color w:val="000000"/>
          <w:sz w:val="20"/>
          <w:u w:val="single"/>
        </w:rPr>
        <w:t>g</w:t>
      </w:r>
      <w:r>
        <w:rPr>
          <w:rFonts w:ascii="Times New Roman" w:hAnsi="Times New Roman"/>
          <w:color w:val="000000"/>
          <w:sz w:val="20"/>
        </w:rPr>
        <w:t>eopolitical, macroeconomic, industry and market conditions, including tariffs and trade tensions, supply chain challenges, ongoing military conflicts, related sanctions, changes in U.S.-China relations, elevated inflation rates and the responses by central banking authorities to control such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trading prices for common stock of other biotechnology companies have been highly volatile as a result of factors unrelated to the specific company or its technology. Broad market and industry factors may negatively affect the market price of our common stock, regardless of our actual operating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could be negatively affected as a result of actions of activist stockholders, and such activism could impact the trading value of our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may, from time to time, engage in proxy solicitations or advance stockholder proposals, or otherwise attempt to effect changes and assert influence on our board of directors and management. Activist campaigns that contest or conflict with our strategic direction or seek changes in the composition of our board of directors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additional value for our stockholders. We may choose to initiate, or may become subject to, litigation as a result of the proxy contest or matters arising from the proxy contest, which would serve as a further distraction to our board of directors and management and would require us to incur significant additional costs. In addition, actions such as those described above could cause significant fluctuations in our stock price based upon temporary or speculative market perceptions or other factors that do not necessarily reflect the underlying fundamentals and prospects of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If we experience material weaknesses in internal control over financial reporting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are required to maintain internal control over financial reporting and to report any material weaknesses in such internal controls. Section 404 of the Sarbanes-Oxley Act of 2002 (Section 404) requires that we evaluate and determine the effectiveness of our internal control over financial reporting and provide a management report on internal control over financial reporting on an annual basis. Our independent registered public accounting firm is required to attest to our management report on internal control over financial reporting pursuant to the Sarbanes-Oxley Act of 2002. The process of compiling the system, process, and controls documentation necessary to perform the evaluation required under Section 404 is costly and challenging. We have incurred additional professional fees and other expenses and expended significant management efforts to comply with Section 404. In particular, these expenses and efforts increased in connection with the requirement to furnish an attestation report on internal control over financial reporting by our independent registered public accounting firm in our Annual Reports on Form 10-K for the years ended December 31, 2024 and 2025. We expect that these increased levels of expenses and efforts associated with Sarbanes-Oxley compliance will continue.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 the past and may in the future identify material weaknesses in our internal control over financial reporting. If we identify any such material weaknesses, if we are unable to comply with the requirements of Section 404 in a timely manner, if we are unable to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adversely affected, and we could become subject to investigations by the stock exchange on which our securities are listed, the SEC, or other regulatory authorities, which could require additional financial and management resources.</w:t>
      </w:r>
    </w:p>
    <w:p>
      <w:pPr>
        <w:pStyle w:val="TextBody"/>
        <w:bidi w:val="0"/>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stock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price could decline as a result of sales of a large number of shares of common stock in the future or the perception that these sales could occur. These sales, or the possibility that these sales may occur, might also make it more difficult for us to sell equity securities in the future at a time and price that we deem appropriate.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there were 71,955,885 shares of common stock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certain holders of our common stock have rights, subject to certain conditions, to require us to file registration statements covering the sale of their shares or to include their shares in registration statements that we may file for ourselves or our other stockholders. We also register all shares of common stock that we issue under our equity compensation plans. Such shares can be freely sold in the public market upon issuance, subject to volume limitations applicable to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have in the past and may in the future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pStyle w:val="TextBody"/>
        <w:bidi w:val="0"/>
        <w:jc w:val="left"/>
        <w:rPr>
          <w:rFonts w:ascii="Times New Roman" w:hAnsi="Times New Roman"/>
          <w:b/>
          <w:i/>
          <w:color w:val="000000"/>
          <w:sz w:val="20"/>
        </w:rPr>
      </w:pPr>
      <w:r>
        <w:rPr>
          <w:rFonts w:ascii="Times New Roman" w:hAnsi="Times New Roman"/>
          <w:b/>
          <w:i/>
          <w:color w:val="000000"/>
          <w:sz w:val="20"/>
        </w:rPr>
        <w:t>Raising additional capital may cause dilution to our existing stockholders, restrict our operations or require us to relinquish rights to our lead product or product candidates on unfavorable terms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additional capital through a variety of means, including through public or private equity, debt financings or other sources, including up-front payments and milestone payments from strategic collaborations. For example, since our initial public offering, we have completed a number of follow-on public offerings of our common stock.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lead product or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bidi w:val="0"/>
        <w:jc w:val="left"/>
        <w:rPr>
          <w:rFonts w:ascii="Times New Roman" w:hAnsi="Times New Roman"/>
          <w:b/>
          <w:i/>
          <w:color w:val="000000"/>
          <w:sz w:val="20"/>
        </w:rPr>
      </w:pPr>
      <w:r>
        <w:rPr>
          <w:rFonts w:ascii="Times New Roman" w:hAnsi="Times New Roman"/>
          <w:b/>
          <w:i/>
          <w:color w:val="000000"/>
          <w:sz w:val="20"/>
        </w:rPr>
        <w:t>We do not currently intend to pay dividends on our common stock and, consequently, your ability to achieve a return on your investment will depend on appreciation of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In addition, the terms of the 2025 Loan Agreement restrict our ability to declare and pay dividends without the prior written consent of Oxford. Any return to stockholders will therefore be limited to any appreciation in the value of our common stock, which is not certain.</w:t>
      </w:r>
    </w:p>
    <w:p>
      <w:pPr>
        <w:pStyle w:val="TextBody"/>
        <w:bidi w:val="0"/>
        <w:jc w:val="left"/>
        <w:rPr>
          <w:rFonts w:ascii="Times New Roman" w:hAnsi="Times New Roman"/>
          <w:b/>
          <w:i/>
          <w:color w:val="000000"/>
          <w:sz w:val="20"/>
        </w:rPr>
      </w:pPr>
      <w:r>
        <w:rPr>
          <w:rFonts w:ascii="Times New Roman" w:hAnsi="Times New Roman"/>
          <w:b/>
          <w:i/>
          <w:color w:val="000000"/>
          <w:sz w:val="20"/>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classified board of directors such that not all members of the board are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 the authorized number of our directors to be changed only by resolution of our board of directors;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the manner in which stockholders can remove directors from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stockholder proposals that can be acted on at stockholder meetings and nominations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stockholder actions must be effected at a duly called stockholder meeting and prohibit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our stockholders from calling a special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cumulative voting;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the holders of at least 66 2/3% of the votes that all our stockholders would be entitled to cast to amend or repeal certain provisions of our amended and restated certificate of incorporations or amended and restated bylaws.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Delaware General Corporation Law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jc w:val="left"/>
        <w:rPr>
          <w:rFonts w:ascii="Times New Roman" w:hAnsi="Times New Roman"/>
          <w:b/>
          <w:i/>
          <w:color w:val="000000"/>
          <w:sz w:val="20"/>
        </w:rPr>
      </w:pPr>
      <w:r>
        <w:rPr>
          <w:rFonts w:ascii="Times New Roman" w:hAnsi="Times New Roman"/>
          <w:b/>
          <w:i/>
          <w:color w:val="000000"/>
          <w:sz w:val="20"/>
        </w:rPr>
        <w:t>Our amended and restated certificate of incorporation provides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is the sole and exclusive forum for the following claims or causes of action under the Delaware statutory or common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derivative claim or cause of action brought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 or cause of action for a breach of fiduciary duty owed by any of our current or former directors, officers, or other employees to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 or cause of action against us or any of our current or former directors, officers or other employees arising out of or pursuant to any provision of the DGCL, our amended and restated certificate of incorporation, or our bylaws (as each may be amended from time to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 or cause of action seeking to interpret, apply, enforce or determine the validity of our amended and restated certificate of incorporation or our amended and restated bylaws (as each may be amended from time to time, including any right, obligation, or remedy thereunder);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 or cause of action as to which the DGCL confers jurisdiction to the Court of Chancery of the State of Delaware;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 or cause of action against us or any of our current or former directors, officers, or other employees governed by the internal-affairs doctrine, in all cases to the fullest extent permitted by law and subject to the court’s having personal jurisdiction over the indispensable parties named as defendants.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choice of forum provision would not apply to claims or causes of action brought to enforce a duty or liability created by the Securities Act, the Exchange Act or any other claim for which the federal courts have exclusive jurisdiction.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or causes of action arising under the Securities Act, including all causes of action asserted against any defendant to such complaint. For the avoidance of doubt, this provision is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such offering.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the exclusive forum provision contained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jc w:val="left"/>
        <w:rPr>
          <w:rFonts w:ascii="Times New Roman" w:hAnsi="Times New Roman"/>
          <w:sz w:val="20"/>
        </w:rPr>
      </w:pPr>
      <w:r>
        <w:rPr>
          <w:rFonts w:ascii="Times New Roman" w:hAnsi="Times New Roman"/>
          <w:b/>
          <w:i/>
          <w:color w:val="000000"/>
          <w:sz w:val="20"/>
        </w:rPr>
        <w:t>If our information technology systems, or those of any of our third-party partners (such as contract research organizations and clinical trial sites), or our data are or were compromised, we could experience adverse consequences resulting from such compromise, including but not limited to regulatory investigations or actions; litigation; fines and penalties; disruptions of our business operations; reputational harm; additional costs; loss of revenue or profits; and other adverse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and our third-party partners (such as contract research organizations and clinical trial sites) process confidential information, including intellectual property, proprietary business information, preclinical and clinical trial data and personal data (such as sensitive information) (collectively, Confidential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we and our third-party partners are vulnerable to a variety of evolving threats that could cause security incidents. Cyberattacks, malicious internet-based activity, online and offline fraud and other similar activities threaten the confidentiality, integrity, and availability of our Confidential Information and information technology systems, and those of our third-party partners. These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that are becoming increasingly sophisticated in using techniques and tools – including artificial intelligence – that circumvent security controls, evade detection and remove forensic evidence.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actors, including without limitation nation-state and nation-state-supported actors, now engage and are expected to continue to engage in cyberattacks for geopolitical reasons and in conjunction with military conflicts and defense activities. During times of war and other major conflicts, we and our third-party partners (such as contract research organizations and clinical trial sites) may be vulnerable to a heightened risk of these attacks, including retaliatory cyberattacks that could materially disrupt our systems and operations, supply chain, and ability to produce, sell and distribute our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our third-party partners are also subject to a variety of evolving threats, including but not limited to errors or malfeasance by personnel, malware (including as a result of advanced persistent threat intrusions), malicious code (such as viruses and worms), software vulnerabilities, hacking, denial or degradation of service attacks, misconfigurations, credential stuffing, social-engineering attacks (including deep fakes, which may be increasingly more difficult to identify as fake, and phishing attacks), ransomware attacks, supply-chain attacks, software “bugs”, server malfunctions, software or hardware failures, loss of data or other information technology assets, adware, attacks enhanced or facilitated by AI, telecommunications and electrical failures, earthquakes, fires, floods and other similar threats. Any integration of AI in our or any third party’s operations, products or services is expected to pose new or unknown cybersecurity risks and challenges.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particular, severe ransomware attacks are becoming increasingly prevalent and can lead to significant interruptions in our operations, ability to provide our products or services, loss of Confidential Information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Remote work has increased risks to our information technology systems and Confidential Information,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our reliance upon third-party partners and technologies to operate critical business systems and to process Confidential Information could introduce new cybersecurity risks and vulnerabilities, including supply-chain attacks, and other threats to our business operations. We rely on third-party partners in a variety of contexts, including, without limitation, third-party providers of cloud-based infrastructure, encryption and authentication technology, employee email, content delivery to customers, and other functions. We also rely on third-party partners to provide other products, services, parts, or otherwise to operate our business. Our ability to monitor these third parties’ cybersecurity practices is limited, and these third parties may not have adequate information security measures in place. Previously, we’ve been notified that certain third-party partners have experienced data breaches that may have involved our Confidential Information. </w:t>
      </w:r>
      <w:r>
        <w:rPr>
          <w:rFonts w:ascii="Times New Roman" w:hAnsi="Times New Roman"/>
          <w:color w:val="231F20"/>
          <w:sz w:val="20"/>
        </w:rPr>
        <w:t>If our third-party partners experience a security incident or other interruption, we could experience adverse consequences. While we may be entitled to damages if our third-party partners fail to satisfy their privacy or security-related obligations to us, any award may be insufficient to cover our damages, or we may be unable to recover such award.</w:t>
      </w:r>
      <w:r>
        <w:rPr>
          <w:rFonts w:ascii="Times New Roman" w:hAnsi="Times New Roman"/>
          <w:color w:val="000000"/>
          <w:sz w:val="20"/>
        </w:rPr>
        <w:t xml:space="preserve"> </w:t>
      </w:r>
      <w:r>
        <w:rPr>
          <w:rFonts w:ascii="Times New Roman" w:hAnsi="Times New Roman"/>
          <w:color w:val="231F20"/>
          <w:sz w:val="20"/>
        </w:rPr>
        <w:t>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there can be no assurance that these measures will be effective. We take steps to detect, mitigate, and remediate vulnerabilities in our information systems (such as our hardware and/or software, including that of our third-party partners).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previously identified or similar threats could cause a security incident or other interruption from time to time that could result in unauthorized, unlawful, or accidental acquisition, modification, destruction, loss, alteration, encryption, disclosure of, or access to our Confidential Information or our information technology systems, or those of the third-party partners. A security incident or other interruption could disrupt our ability (and that of our third-party partners (such as contract research organizations and clinical trial sites)) to provide our products or services. We may expend significant resources or modify our business activities (including our clinical trial activities) in an effort to protect against security incidents. Additionally, certain data privacy and security obligations may require us to implement and maintain specific security measures, industry-standard or reasonable security measures to protect our information technology systems and Confidential Information. If a significant system failure, accident or security breach were to occur and cause interruptions in our operations, it could result in a material disruption of our development programs and our business operations, whether due to a loss, corruption or unauthorized disclosure of our trade secrets, personal data or other proprietary or sensitive information or other similar disruptions. For example, the loss of clinical trial data from completed or ongoing clinical trials could result in delays in our development and regulatory approval efforts and significantly increase our costs to recover or reproduce the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Applicable data privacy and security obligations may require us to notify relevant stakeholders, including affected individuals, customers, regulators and investors, of security incidents. Such disclosures are costly, and the disclosures or the failure to comply with such requirements could lead to adverse consequences. Security incidents, or perceived security incidents, may result in material adverse consequences. These consequences may include: government enforcement actions (for example, investigations, fines, penalties, audits, and inspections); additional reporting requirements and/or oversight; restrictions on processing information (including personal data); substantial remediation costs; litigation (including class actions); indemnification obligations; negative publicity; reputational harm; monetary fund diversions; diversion of management attention; interruptions in our operations (including availability of data); financial loss; and other similar harms.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also be no assurance that our cybersecurity risk management program and processes, including our policies, controls or procedures, will be fully implemented, complied with or effective in protecting our information technology systems and Confidential Information.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certain that our insurance coverage will be adequate or sufficient to protect us from or mitigate liabilities arising out of our privacy and security practices, that such coverage will continue to be available to us on economically reasonable terms, or at all, or that such coverage will pay future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Confidential Information about us from public sources, data brokers, or other means that reveals competitively sensitive details about our organization and could be used to undermine our competitive advantage or market position. Additionally, our Confidential Information could be leaked, disclosed or revealed as a result of or in connection with our employees’, personnel’s or third-party partners’ use of generative AI technologies.</w:t>
      </w:r>
    </w:p>
    <w:p>
      <w:pPr>
        <w:pStyle w:val="TextBody"/>
        <w:bidi w:val="0"/>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jc w:val="left"/>
        <w:rPr>
          <w:rFonts w:ascii="Times New Roman" w:hAnsi="Times New Roman"/>
          <w:b/>
          <w:i/>
          <w:color w:val="000000"/>
          <w:sz w:val="20"/>
        </w:rPr>
      </w:pPr>
      <w:r>
        <w:rPr>
          <w:rFonts w:ascii="Times New Roman" w:hAnsi="Times New Roman"/>
          <w:b/>
          <w:i/>
          <w:color w:val="000000"/>
          <w:sz w:val="20"/>
        </w:rPr>
        <w:t>Future changes in financial accounting standards or practices may cause adverse and unexpected revenue fluctuations and adversely affect our reported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We intend to invest resources to comply with evolving standards, and this investment may result in increased general and administrative expenses and a diversion of management time and attention from business activities to compliance activities. </w:t>
      </w:r>
    </w:p>
    <w:p>
      <w:pPr>
        <w:pStyle w:val="TextBody"/>
        <w:bidi w:val="0"/>
        <w:jc w:val="left"/>
        <w:rPr>
          <w:rFonts w:ascii="Times New Roman" w:hAnsi="Times New Roman"/>
          <w:b/>
          <w:i/>
          <w:color w:val="000000"/>
          <w:sz w:val="20"/>
        </w:rPr>
      </w:pPr>
      <w:r>
        <w:rPr>
          <w:rFonts w:ascii="Times New Roman" w:hAnsi="Times New Roman"/>
          <w:b/>
          <w:i/>
          <w:color w:val="000000"/>
          <w:sz w:val="20"/>
        </w:rPr>
        <w:t>The requirements of being a public company may strain our resources, result in more litigation and divert management’s attention.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are subject to the reporting requirements of the Exchange Act, the Sarbanes-Oxley Act, the Dodd-Frank Wall Street Reform and Consumer Protection Act, the listing requirements of the Nasdaq Stock Market LLC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that have materially affected, or are likely to materially affect, our internal controls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disclosing information in SEC filings required of a public company, our business and financial condition is more visible, which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securities litigation, which is expensive and could divert management attention.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may be volatile and, in the past, companies that have experienced volatility in the market price of their stock have been subject to securities class action litigation and shareholder derivative actions. We may be the target of these types of litigation and claims in the future. These claims and litigation against us could result in substantial costs and divert our management’s attention from other business concerns, which could seriously harm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or if they publish adverse or misleading research or reports, regarding us, our business or our market,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is influenced by the research and reports that securities or industry analysts publish about us, our business or our market. If few securities or industry analysts commence coverage of us, the stock price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120" w:after="283"/>
        <w:jc w:val="left"/>
        <w:rPr/>
      </w:pPr>
      <w:r>
        <w:rPr/>
        <w:t> </w:t>
      </w:r>
    </w:p>
    <w:p>
      <w:pPr>
        <w:pStyle w:val="TextBody"/>
        <w:bidi w:val="0"/>
        <w:jc w:val="left"/>
        <w:rPr>
          <w:rFonts w:ascii="Times New Roman" w:hAnsi="Times New Roman"/>
          <w:sz w:val="20"/>
        </w:rPr>
      </w:pPr>
      <w:bookmarkStart w:id="16" w:name="item_2_unregistered_sales_of_equity"/>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terms of the 2025 Loan Agreement restrict our ability to declare and pay dividends without the prior written consent of Oxford.</w:t>
      </w:r>
    </w:p>
    <w:p>
      <w:pPr>
        <w:pStyle w:val="TextBody"/>
        <w:bidi w:val="0"/>
        <w:spacing w:before="36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9" w:name="item_5_othe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None.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The following table describes for the quarterly period covered by this report each trading arrangement for the purchase or sale of Company securities adopted, modified or terminated by our directors and officers that is either (1) a contract, instruction or written plan intended to satisfy the affirmative defense conditions of Rule 10b5-1(c), or a “Rule 10b5-1 trading arrangement,” or (2) a “non-Rule 10b5-1 trading arrangement” (as defined in Item 408(c) of Regulation S-K):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0"/>
        <w:gridCol w:w="1621"/>
        <w:gridCol w:w="886"/>
        <w:gridCol w:w="1103"/>
        <w:gridCol w:w="748"/>
        <w:gridCol w:w="699"/>
        <w:gridCol w:w="1689"/>
        <w:gridCol w:w="1523"/>
        <w:gridCol w:w="1176"/>
      </w:tblGrid>
      <w:tr>
        <w:trPr/>
        <w:tc>
          <w:tcPr>
            <w:tcW w:w="760"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76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sz w:val="4"/>
                <w:szCs w:val="4"/>
              </w:rPr>
            </w:pPr>
            <w:r>
              <w:rPr>
                <w:sz w:val="4"/>
                <w:szCs w:val="4"/>
              </w:rPr>
            </w:r>
          </w:p>
        </w:tc>
        <w:tc>
          <w:tcPr>
            <w:tcW w:w="162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sz w:val="4"/>
                <w:szCs w:val="4"/>
              </w:rPr>
            </w:pPr>
            <w:r>
              <w:rPr>
                <w:sz w:val="4"/>
                <w:szCs w:val="4"/>
              </w:rPr>
            </w:r>
          </w:p>
        </w:tc>
        <w:tc>
          <w:tcPr>
            <w:tcW w:w="88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sz w:val="4"/>
                <w:szCs w:val="4"/>
              </w:rPr>
            </w:pPr>
            <w:r>
              <w:rPr>
                <w:sz w:val="4"/>
                <w:szCs w:val="4"/>
              </w:rPr>
            </w:r>
          </w:p>
        </w:tc>
        <w:tc>
          <w:tcPr>
            <w:tcW w:w="1103"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Trading Arrangement</w:t>
            </w:r>
          </w:p>
        </w:tc>
        <w:tc>
          <w:tcPr>
            <w:tcW w:w="1689"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sz w:val="4"/>
                <w:szCs w:val="4"/>
              </w:rPr>
            </w:pPr>
            <w:r>
              <w:rPr>
                <w:sz w:val="4"/>
                <w:szCs w:val="4"/>
              </w:rPr>
            </w:r>
          </w:p>
        </w:tc>
        <w:tc>
          <w:tcPr>
            <w:tcW w:w="1523"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sz w:val="4"/>
                <w:szCs w:val="4"/>
              </w:rPr>
            </w:pPr>
            <w:r>
              <w:rPr>
                <w:sz w:val="4"/>
                <w:szCs w:val="4"/>
              </w:rPr>
            </w:r>
          </w:p>
        </w:tc>
        <w:tc>
          <w:tcPr>
            <w:tcW w:w="117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sz w:val="4"/>
                <w:szCs w:val="4"/>
              </w:rPr>
            </w:pPr>
            <w:r>
              <w:rPr>
                <w:sz w:val="4"/>
                <w:szCs w:val="4"/>
              </w:rPr>
            </w:r>
          </w:p>
        </w:tc>
      </w:tr>
      <w:tr>
        <w:trPr/>
        <w:tc>
          <w:tcPr>
            <w:tcW w:w="76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62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w:t>
            </w:r>
          </w:p>
        </w:tc>
        <w:tc>
          <w:tcPr>
            <w:tcW w:w="88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Action</w:t>
            </w:r>
          </w:p>
        </w:tc>
        <w:tc>
          <w:tcPr>
            <w:tcW w:w="1103" w:type="dxa"/>
            <w:tcBorders>
              <w:bottom w:val="single" w:sz="4" w:space="0" w:color="000000"/>
              <w:right w:val="single" w:sz="4" w:space="0" w:color="000000"/>
            </w:tcBorders>
            <w:tcMar>
              <w:top w:w="0" w:type="dxa"/>
              <w:left w:w="0" w:type="dxa"/>
              <w:right w:w="115"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Adoption/ Termination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74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Rule 10b5-1*</w:t>
            </w:r>
          </w:p>
        </w:tc>
        <w:tc>
          <w:tcPr>
            <w:tcW w:w="699" w:type="dxa"/>
            <w:tcBorders>
              <w:bottom w:val="single" w:sz="4" w:space="0" w:color="000000"/>
              <w:right w:val="single" w:sz="4" w:space="0" w:color="000000"/>
            </w:tcBorders>
            <w:tcMar>
              <w:top w:w="0" w:type="dxa"/>
              <w:left w:w="0" w:type="dxa"/>
              <w:right w:w="115"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Rule 10b5-1**</w:t>
            </w:r>
          </w:p>
        </w:tc>
        <w:tc>
          <w:tcPr>
            <w:tcW w:w="168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 of Class A Common Stock to be Sold***</w:t>
            </w:r>
          </w:p>
        </w:tc>
        <w:tc>
          <w:tcPr>
            <w:tcW w:w="152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 of Class A Common Stock to be Purchased</w:t>
            </w:r>
          </w:p>
        </w:tc>
        <w:tc>
          <w:tcPr>
            <w:tcW w:w="11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r>
      <w:tr>
        <w:trPr/>
        <w:tc>
          <w:tcPr>
            <w:tcW w:w="76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Joseph Young</w:t>
            </w:r>
          </w:p>
        </w:tc>
        <w:tc>
          <w:tcPr>
            <w:tcW w:w="162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Finance and Chief Accounting Officer</w:t>
            </w:r>
          </w:p>
        </w:tc>
        <w:tc>
          <w:tcPr>
            <w:tcW w:w="88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Adoption</w:t>
            </w:r>
          </w:p>
        </w:tc>
        <w:tc>
          <w:tcPr>
            <w:tcW w:w="110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7, 2026</w:t>
            </w:r>
          </w:p>
        </w:tc>
        <w:tc>
          <w:tcPr>
            <w:tcW w:w="74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69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68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Up to 19,800 shares</w:t>
            </w:r>
          </w:p>
        </w:tc>
        <w:tc>
          <w:tcPr>
            <w:tcW w:w="152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1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17, 2026</w:t>
            </w:r>
          </w:p>
        </w:tc>
      </w:tr>
      <w:tr>
        <w:trPr/>
        <w:tc>
          <w:tcPr>
            <w:tcW w:w="10205" w:type="dxa"/>
            <w:gridSpan w:val="9"/>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Contract, instruction or written plan intended to satisfy the affirmative defense conditions of Rule 10b5-1(c) under the Exchange Act.</w:t>
            </w:r>
          </w:p>
        </w:tc>
      </w:tr>
      <w:tr>
        <w:trPr/>
        <w:tc>
          <w:tcPr>
            <w:tcW w:w="10205" w:type="dxa"/>
            <w:gridSpan w:val="9"/>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 “Non-Rule 10b5-1 trading arrangement” as defined in Item 408(c) of Regulation S-K under the Exchange Act. </w:t>
            </w:r>
          </w:p>
        </w:tc>
      </w:tr>
      <w:tr>
        <w:trPr/>
        <w:tc>
          <w:tcPr>
            <w:tcW w:w="10205" w:type="dxa"/>
            <w:gridSpan w:val="9"/>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Represents the maximum number of shares that may be sold pursuant to the 10b5-1 trading arrangement. The number of shares to be sold is dependent on the satisfaction of certain conditions as set forth in the written plan.</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20" w:name="item_6_exhibits"/>
      <w:bookmarkEnd w:id="20"/>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1"/>
        <w:gridCol w:w="9284"/>
      </w:tblGrid>
      <w:tr>
        <w:trPr/>
        <w:tc>
          <w:tcPr>
            <w:tcW w:w="921" w:type="dxa"/>
            <w:tcBorders/>
            <w:vAlign w:val="center"/>
          </w:tcPr>
          <w:p>
            <w:pPr>
              <w:pStyle w:val="TableContents"/>
              <w:bidi w:val="0"/>
              <w:spacing w:before="0" w:after="283"/>
              <w:jc w:val="left"/>
              <w:rPr>
                <w:sz w:val="4"/>
                <w:szCs w:val="4"/>
              </w:rPr>
            </w:pPr>
            <w:r>
              <w:rPr>
                <w:sz w:val="4"/>
                <w:szCs w:val="4"/>
              </w:rPr>
            </w:r>
          </w:p>
        </w:tc>
        <w:tc>
          <w:tcPr>
            <w:tcW w:w="9284" w:type="dxa"/>
            <w:tcBorders/>
            <w:vAlign w:val="center"/>
          </w:tcPr>
          <w:p>
            <w:pPr>
              <w:pStyle w:val="TableContents"/>
              <w:bidi w:val="0"/>
              <w:spacing w:before="0" w:after="283"/>
              <w:jc w:val="left"/>
              <w:rPr>
                <w:sz w:val="4"/>
                <w:szCs w:val="4"/>
              </w:rPr>
            </w:pPr>
            <w:r>
              <w:rPr>
                <w:sz w:val="4"/>
                <w:szCs w:val="4"/>
              </w:rPr>
            </w:r>
          </w:p>
        </w:tc>
      </w:tr>
      <w:tr>
        <w:trPr/>
        <w:tc>
          <w:tcPr>
            <w:tcW w:w="92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9284" w:type="dxa"/>
            <w:tcBorders/>
            <w:tcMar>
              <w:top w:w="0" w:type="dxa"/>
              <w:left w:w="0" w:type="dxa"/>
              <w:bottom w:w="0" w:type="dxa"/>
              <w:right w:w="0" w:type="dxa"/>
            </w:tcMar>
            <w:vAlign w:val="center"/>
          </w:tcPr>
          <w:p>
            <w:pPr>
              <w:pStyle w:val="TableContents"/>
              <w:bidi w:val="0"/>
              <w:spacing w:before="0" w:after="283"/>
              <w:ind w:left="0" w:right="0" w:firstLine="150"/>
              <w:jc w:val="center"/>
              <w:rPr>
                <w:rFonts w:ascii="Times New Roman" w:hAnsi="Times New Roman"/>
                <w:b/>
                <w:color w:val="000000"/>
                <w:sz w:val="16"/>
              </w:rPr>
            </w:pPr>
            <w:r>
              <w:rPr>
                <w:rFonts w:ascii="Times New Roman" w:hAnsi="Times New Roman"/>
                <w:b/>
                <w:color w:val="000000"/>
                <w:sz w:val="16"/>
              </w:rPr>
              <w:t>Description</w:t>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284"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3.1</w:t>
            </w:r>
          </w:p>
        </w:tc>
        <w:tc>
          <w:tcPr>
            <w:tcW w:w="9284"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2">
              <w:r>
                <w:rPr>
                  <w:rStyle w:val="InternetLink"/>
                  <w:rFonts w:ascii="Times New Roman" w:hAnsi="Times New Roman"/>
                  <w:color w:val="0000FF"/>
                  <w:sz w:val="18"/>
                  <w:u w:val="single"/>
                </w:rPr>
                <w:t>Amended and Restated Certificate of Incorporation of the Registrant (incorporated by reference to Exhibit 3.1 to the Registrant’s Current Report on Form 8-K (File No. 001-40407), filed with the SEC on May 18, 2021).</w:t>
              </w:r>
            </w:hyperlink>
            <w:hyperlink r:id="rId3">
              <w:r>
                <w:rPr>
                  <w:rStyle w:val="InternetLink"/>
                  <w:rFonts w:ascii="Times New Roman" w:hAnsi="Times New Roman"/>
                  <w:color w:val="0000FF"/>
                  <w:sz w:val="18"/>
                </w:rPr>
                <w:t xml:space="preserve"> </w:t>
              </w:r>
            </w:hyperlink>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284"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3.2</w:t>
            </w:r>
          </w:p>
        </w:tc>
        <w:tc>
          <w:tcPr>
            <w:tcW w:w="9284" w:type="dxa"/>
            <w:tcBorders/>
            <w:tcMar>
              <w:top w:w="0" w:type="dxa"/>
              <w:left w:w="0" w:type="dxa"/>
              <w:bottom w:w="0" w:type="dxa"/>
              <w:right w:w="0" w:type="dxa"/>
            </w:tcMar>
            <w:vAlign w:val="center"/>
          </w:tcPr>
          <w:p>
            <w:pPr>
              <w:pStyle w:val="TableContents"/>
              <w:bidi w:val="0"/>
              <w:spacing w:before="0" w:after="283"/>
              <w:ind w:left="0" w:right="0" w:firstLine="150"/>
              <w:jc w:val="left"/>
              <w:rPr/>
            </w:pPr>
            <w:hyperlink r:id="rId4">
              <w:r>
                <w:rPr>
                  <w:rStyle w:val="InternetLink"/>
                  <w:rFonts w:ascii="Times New Roman" w:hAnsi="Times New Roman"/>
                  <w:color w:val="0000FF"/>
                  <w:sz w:val="18"/>
                  <w:u w:val="single"/>
                </w:rPr>
                <w:t>Amended and Restated Bylaws of the Registrant (incorporated by reference to Exhibit 3.2 to the Registrant’s Current Report on Form 8-K (File No. 001-40407), filed with the SEC on May 18, 2021).</w:t>
              </w:r>
            </w:hyperlink>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9284"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31.1*</w:t>
            </w:r>
          </w:p>
        </w:tc>
        <w:tc>
          <w:tcPr>
            <w:tcW w:w="9284" w:type="dxa"/>
            <w:tcBorders/>
            <w:tcMar>
              <w:top w:w="0" w:type="dxa"/>
              <w:left w:w="0" w:type="dxa"/>
              <w:bottom w:w="0" w:type="dxa"/>
              <w:right w:w="0" w:type="dxa"/>
            </w:tcMar>
            <w:vAlign w:val="center"/>
          </w:tcPr>
          <w:p>
            <w:pPr>
              <w:pStyle w:val="TableContents"/>
              <w:bidi w:val="0"/>
              <w:spacing w:before="0" w:after="283"/>
              <w:ind w:left="0" w:right="0" w:firstLine="150"/>
              <w:jc w:val="left"/>
              <w:rPr/>
            </w:pPr>
            <w:hyperlink w:anchor="vera-ex31_1.htm">
              <w:r>
                <w:rPr>
                  <w:rStyle w:val="InternetLink"/>
                  <w:rFonts w:ascii="Times New Roman" w:hAnsi="Times New Roman"/>
                  <w:color w:val="0000FF"/>
                  <w:sz w:val="18"/>
                  <w:u w:val="single"/>
                </w:rPr>
                <w:t>Certification of Principal Executive Officer pursuant to Rules 13a-14(a) and 15d-14(a) under the Securities Exchange Act of 1934, as amended, as adopted pursuant to Section 302 of the Sarbanes-Oxley Act of 2002.</w:t>
              </w:r>
            </w:hyperlink>
            <w:hyperlink w:anchor="vera-ex31_1.htm">
              <w:r>
                <w:rPr>
                  <w:rStyle w:val="InternetLink"/>
                  <w:rFonts w:ascii="Times New Roman" w:hAnsi="Times New Roman"/>
                  <w:color w:val="0000FF"/>
                  <w:sz w:val="18"/>
                </w:rPr>
                <w:t xml:space="preserve"> </w:t>
              </w:r>
            </w:hyperlink>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9284" w:type="dxa"/>
            <w:tcBorders/>
            <w:tcMar>
              <w:top w:w="0" w:type="dxa"/>
              <w:left w:w="0" w:type="dxa"/>
              <w:bottom w:w="0" w:type="dxa"/>
              <w:right w:w="0" w:type="dxa"/>
            </w:tcMar>
            <w:vAlign w:val="center"/>
          </w:tcPr>
          <w:p>
            <w:pPr>
              <w:pStyle w:val="TableContents"/>
              <w:bidi w:val="0"/>
              <w:spacing w:before="0" w:after="283"/>
              <w:ind w:left="0" w:right="0" w:firstLine="150"/>
              <w:jc w:val="left"/>
              <w:rPr>
                <w:sz w:val="4"/>
                <w:szCs w:val="4"/>
              </w:rPr>
            </w:pPr>
            <w:r>
              <w:rPr>
                <w:sz w:val="4"/>
                <w:szCs w:val="4"/>
              </w:rPr>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31.2*</w:t>
            </w:r>
          </w:p>
        </w:tc>
        <w:tc>
          <w:tcPr>
            <w:tcW w:w="9284" w:type="dxa"/>
            <w:tcBorders/>
            <w:tcMar>
              <w:top w:w="0" w:type="dxa"/>
              <w:left w:w="0" w:type="dxa"/>
              <w:bottom w:w="0" w:type="dxa"/>
              <w:right w:w="0" w:type="dxa"/>
            </w:tcMar>
            <w:vAlign w:val="center"/>
          </w:tcPr>
          <w:p>
            <w:pPr>
              <w:pStyle w:val="TableContents"/>
              <w:bidi w:val="0"/>
              <w:spacing w:before="0" w:after="283"/>
              <w:ind w:left="0" w:right="0" w:firstLine="150"/>
              <w:jc w:val="left"/>
              <w:rPr/>
            </w:pPr>
            <w:hyperlink w:anchor="vera-ex31_2.htm">
              <w:r>
                <w:rPr>
                  <w:rStyle w:val="InternetLink"/>
                  <w:rFonts w:ascii="Times New Roman" w:hAnsi="Times New Roman"/>
                  <w:color w:val="0000FF"/>
                  <w:sz w:val="18"/>
                  <w:u w:val="single"/>
                </w:rPr>
                <w:t>Certification of Principal Financial Officer pursuant to Rules 13a-14(a) and 15d-14(a) under the Securities Exchange Act of 1934, as amended, as adopted pursuant to Section 302 of the Sarbanes-Oxley Act of 2002.</w:t>
              </w:r>
            </w:hyperlink>
            <w:hyperlink w:anchor="vera-ex31_2.htm">
              <w:r>
                <w:rPr>
                  <w:rStyle w:val="InternetLink"/>
                  <w:rFonts w:ascii="Times New Roman" w:hAnsi="Times New Roman"/>
                  <w:color w:val="0000FF"/>
                  <w:sz w:val="18"/>
                </w:rPr>
                <w:t xml:space="preserve"> </w:t>
              </w:r>
            </w:hyperlink>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9284" w:type="dxa"/>
            <w:tcBorders/>
            <w:tcMar>
              <w:top w:w="0" w:type="dxa"/>
              <w:left w:w="0" w:type="dxa"/>
              <w:bottom w:w="0" w:type="dxa"/>
              <w:right w:w="0" w:type="dxa"/>
            </w:tcMar>
            <w:vAlign w:val="center"/>
          </w:tcPr>
          <w:p>
            <w:pPr>
              <w:pStyle w:val="TableContents"/>
              <w:bidi w:val="0"/>
              <w:spacing w:before="0" w:after="283"/>
              <w:ind w:left="0" w:right="0" w:firstLine="150"/>
              <w:jc w:val="left"/>
              <w:rPr>
                <w:sz w:val="4"/>
                <w:szCs w:val="4"/>
              </w:rPr>
            </w:pPr>
            <w:r>
              <w:rPr>
                <w:sz w:val="4"/>
                <w:szCs w:val="4"/>
              </w:rPr>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32.1#</w:t>
            </w:r>
          </w:p>
        </w:tc>
        <w:tc>
          <w:tcPr>
            <w:tcW w:w="9284" w:type="dxa"/>
            <w:tcBorders/>
            <w:tcMar>
              <w:top w:w="0" w:type="dxa"/>
              <w:left w:w="0" w:type="dxa"/>
              <w:bottom w:w="0" w:type="dxa"/>
              <w:right w:w="0" w:type="dxa"/>
            </w:tcMar>
            <w:vAlign w:val="center"/>
          </w:tcPr>
          <w:p>
            <w:pPr>
              <w:pStyle w:val="TableContents"/>
              <w:bidi w:val="0"/>
              <w:spacing w:before="0" w:after="283"/>
              <w:ind w:left="0" w:right="0" w:firstLine="150"/>
              <w:jc w:val="left"/>
              <w:rPr/>
            </w:pPr>
            <w:hyperlink w:anchor="vera-ex32_1.htm">
              <w:r>
                <w:rPr>
                  <w:rStyle w:val="InternetLink"/>
                  <w:rFonts w:ascii="Times New Roman" w:hAnsi="Times New Roman"/>
                  <w:color w:val="0000FF"/>
                  <w:sz w:val="18"/>
                  <w:u w:val="single"/>
                </w:rPr>
                <w:t>Certification of Principal Executive Officer pursuant to 18 U.S.C. Section 1350, as adopted pursuant to Section 906 of the Sarbanes-Oxley Act of 2002.</w:t>
              </w:r>
            </w:hyperlink>
            <w:hyperlink w:anchor="vera-ex32_1.htm">
              <w:r>
                <w:rPr>
                  <w:rStyle w:val="InternetLink"/>
                  <w:rFonts w:ascii="Times New Roman" w:hAnsi="Times New Roman"/>
                  <w:color w:val="0000FF"/>
                  <w:sz w:val="18"/>
                </w:rPr>
                <w:t xml:space="preserve"> </w:t>
              </w:r>
            </w:hyperlink>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9284" w:type="dxa"/>
            <w:tcBorders/>
            <w:tcMar>
              <w:top w:w="0" w:type="dxa"/>
              <w:left w:w="0" w:type="dxa"/>
              <w:bottom w:w="0" w:type="dxa"/>
              <w:right w:w="0" w:type="dxa"/>
            </w:tcMar>
            <w:vAlign w:val="center"/>
          </w:tcPr>
          <w:p>
            <w:pPr>
              <w:pStyle w:val="TableContents"/>
              <w:bidi w:val="0"/>
              <w:spacing w:before="0" w:after="283"/>
              <w:ind w:left="0" w:right="0" w:firstLine="150"/>
              <w:jc w:val="left"/>
              <w:rPr>
                <w:sz w:val="4"/>
                <w:szCs w:val="4"/>
              </w:rPr>
            </w:pPr>
            <w:r>
              <w:rPr>
                <w:sz w:val="4"/>
                <w:szCs w:val="4"/>
              </w:rPr>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32.2#</w:t>
            </w:r>
          </w:p>
        </w:tc>
        <w:tc>
          <w:tcPr>
            <w:tcW w:w="9284" w:type="dxa"/>
            <w:tcBorders/>
            <w:tcMar>
              <w:top w:w="0" w:type="dxa"/>
              <w:left w:w="0" w:type="dxa"/>
              <w:bottom w:w="0" w:type="dxa"/>
              <w:right w:w="0" w:type="dxa"/>
            </w:tcMar>
            <w:vAlign w:val="center"/>
          </w:tcPr>
          <w:p>
            <w:pPr>
              <w:pStyle w:val="TableContents"/>
              <w:bidi w:val="0"/>
              <w:spacing w:before="0" w:after="283"/>
              <w:ind w:left="0" w:right="0" w:firstLine="150"/>
              <w:jc w:val="left"/>
              <w:rPr/>
            </w:pPr>
            <w:hyperlink w:anchor="vera-ex32_2.htm">
              <w:r>
                <w:rPr>
                  <w:rStyle w:val="InternetLink"/>
                  <w:rFonts w:ascii="Times New Roman" w:hAnsi="Times New Roman"/>
                  <w:color w:val="0000FF"/>
                  <w:sz w:val="18"/>
                  <w:u w:val="single"/>
                </w:rPr>
                <w:t>Certification of Principal Financial Officer pursuant to 18 U.S.C. Section 1350, as adopted pursuant to Section 906 of the Sarbanes-Oxley Act of 2002.</w:t>
              </w:r>
            </w:hyperlink>
            <w:hyperlink w:anchor="vera-ex32_2.htm">
              <w:r>
                <w:rPr>
                  <w:rStyle w:val="InternetLink"/>
                  <w:rFonts w:ascii="Times New Roman" w:hAnsi="Times New Roman"/>
                  <w:color w:val="0000FF"/>
                  <w:sz w:val="18"/>
                </w:rPr>
                <w:t xml:space="preserve"> </w:t>
              </w:r>
            </w:hyperlink>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9284" w:type="dxa"/>
            <w:tcBorders/>
            <w:tcMar>
              <w:top w:w="0" w:type="dxa"/>
              <w:left w:w="0" w:type="dxa"/>
              <w:bottom w:w="0" w:type="dxa"/>
              <w:right w:w="0" w:type="dxa"/>
            </w:tcMar>
            <w:vAlign w:val="center"/>
          </w:tcPr>
          <w:p>
            <w:pPr>
              <w:pStyle w:val="TableContents"/>
              <w:bidi w:val="0"/>
              <w:spacing w:before="0" w:after="283"/>
              <w:ind w:left="0" w:right="0" w:firstLine="150"/>
              <w:jc w:val="left"/>
              <w:rPr>
                <w:sz w:val="4"/>
                <w:szCs w:val="4"/>
              </w:rPr>
            </w:pPr>
            <w:r>
              <w:rPr>
                <w:sz w:val="4"/>
                <w:szCs w:val="4"/>
              </w:rPr>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101.INS*</w:t>
            </w:r>
          </w:p>
        </w:tc>
        <w:tc>
          <w:tcPr>
            <w:tcW w:w="9284" w:type="dxa"/>
            <w:tcBorders/>
            <w:tcMar>
              <w:top w:w="0" w:type="dxa"/>
              <w:left w:w="0" w:type="dxa"/>
              <w:bottom w:w="0" w:type="dxa"/>
              <w:right w:w="0" w:type="dxa"/>
            </w:tcMar>
            <w:vAlign w:val="center"/>
          </w:tcPr>
          <w:p>
            <w:pPr>
              <w:pStyle w:val="TableContents"/>
              <w:bidi w:val="0"/>
              <w:spacing w:before="0" w:after="283"/>
              <w:ind w:left="0" w:right="0" w:firstLine="150"/>
              <w:jc w:val="left"/>
              <w:rPr>
                <w:rFonts w:ascii="Times New Roman" w:hAnsi="Times New Roman"/>
                <w:color w:val="000000"/>
                <w:sz w:val="18"/>
              </w:rPr>
            </w:pPr>
            <w:r>
              <w:rPr>
                <w:rFonts w:ascii="Times New Roman" w:hAnsi="Times New Roman"/>
                <w:color w:val="000000"/>
                <w:sz w:val="18"/>
              </w:rPr>
              <w:t>Inline XBRL Instance Document – the instance document does not appear in the Interactive Data File as its XBRL tags are embedded within the Inline XBRL document</w:t>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9284" w:type="dxa"/>
            <w:tcBorders/>
            <w:tcMar>
              <w:top w:w="0" w:type="dxa"/>
              <w:left w:w="0" w:type="dxa"/>
              <w:bottom w:w="0" w:type="dxa"/>
              <w:right w:w="0" w:type="dxa"/>
            </w:tcMar>
            <w:vAlign w:val="center"/>
          </w:tcPr>
          <w:p>
            <w:pPr>
              <w:pStyle w:val="TableContents"/>
              <w:bidi w:val="0"/>
              <w:spacing w:before="0" w:after="283"/>
              <w:ind w:left="0" w:right="0" w:firstLine="150"/>
              <w:jc w:val="left"/>
              <w:rPr>
                <w:sz w:val="4"/>
                <w:szCs w:val="4"/>
              </w:rPr>
            </w:pPr>
            <w:r>
              <w:rPr>
                <w:sz w:val="4"/>
                <w:szCs w:val="4"/>
              </w:rPr>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101.SCH*</w:t>
            </w:r>
          </w:p>
        </w:tc>
        <w:tc>
          <w:tcPr>
            <w:tcW w:w="9284" w:type="dxa"/>
            <w:tcBorders/>
            <w:tcMar>
              <w:top w:w="0" w:type="dxa"/>
              <w:left w:w="0" w:type="dxa"/>
              <w:bottom w:w="0" w:type="dxa"/>
              <w:right w:w="0" w:type="dxa"/>
            </w:tcMar>
            <w:vAlign w:val="center"/>
          </w:tcPr>
          <w:p>
            <w:pPr>
              <w:pStyle w:val="TableContents"/>
              <w:bidi w:val="0"/>
              <w:spacing w:before="0" w:after="283"/>
              <w:ind w:left="0" w:right="0" w:firstLine="150"/>
              <w:jc w:val="left"/>
              <w:rPr>
                <w:rFonts w:ascii="Times New Roman" w:hAnsi="Times New Roman"/>
                <w:color w:val="000000"/>
                <w:sz w:val="18"/>
              </w:rPr>
            </w:pPr>
            <w:r>
              <w:rPr>
                <w:rFonts w:ascii="Times New Roman" w:hAnsi="Times New Roman"/>
                <w:color w:val="000000"/>
                <w:sz w:val="18"/>
              </w:rPr>
              <w:t>Inline XBRL Taxonomy Extension Schema With Embedded Linkbase Documents</w:t>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c>
          <w:tcPr>
            <w:tcW w:w="9284" w:type="dxa"/>
            <w:tcBorders/>
            <w:tcMar>
              <w:top w:w="0" w:type="dxa"/>
              <w:left w:w="0" w:type="dxa"/>
              <w:bottom w:w="0" w:type="dxa"/>
              <w:right w:w="0" w:type="dxa"/>
            </w:tcMar>
            <w:vAlign w:val="center"/>
          </w:tcPr>
          <w:p>
            <w:pPr>
              <w:pStyle w:val="TableContents"/>
              <w:bidi w:val="0"/>
              <w:spacing w:before="0" w:after="283"/>
              <w:ind w:left="0" w:right="0" w:firstLine="150"/>
              <w:jc w:val="left"/>
              <w:rPr>
                <w:sz w:val="4"/>
                <w:szCs w:val="4"/>
              </w:rPr>
            </w:pPr>
            <w:r>
              <w:rPr>
                <w:sz w:val="4"/>
                <w:szCs w:val="4"/>
              </w:rPr>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104*</w:t>
            </w:r>
          </w:p>
        </w:tc>
        <w:tc>
          <w:tcPr>
            <w:tcW w:w="9284"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Cover Page formatted as Inline XBRL and contained in Exhibit 101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The information in Exhibits 32.1 and 32.2 shall not be deemed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(including this Quarterly Report on Form 10-Q), unless the Registrant specifically incorporates the foregoing information into those documents by reference.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21" w:name="signatures"/>
      <w:bookmarkEnd w:id="21"/>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4942" w:type="dxa"/>
        <w:jc w:val="left"/>
        <w:tblInd w:w="0" w:type="dxa"/>
        <w:tblLayout w:type="fixed"/>
        <w:tblCellMar>
          <w:top w:w="28" w:type="dxa"/>
          <w:left w:w="28" w:type="dxa"/>
          <w:bottom w:w="28" w:type="dxa"/>
          <w:right w:w="28" w:type="dxa"/>
        </w:tblCellMar>
      </w:tblPr>
      <w:tblGrid>
        <w:gridCol w:w="1951"/>
        <w:gridCol w:w="109"/>
        <w:gridCol w:w="406"/>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Vera Therapeutics,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Marshall Fordyce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Marshall Fordyce, M.D.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Sean Grant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Sean Grant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bookmarkStart w:id="22" w:name="vera-ex31_1.htm"/>
      <w:bookmarkStart w:id="23" w:name="ksveraex31_1"/>
      <w:bookmarkEnd w:id="22"/>
      <w:bookmarkEnd w:id="2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u w:val="single"/>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Marshall Fordyce,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Vera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4942" w:type="dxa"/>
        <w:jc w:val="left"/>
        <w:tblInd w:w="0" w:type="dxa"/>
        <w:tblLayout w:type="fixed"/>
        <w:tblCellMar>
          <w:top w:w="28" w:type="dxa"/>
          <w:left w:w="28" w:type="dxa"/>
          <w:bottom w:w="28" w:type="dxa"/>
          <w:right w:w="28" w:type="dxa"/>
        </w:tblCellMar>
      </w:tblPr>
      <w:tblGrid>
        <w:gridCol w:w="1951"/>
        <w:gridCol w:w="109"/>
        <w:gridCol w:w="406"/>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Marshall Fordyce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Marshall Fordyce, M.D.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vera-ex31_2.htm"/>
      <w:bookmarkStart w:id="25" w:name="ksveraex31_2"/>
      <w:bookmarkEnd w:id="24"/>
      <w:bookmarkEnd w:id="25"/>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u w:val="single"/>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Sean Grant,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Vera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4882" w:type="dxa"/>
        <w:jc w:val="left"/>
        <w:tblInd w:w="0" w:type="dxa"/>
        <w:tblLayout w:type="fixed"/>
        <w:tblCellMar>
          <w:top w:w="28" w:type="dxa"/>
          <w:left w:w="28" w:type="dxa"/>
          <w:bottom w:w="28" w:type="dxa"/>
          <w:right w:w="28" w:type="dxa"/>
        </w:tblCellMar>
      </w:tblPr>
      <w:tblGrid>
        <w:gridCol w:w="1951"/>
        <w:gridCol w:w="109"/>
        <w:gridCol w:w="406"/>
        <w:gridCol w:w="241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Sean Grant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Sean Grant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vera-ex32_1.htm"/>
      <w:bookmarkStart w:id="27" w:name="ksveraex32_1"/>
      <w:bookmarkEnd w:id="26"/>
      <w:bookmarkEnd w:id="2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Vera Therapeutics, Inc. (the “Company”) on Form 10-Q for the period ended June 30, 2026 as filed with the Securities and Exchange Commission on the date hereof (the “Report”), I certify, pursuant to 18 U.S.C. § 1350, as adopted pursuant to § 906 of the Sarbanes-Oxley Act of 2002, that, to the best of my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tbl>
      <w:tblPr>
        <w:tblW w:w="4942" w:type="dxa"/>
        <w:jc w:val="left"/>
        <w:tblInd w:w="0" w:type="dxa"/>
        <w:tblLayout w:type="fixed"/>
        <w:tblCellMar>
          <w:top w:w="28" w:type="dxa"/>
          <w:left w:w="28" w:type="dxa"/>
          <w:bottom w:w="28" w:type="dxa"/>
          <w:right w:w="28" w:type="dxa"/>
        </w:tblCellMar>
      </w:tblPr>
      <w:tblGrid>
        <w:gridCol w:w="1951"/>
        <w:gridCol w:w="109"/>
        <w:gridCol w:w="406"/>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Marshall Fordyce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Marshall Fordyce, M.D.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vera-ex32_2.htm"/>
      <w:bookmarkStart w:id="29" w:name="ksveraex32_2"/>
      <w:bookmarkEnd w:id="28"/>
      <w:bookmarkEnd w:id="29"/>
      <w:r>
        <w:rPr/>
        <w:t> </w:t>
      </w:r>
      <w:r>
        <w:br w:type="page"/>
      </w:r>
    </w:p>
    <w:p>
      <w:pPr>
        <w:pStyle w:val="TextBody"/>
        <w:bidi w:val="0"/>
        <w:jc w:val="left"/>
        <w:rPr/>
      </w:pPr>
      <w:r>
        <w:rPr/>
        <w:t> </w:t>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Vera Therapeutics, Inc. (the “Company”) on Form 10-Q for the period ended June 30, 2026 as filed with the Securities and Exchange Commission on the date hereof (the “Report”), I certify, pursuant to 18 U.S.C. § 1350, as adopted pursuant to § 906 of the Sarbanes-Oxley Act of 2002, that, to the best of my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tbl>
      <w:tblPr>
        <w:tblW w:w="4882" w:type="dxa"/>
        <w:jc w:val="left"/>
        <w:tblInd w:w="0" w:type="dxa"/>
        <w:tblLayout w:type="fixed"/>
        <w:tblCellMar>
          <w:top w:w="28" w:type="dxa"/>
          <w:left w:w="28" w:type="dxa"/>
          <w:bottom w:w="28" w:type="dxa"/>
          <w:right w:w="28" w:type="dxa"/>
        </w:tblCellMar>
      </w:tblPr>
      <w:tblGrid>
        <w:gridCol w:w="1951"/>
        <w:gridCol w:w="109"/>
        <w:gridCol w:w="406"/>
        <w:gridCol w:w="241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Sean Grant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Sean Grant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1828/000119312521165336/d141137dex31.htm" TargetMode="External"/><Relationship Id="rId3" Type="http://schemas.openxmlformats.org/officeDocument/2006/relationships/hyperlink" Target="https://www.sec.gov/Archives/edgar/data/1831828/000119312521165336/d141137dex31.htm" TargetMode="External"/><Relationship Id="rId4" Type="http://schemas.openxmlformats.org/officeDocument/2006/relationships/hyperlink" Target="https://www.sec.gov/Archives/edgar/data/1831828/000119312521165336/d141137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65151</Words>
  <Characters>367292</Characters>
  <CharactersWithSpaces>432529</CharactersWithSpaces>
  <Paragraphs>5740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