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8122026_100823.xml.htm"/>
      <w:bookmarkStart w:id="1" w:name="ksform4a08122026_1008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Fordyce Marshall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 Therapeutics, Inc.</w:t>
              </w:r>
            </w:hyperlink>
            <w:r>
              <w:rPr/>
              <w:t xml:space="preserve"> [ </w:t>
            </w:r>
            <w:r>
              <w:rPr>
                <w:rFonts w:ascii="Times;serif" w:hAnsi="Times;serif"/>
                <w:color w:val="0000FF"/>
                <w:sz w:val="24"/>
                <w:shd w:fill="FFFFFF" w:val="clear"/>
              </w:rPr>
              <w:t>VERA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06/24/2026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2.8968</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253,744</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18,412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37.9311</w:t>
            </w:r>
            <w:r>
              <w:rPr>
                <w:rFonts w:ascii="Times;serif" w:hAnsi="Times;serif"/>
                <w:color w:val="008000"/>
                <w:position w:val="7"/>
                <w:sz w:val="16"/>
                <w:sz w:val="20"/>
                <w:shd w:fill="FFFFFF" w:val="clear"/>
              </w:rPr>
              <w:t>(3)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235,332</w:t>
            </w:r>
            <w:r>
              <w:rPr>
                <w:rFonts w:ascii="Times;serif" w:hAnsi="Times;serif"/>
                <w:color w:val="008000"/>
                <w:position w:val="7"/>
                <w:sz w:val="16"/>
                <w:sz w:val="20"/>
                <w:shd w:fill="FFFFFF" w:val="clear"/>
              </w:rPr>
              <w:t>(1)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38.43</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235,244</w:t>
            </w:r>
            <w:r>
              <w:rPr>
                <w:rFonts w:ascii="Times;serif" w:hAnsi="Times;serif"/>
                <w:color w:val="008000"/>
                <w:position w:val="7"/>
                <w:sz w:val="16"/>
                <w:sz w:val="20"/>
                <w:shd w:fill="FFFFFF" w:val="clear"/>
              </w:rPr>
              <w:t>(1)</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2.8968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572,051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amended Form 4 is filed to reflect the option exercise that occurred on June 23, 2026 and correct the amounts reported in Column 5 "Amount of Securities Beneficially Owned Following Reported Transaction(s)".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were made pursuant to a written plan adopted on January 9, 2026, meeting the requirements of Rule 10b5-1(c)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$37.43 to $38.315,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1/4 of the shares subject to the option vested on December 16, 2021, and 1/48 of the shares vested monthly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Young,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9453" TargetMode="External"/><Relationship Id="rId5" Type="http://schemas.openxmlformats.org/officeDocument/2006/relationships/hyperlink" Target="http://www.sec.gov/cgi-bin/browse-edgar?action=getcompany&amp;CIK=0001831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4085</Characters>
  <CharactersWithSpaces>4745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