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Jodie Bourdet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(415) 693-2054</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jbourdet@cooley.com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Via EDGAR</w:t>
      </w:r>
    </w:p>
    <w:p>
      <w:pPr>
        <w:spacing w:after="0" w:line="634" w:lineRule="exact"/>
        <w:rPr>
          <w:sz w:val="24"/>
          <w:szCs w:val="24"/>
          <w:color w:val="auto"/>
        </w:rPr>
      </w:pPr>
    </w:p>
    <w:p>
      <w:pPr>
        <w:sectPr>
          <w:pgSz w:w="11900" w:h="16838" w:orient="portrait"/>
          <w:cols w:equalWidth="0" w:num="2">
            <w:col w:w="9380" w:space="720"/>
            <w:col w:w="920"/>
          </w:cols>
          <w:pgMar w:left="440" w:top="1070" w:right="439" w:bottom="1440" w:gutter="0" w:footer="0" w:header="0"/>
        </w:sectPr>
      </w:pP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April 23, 2021</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7"/>
          <w:szCs w:val="17"/>
          <w:color w:val="auto"/>
        </w:rPr>
        <w:t>Dillon Hagius</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Irene Paik Christie Wong</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Vanessa Robertson</w:t>
      </w:r>
    </w:p>
    <w:p>
      <w:pPr>
        <w:sectPr>
          <w:pgSz w:w="11900" w:h="16838" w:orient="portrait"/>
          <w:cols w:equalWidth="0" w:num="1">
            <w:col w:w="11020"/>
          </w:cols>
          <w:pgMar w:left="440" w:top="1070" w:right="439" w:bottom="1440" w:gutter="0" w:footer="0" w:header="0"/>
          <w:type w:val="continuous"/>
        </w:sectPr>
      </w:pPr>
    </w:p>
    <w:p>
      <w:pPr>
        <w:spacing w:after="0" w:line="234"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Vera Therapeutics, Inc.</w:t>
      </w:r>
    </w:p>
    <w:p>
      <w:pPr>
        <w:spacing w:after="0" w:line="27"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Draft 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Submitted March 19, 2021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CIK No. 0001831828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On behalf of Vera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submit this letter in response to comments received from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April 14, 2021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with respect to the Company’s draft Registration Statement on Form S-1 confidentially submitted to the Commission on March 19, 2021. Concurrently with the submission of this response letter, the Company is filing its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Commission. In addition to addressing the comments raised by the Staff in the Comment Letter, the Company has included other revisions and updates to its disclosure in the Registration Statement.</w:t>
      </w:r>
    </w:p>
    <w:p>
      <w:pPr>
        <w:spacing w:after="0" w:line="19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For the convenience of the Staff, the numbering of the paragraphs below corresponds to the numbering of the comment in the Comment Letter, the text of which we have incorporated into this response letter for convenience in italicized type and which is followed by the Company’s response. Page references in the text of this response letter correspond to the page numbers of the Registration Statement.</w:t>
      </w:r>
    </w:p>
    <w:p>
      <w:pPr>
        <w:spacing w:after="0" w:line="29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Draft Registration Statement on Form S-1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Our Product Candidate: Atacicept, page 1</w:t>
      </w:r>
    </w:p>
    <w:p>
      <w:pPr>
        <w:spacing w:after="0" w:line="131" w:lineRule="exact"/>
        <w:rPr>
          <w:sz w:val="24"/>
          <w:szCs w:val="24"/>
          <w:color w:val="auto"/>
        </w:rPr>
      </w:pPr>
    </w:p>
    <w:p>
      <w:pPr>
        <w:ind w:left="960" w:right="40" w:hanging="532"/>
        <w:spacing w:after="0" w:line="259"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We note your disclosures here and throughout the prospectus that atacicept has demonstrated an “acceptable” safety and tolerability profile and has demonstrated “efficacy” in certain indications. To the extent atacicept has not been approved for such indications, please revise your disclosures to remove any statements that imply that atacicept is safe or effective, as safety and efficacy are determinations that are solely within the authority of the FDA or similar foreign regulators.</w:t>
      </w:r>
    </w:p>
    <w:p>
      <w:pPr>
        <w:spacing w:after="0" w:line="75" w:lineRule="exact"/>
        <w:rPr>
          <w:sz w:val="24"/>
          <w:szCs w:val="24"/>
          <w:color w:val="auto"/>
        </w:rPr>
      </w:pPr>
    </w:p>
    <w:p>
      <w:pPr>
        <w:ind w:left="980" w:right="20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revised the disclosure throughout the Registration Statement to remove</w:t>
      </w:r>
      <w:r>
        <w:rPr>
          <w:rFonts w:ascii="Arial" w:cs="Arial" w:eastAsia="Arial" w:hAnsi="Arial"/>
          <w:sz w:val="18"/>
          <w:szCs w:val="18"/>
          <w:b w:val="1"/>
          <w:bCs w:val="1"/>
          <w:color w:val="auto"/>
        </w:rPr>
        <w:t xml:space="preserve"> </w:t>
      </w:r>
      <w:r>
        <w:rPr>
          <w:rFonts w:ascii="Arial" w:cs="Arial" w:eastAsia="Arial" w:hAnsi="Arial"/>
          <w:sz w:val="18"/>
          <w:szCs w:val="18"/>
          <w:color w:val="auto"/>
        </w:rPr>
        <w:t>any statements that imply that atacicept is safe or effective.</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20"/>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1020"/>
          </w:cols>
          <w:pgMar w:left="440" w:top="107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 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left="960" w:right="44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Where you discuss the exclusive license to atacicept from Ares Trading S.A., please disclose the date that you entered into the license agreement.</w:t>
      </w:r>
    </w:p>
    <w:p>
      <w:pPr>
        <w:spacing w:after="0" w:line="5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revised the disclosure on page 2 accordingly.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 page 1</w:t>
      </w:r>
    </w:p>
    <w:p>
      <w:pPr>
        <w:spacing w:after="0" w:line="131" w:lineRule="exact"/>
        <w:rPr>
          <w:sz w:val="20"/>
          <w:szCs w:val="20"/>
          <w:color w:val="auto"/>
        </w:rPr>
      </w:pPr>
    </w:p>
    <w:p>
      <w:pPr>
        <w:ind w:left="960" w:right="420" w:hanging="532"/>
        <w:spacing w:after="0" w:line="308"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Please clarify that you did not conduct the Phase 2a clinical trial of atacicept in patients with IgAN and are instead relying on Merck KGaA’s results. Additionally, please disclose in this same paragraph that there were 16 patients in the Phase 2a trial.</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revised the disclosure on page 1 accordingly.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Atacicept in LN, page 4</w:t>
      </w:r>
    </w:p>
    <w:p>
      <w:pPr>
        <w:spacing w:after="0" w:line="131" w:lineRule="exact"/>
        <w:rPr>
          <w:sz w:val="20"/>
          <w:szCs w:val="20"/>
          <w:color w:val="auto"/>
        </w:rPr>
      </w:pPr>
    </w:p>
    <w:p>
      <w:pPr>
        <w:ind w:left="960" w:right="120" w:hanging="532"/>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disclosure that you observed positive clinical data on multiple measures in a prior Phase 2 clinical trial of atacicept in SLE within the High Disease Activity patient segment. With reference to your disclosure on pages 109-110, please balance the presentation by explaining that atacicept missed its primary endpoint in this Phase 2 clinical trial and briefly discussing the results of prior clinical development of atacicept in LN by Merck KGaA.</w:t>
      </w:r>
    </w:p>
    <w:p>
      <w:pPr>
        <w:spacing w:after="0" w:line="7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In response to the Staff’s comment, the Company has revised the disclosure on pages 4, 93 and 108 accordingly.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Proceeds, page 75</w:t>
      </w:r>
    </w:p>
    <w:p>
      <w:pPr>
        <w:spacing w:after="0" w:line="131"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Please specify how far in the clinical development of atacicept in IgAN and LN you expect to reach with the proceeds of this offering.</w:t>
      </w:r>
    </w:p>
    <w:p>
      <w:pPr>
        <w:spacing w:after="0" w:line="124" w:lineRule="exact"/>
        <w:rPr>
          <w:rFonts w:ascii="Arial" w:cs="Arial" w:eastAsia="Arial" w:hAnsi="Arial"/>
          <w:sz w:val="17"/>
          <w:szCs w:val="17"/>
          <w:color w:val="auto"/>
        </w:rPr>
      </w:pPr>
    </w:p>
    <w:p>
      <w:pPr>
        <w:ind w:left="980" w:right="260"/>
        <w:spacing w:after="0" w:line="312" w:lineRule="auto"/>
        <w:rPr>
          <w:rFonts w:ascii="Arial" w:cs="Arial" w:eastAsia="Arial" w:hAnsi="Arial"/>
          <w:sz w:val="17"/>
          <w:szCs w:val="17"/>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advises the Staff it will specify how far in the clinical development of atacicept in IgAN and LN it expects to</w:t>
      </w:r>
      <w:r>
        <w:rPr>
          <w:rFonts w:ascii="Arial" w:cs="Arial" w:eastAsia="Arial" w:hAnsi="Arial"/>
          <w:sz w:val="17"/>
          <w:szCs w:val="17"/>
          <w:b w:val="1"/>
          <w:bCs w:val="1"/>
          <w:color w:val="auto"/>
        </w:rPr>
        <w:t xml:space="preserve"> </w:t>
      </w:r>
      <w:r>
        <w:rPr>
          <w:rFonts w:ascii="Arial" w:cs="Arial" w:eastAsia="Arial" w:hAnsi="Arial"/>
          <w:sz w:val="17"/>
          <w:szCs w:val="17"/>
          <w:color w:val="auto"/>
        </w:rPr>
        <w:t>reach with the net proceeds of the offering once it has an estimate of the anticipated proceeds from the offering.</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Critical Accounting Policies, Significant Judgments and Use of Estimates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Common Stock, page 90</w:t>
      </w:r>
    </w:p>
    <w:p>
      <w:pPr>
        <w:spacing w:after="0" w:line="131" w:lineRule="exact"/>
        <w:rPr>
          <w:sz w:val="20"/>
          <w:szCs w:val="20"/>
          <w:color w:val="auto"/>
        </w:rPr>
      </w:pPr>
    </w:p>
    <w:p>
      <w:pPr>
        <w:ind w:left="960" w:hanging="532"/>
        <w:spacing w:after="0" w:line="30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Once you have an estimated offering price or range, please explain to us how you determined the fair value of the common stock underlying your equity issuances and the reasons for any differences between the recent valuations of your common stock leading up to the initial public offering and the estimated offering price. This information will help facilitate our review of your accounting for equity issuances including stock compensation and beneficial conversion features. Please discuss with the staff how to submit your response.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39"/>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0980"/>
          </w:cols>
          <w:pgMar w:left="440" w:top="108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165860"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 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139" w:lineRule="exact"/>
        <w:rPr>
          <w:sz w:val="20"/>
          <w:szCs w:val="20"/>
          <w:color w:val="auto"/>
        </w:rPr>
      </w:pPr>
    </w:p>
    <w:p>
      <w:pPr>
        <w:jc w:val="both"/>
        <w:ind w:left="980" w:right="40"/>
        <w:spacing w:after="0" w:line="314"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Company acknowledges the Staff’s comment and undertakes, once an estimated offering price is available, to provide the</w:t>
      </w:r>
      <w:r>
        <w:rPr>
          <w:rFonts w:ascii="Arial" w:cs="Arial" w:eastAsia="Arial" w:hAnsi="Arial"/>
          <w:sz w:val="16"/>
          <w:szCs w:val="16"/>
          <w:b w:val="1"/>
          <w:bCs w:val="1"/>
          <w:color w:val="auto"/>
        </w:rPr>
        <w:t xml:space="preserve"> </w:t>
      </w:r>
      <w:r>
        <w:rPr>
          <w:rFonts w:ascii="Arial" w:cs="Arial" w:eastAsia="Arial" w:hAnsi="Arial"/>
          <w:sz w:val="16"/>
          <w:szCs w:val="16"/>
          <w:color w:val="auto"/>
        </w:rPr>
        <w:t>Staff with a supplemental letter containing the fair value of the common stock underlying its equity issuances and an analysis explaining the reasons for any differences between the Company’s recent fair value determinations and the estimated offering price.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Business Principles and Strategy, page 94</w:t>
      </w:r>
    </w:p>
    <w:p>
      <w:pPr>
        <w:spacing w:after="0" w:line="131" w:lineRule="exact"/>
        <w:rPr>
          <w:sz w:val="20"/>
          <w:szCs w:val="20"/>
          <w:color w:val="auto"/>
        </w:rPr>
      </w:pPr>
    </w:p>
    <w:p>
      <w:pPr>
        <w:ind w:left="960" w:right="40" w:hanging="532"/>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note your disclosure that if the Phase 2b clinical trial data are positive, you intend to initiate a pivotal Phase 3 clinical trial in 2023 “with the aim of accelerated approval in the United States.” With reference to your disclosure on pages 27-28 and 120-121, please revise your disclosure to clarify what the accelerated approval pathway entails.</w:t>
      </w:r>
    </w:p>
    <w:p>
      <w:pPr>
        <w:spacing w:after="0" w:line="7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In response to the Staff’s comment, the Company has expanded the disclosure on pages 28, 94, 95, 107, and 123 accordingly.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2a JANUS Trial of Atacicept in Patients with IgAN, page 102</w:t>
      </w:r>
    </w:p>
    <w:p>
      <w:pPr>
        <w:spacing w:after="0" w:line="131" w:lineRule="exact"/>
        <w:rPr>
          <w:sz w:val="20"/>
          <w:szCs w:val="20"/>
          <w:color w:val="auto"/>
        </w:rPr>
      </w:pPr>
    </w:p>
    <w:p>
      <w:pPr>
        <w:jc w:val="both"/>
        <w:ind w:left="960" w:right="380" w:hanging="532"/>
        <w:spacing w:after="0" w:line="382"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We note your disclosure that the JANUS trial was terminated earlier than planned due to Ares’ decision to deprioritize the program. Please expand your disclosure to specify how the early termination impacts the results from and reliability of the study, if applicable. </w:t>
      </w:r>
      <w:r>
        <w:rPr>
          <w:rFonts w:ascii="Arial" w:cs="Arial" w:eastAsia="Arial" w:hAnsi="Arial"/>
          <w:sz w:val="16"/>
          <w:szCs w:val="16"/>
          <w:b w:val="1"/>
          <w:bCs w:val="1"/>
          <w:color w:val="auto"/>
        </w:rPr>
        <w:t xml:space="preserve">Response: </w:t>
      </w:r>
      <w:r>
        <w:rPr>
          <w:rFonts w:ascii="Arial" w:cs="Arial" w:eastAsia="Arial" w:hAnsi="Arial"/>
          <w:sz w:val="16"/>
          <w:szCs w:val="16"/>
          <w:color w:val="auto"/>
        </w:rPr>
        <w:t>In response to the Staff’s comment, the Company has expanded the disclosure on page 102 accordingly.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Atacicept Safety and Tolerability Profile in the JANUS Trial, page 105</w:t>
      </w:r>
    </w:p>
    <w:p>
      <w:pPr>
        <w:spacing w:after="0" w:line="131" w:lineRule="exact"/>
        <w:rPr>
          <w:sz w:val="20"/>
          <w:szCs w:val="20"/>
          <w:color w:val="auto"/>
        </w:rPr>
      </w:pPr>
    </w:p>
    <w:p>
      <w:pPr>
        <w:jc w:val="both"/>
        <w:ind w:left="960" w:hanging="53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We note that one patient who received atacicept 25 mg experienced a severe treatment-emergent adverse event (“TEAE”) and one patient who received atacicept 25 mg experienced a TEAE that led to discontinued treatment. Please clarify whether the patient who discontinued treatment experienced the severe TEAE. Please also identify the severe TEAE.</w:t>
      </w:r>
    </w:p>
    <w:p>
      <w:pPr>
        <w:spacing w:after="0" w:line="7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expanded the disclosure on pages 105-106 accordingly.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Atacicept Safety and Tolerability Profile: Integrated Analysis, page 105</w:t>
      </w:r>
    </w:p>
    <w:p>
      <w:pPr>
        <w:spacing w:after="0" w:line="131" w:lineRule="exact"/>
        <w:rPr>
          <w:sz w:val="20"/>
          <w:szCs w:val="20"/>
          <w:color w:val="auto"/>
        </w:rPr>
      </w:pPr>
    </w:p>
    <w:p>
      <w:pPr>
        <w:ind w:left="960" w:right="120" w:hanging="53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note that you provide a table summarizing the treatment-emergent adverse events observed in over 1,500 patients. Please disclose whether any of the treatment-emergent adverse events observed constituted a serious adverse event, and if so, please clearly disclose the event and the number of affected patients.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79"/>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0920"/>
          </w:cols>
          <w:pgMar w:left="440" w:top="1084"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 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expanded the disclosure on page 106 accordingly.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and Efficacy Profile of Atacicept In SLE, page 110</w:t>
      </w:r>
    </w:p>
    <w:p>
      <w:pPr>
        <w:spacing w:after="0" w:line="131" w:lineRule="exact"/>
        <w:rPr>
          <w:sz w:val="20"/>
          <w:szCs w:val="20"/>
          <w:color w:val="auto"/>
        </w:rPr>
      </w:pPr>
    </w:p>
    <w:p>
      <w:pPr>
        <w:ind w:left="960" w:right="40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Please expand your disclosure regarding Merck KGaA’s communications with the FDA and EMA to clarify how the FDA and EMA “reviewed and endorsed” the Phase 3 registrational program.</w:t>
      </w:r>
    </w:p>
    <w:p>
      <w:pPr>
        <w:spacing w:after="0" w:line="5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has expanded the disclosure on page 111 accordingly.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0"/>
          <w:szCs w:val="20"/>
          <w:color w:val="auto"/>
        </w:rPr>
      </w:pPr>
    </w:p>
    <w:p>
      <w:pPr>
        <w:jc w:val="both"/>
        <w:ind w:left="96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72" w:lineRule="exact"/>
        <w:rPr>
          <w:sz w:val="20"/>
          <w:szCs w:val="20"/>
          <w:color w:val="auto"/>
        </w:rPr>
      </w:pPr>
    </w:p>
    <w:p>
      <w:pPr>
        <w:ind w:left="980" w:right="100"/>
        <w:spacing w:after="0" w:line="282"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acknowledges the Staff’s comment and will supplementally provide the Staff with copies of any such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179"/>
        <w:spacing w:after="0"/>
        <w:rPr>
          <w:sz w:val="20"/>
          <w:szCs w:val="20"/>
          <w:color w:val="auto"/>
        </w:rPr>
      </w:pPr>
      <w:r>
        <w:rPr>
          <w:rFonts w:ascii="Arial" w:cs="Arial" w:eastAsia="Arial" w:hAnsi="Arial"/>
          <w:sz w:val="14"/>
          <w:szCs w:val="14"/>
          <w:color w:val="auto"/>
        </w:rPr>
        <w:t>t: (415) 693-2000 f: (415) 693-2222 cooley.com</w:t>
      </w:r>
    </w:p>
    <w:p>
      <w:pPr>
        <w:sectPr>
          <w:pgSz w:w="11900" w:h="16838" w:orient="portrait"/>
          <w:cols w:equalWidth="0" w:num="1">
            <w:col w:w="10820"/>
          </w:cols>
          <w:pgMar w:left="440" w:top="1084" w:right="6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U. 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April 23,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Five</w:t>
      </w:r>
    </w:p>
    <w:p>
      <w:pPr>
        <w:spacing w:after="0" w:line="143"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Please contact me at (415) 693-2054 or Carlton Fleming at (650) 843-5865 with any questions or further comments regarding the Company’s responses to the Staff’s comments.</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Jodie Bourdet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Jodie Bourdet</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Cooley LLP</w:t>
      </w:r>
    </w:p>
    <w:p>
      <w:pPr>
        <w:spacing w:after="0" w:line="238" w:lineRule="exact"/>
        <w:rPr>
          <w:sz w:val="20"/>
          <w:szCs w:val="20"/>
          <w:color w:val="auto"/>
        </w:rPr>
      </w:pPr>
    </w:p>
    <w:p>
      <w:pPr>
        <w:ind w:left="424" w:right="6980" w:hanging="424"/>
        <w:spacing w:after="0" w:line="255"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Marshall Fordyce, M.D., Vera Therapeutics, Inc. Jonathan Wolter, Vera Therapeutics, Inc. Carlton Fleming, Cooley LLP</w:t>
      </w:r>
    </w:p>
    <w:p>
      <w:pPr>
        <w:spacing w:after="0" w:line="2" w:lineRule="exact"/>
        <w:rPr>
          <w:rFonts w:ascii="Arial" w:cs="Arial" w:eastAsia="Arial" w:hAnsi="Arial"/>
          <w:sz w:val="18"/>
          <w:szCs w:val="18"/>
          <w:color w:val="auto"/>
        </w:rPr>
      </w:pPr>
    </w:p>
    <w:p>
      <w:pPr>
        <w:jc w:val="both"/>
        <w:ind w:left="424" w:right="7780"/>
        <w:spacing w:after="0" w:line="323" w:lineRule="auto"/>
        <w:rPr>
          <w:rFonts w:ascii="Arial" w:cs="Arial" w:eastAsia="Arial" w:hAnsi="Arial"/>
          <w:sz w:val="18"/>
          <w:szCs w:val="18"/>
          <w:color w:val="auto"/>
        </w:rPr>
      </w:pPr>
      <w:r>
        <w:rPr>
          <w:rFonts w:ascii="Arial" w:cs="Arial" w:eastAsia="Arial" w:hAnsi="Arial"/>
          <w:sz w:val="16"/>
          <w:szCs w:val="16"/>
          <w:color w:val="auto"/>
        </w:rPr>
        <w:t>Jesse Nevarez, Goodwin Procter LLP Heidi Mayon, Goodwin Procter LLP</w:t>
      </w:r>
    </w:p>
    <w:p>
      <w:pPr>
        <w:spacing w:after="0" w:line="66" w:lineRule="exact"/>
        <w:rPr>
          <w:sz w:val="20"/>
          <w:szCs w:val="20"/>
          <w:color w:val="auto"/>
        </w:rPr>
      </w:pPr>
    </w:p>
    <w:p>
      <w:pPr>
        <w:jc w:val="center"/>
        <w:ind w:right="-103"/>
        <w:spacing w:after="0"/>
        <w:rPr>
          <w:sz w:val="20"/>
          <w:szCs w:val="20"/>
          <w:color w:val="auto"/>
        </w:rPr>
      </w:pPr>
      <w:r>
        <w:rPr>
          <w:rFonts w:ascii="Arial" w:cs="Arial" w:eastAsia="Arial" w:hAnsi="Arial"/>
          <w:sz w:val="14"/>
          <w:szCs w:val="14"/>
          <w:color w:val="auto"/>
        </w:rPr>
        <w:t>Cooley LLP 101 California Street, 5th Floor San Francisco, CA 94111-5800</w:t>
      </w:r>
    </w:p>
    <w:p>
      <w:pPr>
        <w:jc w:val="center"/>
        <w:ind w:right="-103"/>
        <w:spacing w:after="0"/>
        <w:rPr>
          <w:sz w:val="20"/>
          <w:szCs w:val="20"/>
          <w:color w:val="auto"/>
        </w:rPr>
      </w:pPr>
      <w:r>
        <w:rPr>
          <w:rFonts w:ascii="Arial" w:cs="Arial" w:eastAsia="Arial" w:hAnsi="Arial"/>
          <w:sz w:val="14"/>
          <w:szCs w:val="14"/>
          <w:color w:val="auto"/>
        </w:rPr>
        <w:t>t: (415) 693-2000 f: (415) 693-2222 cooley.com</w:t>
      </w:r>
    </w:p>
    <w:sectPr>
      <w:pgSz w:w="11900" w:h="16838" w:orient="portrait"/>
      <w:cols w:equalWidth="0" w:num="1">
        <w:col w:w="10924"/>
      </w:cols>
      <w:pgMar w:left="436" w:top="108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4"/>
    </w:lvl>
  </w:abstractNum>
  <w:abstractNum w:abstractNumId="4">
    <w:nsid w:val="5BD062C2"/>
    <w:multiLevelType w:val="hybridMultilevel"/>
    <w:lvl w:ilvl="0">
      <w:lvlJc w:val="left"/>
      <w:lvlText w:val="%1."/>
      <w:numFmt w:val="decimal"/>
      <w:start w:val="5"/>
    </w:lvl>
  </w:abstractNum>
  <w:abstractNum w:abstractNumId="5">
    <w:nsid w:val="12200854"/>
    <w:multiLevelType w:val="hybridMultilevel"/>
    <w:lvl w:ilvl="0">
      <w:lvlJc w:val="left"/>
      <w:lvlText w:val="%1."/>
      <w:numFmt w:val="decimal"/>
      <w:start w:val="6"/>
    </w:lvl>
  </w:abstractNum>
  <w:abstractNum w:abstractNumId="6">
    <w:nsid w:val="4DB127F8"/>
    <w:multiLevelType w:val="hybridMultilevel"/>
    <w:lvl w:ilvl="0">
      <w:lvlJc w:val="left"/>
      <w:lvlText w:val="%1."/>
      <w:numFmt w:val="decimal"/>
      <w:start w:val="7"/>
    </w:lvl>
  </w:abstractNum>
  <w:abstractNum w:abstractNumId="7">
    <w:nsid w:val="216231B"/>
    <w:multiLevelType w:val="hybridMultilevel"/>
    <w:lvl w:ilvl="0">
      <w:lvlJc w:val="left"/>
      <w:lvlText w:val="%1."/>
      <w:numFmt w:val="decimal"/>
      <w:start w:val="8"/>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2021-06-11T23:06:36Z</dcterms:created>
  <dcterms:modified xsi:type="dcterms:W3CDTF">2021-06-11T23:06:36Z</dcterms:modified>
</cp:coreProperties>
</file>