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As filed with the Securities and Exchange Commission on May 10, 2021.</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333-255492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2458720</wp:posOffset>
            </wp:positionH>
            <wp:positionV relativeFrom="paragraph">
              <wp:posOffset>102235</wp:posOffset>
            </wp:positionV>
            <wp:extent cx="22250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168" w:lineRule="exact"/>
        <w:rPr>
          <w:sz w:val="24"/>
          <w:szCs w:val="24"/>
          <w:color w:val="auto"/>
        </w:rPr>
      </w:pPr>
    </w:p>
    <w:p>
      <w:pPr>
        <w:ind w:left="4280"/>
        <w:spacing w:after="0"/>
        <w:rPr>
          <w:sz w:val="20"/>
          <w:szCs w:val="20"/>
          <w:color w:val="auto"/>
        </w:rPr>
      </w:pPr>
      <w:r>
        <w:rPr>
          <w:rFonts w:ascii="Arial" w:cs="Arial" w:eastAsia="Arial" w:hAnsi="Arial"/>
          <w:sz w:val="29"/>
          <w:szCs w:val="29"/>
          <w:b w:val="1"/>
          <w:bCs w:val="1"/>
          <w:color w:val="auto"/>
        </w:rPr>
        <w:t>AMENDMENT NO. 1</w:t>
      </w:r>
    </w:p>
    <w:p>
      <w:pPr>
        <w:spacing w:after="0" w:line="215" w:lineRule="exact"/>
        <w:rPr>
          <w:sz w:val="24"/>
          <w:szCs w:val="24"/>
          <w:color w:val="auto"/>
        </w:rPr>
      </w:pPr>
    </w:p>
    <w:p>
      <w:pPr>
        <w:ind w:left="5420"/>
        <w:spacing w:after="0"/>
        <w:rPr>
          <w:sz w:val="20"/>
          <w:szCs w:val="20"/>
          <w:color w:val="auto"/>
        </w:rPr>
      </w:pPr>
      <w:r>
        <w:rPr>
          <w:rFonts w:ascii="Arial" w:cs="Arial" w:eastAsia="Arial" w:hAnsi="Arial"/>
          <w:sz w:val="29"/>
          <w:szCs w:val="29"/>
          <w:b w:val="1"/>
          <w:bCs w:val="1"/>
          <w:color w:val="auto"/>
        </w:rPr>
        <w:t>TO</w:t>
      </w:r>
    </w:p>
    <w:p>
      <w:pPr>
        <w:spacing w:after="0" w:line="37"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S-1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REGISTRATION STATEMENT</w:t>
      </w:r>
    </w:p>
    <w:p>
      <w:pPr>
        <w:jc w:val="center"/>
        <w:ind w:right="-159"/>
        <w:spacing w:after="0" w:line="224" w:lineRule="auto"/>
        <w:rPr>
          <w:sz w:val="20"/>
          <w:szCs w:val="20"/>
          <w:color w:val="auto"/>
        </w:rPr>
      </w:pPr>
      <w:r>
        <w:rPr>
          <w:rFonts w:ascii="Arial" w:cs="Arial" w:eastAsia="Arial" w:hAnsi="Arial"/>
          <w:sz w:val="20"/>
          <w:szCs w:val="20"/>
          <w:b w:val="1"/>
          <w:bCs w:val="1"/>
          <w:i w:val="1"/>
          <w:iCs w:val="1"/>
          <w:color w:val="auto"/>
        </w:rPr>
        <w:t>UNDER</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2458720</wp:posOffset>
            </wp:positionH>
            <wp:positionV relativeFrom="paragraph">
              <wp:posOffset>102235</wp:posOffset>
            </wp:positionV>
            <wp:extent cx="2225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163"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Vera Therapeutics, Inc.</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2458720</wp:posOffset>
            </wp:positionH>
            <wp:positionV relativeFrom="paragraph">
              <wp:posOffset>111125</wp:posOffset>
            </wp:positionV>
            <wp:extent cx="2225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42"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2780" w:type="dxa"/>
            <w:vAlign w:val="bottom"/>
          </w:tcPr>
          <w:p>
            <w:pPr>
              <w:jc w:val="center"/>
              <w:ind w:right="915"/>
              <w:spacing w:after="0"/>
              <w:rPr>
                <w:sz w:val="20"/>
                <w:szCs w:val="20"/>
                <w:color w:val="auto"/>
              </w:rPr>
            </w:pPr>
            <w:r>
              <w:rPr>
                <w:rFonts w:ascii="Arial" w:cs="Arial" w:eastAsia="Arial" w:hAnsi="Arial"/>
                <w:sz w:val="14"/>
                <w:szCs w:val="14"/>
                <w:b w:val="1"/>
                <w:bCs w:val="1"/>
                <w:color w:val="auto"/>
              </w:rPr>
              <w:t>Delaware</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2834</w:t>
            </w:r>
          </w:p>
        </w:tc>
        <w:tc>
          <w:tcPr>
            <w:tcW w:w="2360" w:type="dxa"/>
            <w:vAlign w:val="bottom"/>
          </w:tcPr>
          <w:p>
            <w:pPr>
              <w:jc w:val="center"/>
              <w:ind w:left="975"/>
              <w:spacing w:after="0"/>
              <w:rPr>
                <w:sz w:val="20"/>
                <w:szCs w:val="20"/>
                <w:color w:val="auto"/>
              </w:rPr>
            </w:pPr>
            <w:r>
              <w:rPr>
                <w:rFonts w:ascii="Arial" w:cs="Arial" w:eastAsia="Arial" w:hAnsi="Arial"/>
                <w:sz w:val="14"/>
                <w:szCs w:val="14"/>
                <w:b w:val="1"/>
                <w:bCs w:val="1"/>
                <w:color w:val="auto"/>
              </w:rPr>
              <w:t>81-2744449</w:t>
            </w:r>
          </w:p>
        </w:tc>
      </w:tr>
      <w:tr>
        <w:trPr>
          <w:trHeight w:val="134"/>
        </w:trPr>
        <w:tc>
          <w:tcPr>
            <w:tcW w:w="2780" w:type="dxa"/>
            <w:vAlign w:val="bottom"/>
          </w:tcPr>
          <w:p>
            <w:pPr>
              <w:jc w:val="center"/>
              <w:ind w:right="915"/>
              <w:spacing w:after="0" w:line="134" w:lineRule="exact"/>
              <w:rPr>
                <w:sz w:val="20"/>
                <w:szCs w:val="20"/>
                <w:color w:val="auto"/>
              </w:rPr>
            </w:pPr>
            <w:r>
              <w:rPr>
                <w:rFonts w:ascii="Arial" w:cs="Arial" w:eastAsia="Arial" w:hAnsi="Arial"/>
                <w:sz w:val="12"/>
                <w:szCs w:val="12"/>
                <w:b w:val="1"/>
                <w:bCs w:val="1"/>
                <w:color w:val="auto"/>
              </w:rPr>
              <w:t>(State or other jurisdiction of</w:t>
            </w:r>
          </w:p>
        </w:tc>
        <w:tc>
          <w:tcPr>
            <w:tcW w:w="37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(Primary Standard Industrial</w:t>
            </w:r>
          </w:p>
        </w:tc>
        <w:tc>
          <w:tcPr>
            <w:tcW w:w="2360" w:type="dxa"/>
            <w:vAlign w:val="bottom"/>
          </w:tcPr>
          <w:p>
            <w:pPr>
              <w:jc w:val="center"/>
              <w:ind w:left="975"/>
              <w:spacing w:after="0" w:line="134" w:lineRule="exact"/>
              <w:rPr>
                <w:sz w:val="20"/>
                <w:szCs w:val="20"/>
                <w:color w:val="auto"/>
              </w:rPr>
            </w:pPr>
            <w:r>
              <w:rPr>
                <w:rFonts w:ascii="Arial" w:cs="Arial" w:eastAsia="Arial" w:hAnsi="Arial"/>
                <w:sz w:val="12"/>
                <w:szCs w:val="12"/>
                <w:b w:val="1"/>
                <w:bCs w:val="1"/>
                <w:color w:val="auto"/>
              </w:rPr>
              <w:t>(I.R.S. Employer</w:t>
            </w:r>
          </w:p>
        </w:tc>
      </w:tr>
      <w:tr>
        <w:trPr>
          <w:trHeight w:val="163"/>
        </w:trPr>
        <w:tc>
          <w:tcPr>
            <w:tcW w:w="2780" w:type="dxa"/>
            <w:vAlign w:val="bottom"/>
          </w:tcPr>
          <w:p>
            <w:pPr>
              <w:jc w:val="center"/>
              <w:ind w:right="915"/>
              <w:spacing w:after="0"/>
              <w:rPr>
                <w:sz w:val="20"/>
                <w:szCs w:val="20"/>
                <w:color w:val="auto"/>
              </w:rPr>
            </w:pPr>
            <w:r>
              <w:rPr>
                <w:rFonts w:ascii="Arial" w:cs="Arial" w:eastAsia="Arial" w:hAnsi="Arial"/>
                <w:sz w:val="12"/>
                <w:szCs w:val="12"/>
                <w:b w:val="1"/>
                <w:bCs w:val="1"/>
                <w:color w:val="auto"/>
              </w:rPr>
              <w:t>incorporation or organization)</w:t>
            </w:r>
          </w:p>
        </w:tc>
        <w:tc>
          <w:tcPr>
            <w:tcW w:w="3740" w:type="dxa"/>
            <w:vAlign w:val="bottom"/>
          </w:tcPr>
          <w:p>
            <w:pPr>
              <w:jc w:val="center"/>
              <w:spacing w:after="0"/>
              <w:rPr>
                <w:sz w:val="20"/>
                <w:szCs w:val="20"/>
                <w:color w:val="auto"/>
              </w:rPr>
            </w:pPr>
            <w:r>
              <w:rPr>
                <w:rFonts w:ascii="Arial" w:cs="Arial" w:eastAsia="Arial" w:hAnsi="Arial"/>
                <w:sz w:val="12"/>
                <w:szCs w:val="12"/>
                <w:b w:val="1"/>
                <w:bCs w:val="1"/>
                <w:color w:val="auto"/>
              </w:rPr>
              <w:t>Classification Code Number)</w:t>
            </w:r>
          </w:p>
        </w:tc>
        <w:tc>
          <w:tcPr>
            <w:tcW w:w="2360" w:type="dxa"/>
            <w:vAlign w:val="bottom"/>
          </w:tcPr>
          <w:p>
            <w:pPr>
              <w:jc w:val="center"/>
              <w:ind w:left="975"/>
              <w:spacing w:after="0"/>
              <w:rPr>
                <w:sz w:val="20"/>
                <w:szCs w:val="20"/>
                <w:color w:val="auto"/>
              </w:rPr>
            </w:pPr>
            <w:r>
              <w:rPr>
                <w:rFonts w:ascii="Arial" w:cs="Arial" w:eastAsia="Arial" w:hAnsi="Arial"/>
                <w:sz w:val="12"/>
                <w:szCs w:val="12"/>
                <w:b w:val="1"/>
                <w:bCs w:val="1"/>
                <w:color w:val="auto"/>
              </w:rPr>
              <w:t>Identification Number)</w:t>
            </w:r>
          </w:p>
        </w:tc>
      </w:tr>
    </w:tbl>
    <w:p>
      <w:pPr>
        <w:spacing w:after="0" w:line="44"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Vera Therapeutics,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170 Harbor Way, 3rd Floor</w:t>
      </w:r>
    </w:p>
    <w:p>
      <w:pPr>
        <w:jc w:val="center"/>
        <w:ind w:right="-159"/>
        <w:spacing w:after="0"/>
        <w:rPr>
          <w:sz w:val="20"/>
          <w:szCs w:val="20"/>
          <w:color w:val="auto"/>
        </w:rPr>
      </w:pPr>
      <w:r>
        <w:rPr>
          <w:rFonts w:ascii="Arial" w:cs="Arial" w:eastAsia="Arial" w:hAnsi="Arial"/>
          <w:sz w:val="14"/>
          <w:szCs w:val="14"/>
          <w:b w:val="1"/>
          <w:bCs w:val="1"/>
          <w:color w:val="auto"/>
        </w:rPr>
        <w:t>South San Francisco, California 94080</w:t>
      </w:r>
    </w:p>
    <w:p>
      <w:pPr>
        <w:jc w:val="center"/>
        <w:ind w:right="-159"/>
        <w:spacing w:after="0" w:line="223" w:lineRule="auto"/>
        <w:rPr>
          <w:sz w:val="20"/>
          <w:szCs w:val="20"/>
          <w:color w:val="auto"/>
        </w:rPr>
      </w:pPr>
      <w:r>
        <w:rPr>
          <w:rFonts w:ascii="Arial" w:cs="Arial" w:eastAsia="Arial" w:hAnsi="Arial"/>
          <w:sz w:val="14"/>
          <w:szCs w:val="14"/>
          <w:b w:val="1"/>
          <w:bCs w:val="1"/>
          <w:color w:val="auto"/>
        </w:rPr>
        <w:t>(650) 770-0077</w:t>
      </w:r>
    </w:p>
    <w:p>
      <w:pPr>
        <w:jc w:val="center"/>
        <w:ind w:right="-15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Marshall Fordyce, M.D.</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Chief Executive Officer and President</w:t>
      </w:r>
    </w:p>
    <w:p>
      <w:pPr>
        <w:jc w:val="center"/>
        <w:ind w:right="-159"/>
        <w:spacing w:after="0"/>
        <w:rPr>
          <w:sz w:val="20"/>
          <w:szCs w:val="20"/>
          <w:color w:val="auto"/>
        </w:rPr>
      </w:pPr>
      <w:r>
        <w:rPr>
          <w:rFonts w:ascii="Arial" w:cs="Arial" w:eastAsia="Arial" w:hAnsi="Arial"/>
          <w:sz w:val="14"/>
          <w:szCs w:val="14"/>
          <w:b w:val="1"/>
          <w:bCs w:val="1"/>
          <w:color w:val="auto"/>
        </w:rPr>
        <w:t>170 Harbor Way, 3rd Floor</w:t>
      </w:r>
    </w:p>
    <w:p>
      <w:pPr>
        <w:jc w:val="center"/>
        <w:ind w:right="-159"/>
        <w:spacing w:after="0"/>
        <w:rPr>
          <w:sz w:val="20"/>
          <w:szCs w:val="20"/>
          <w:color w:val="auto"/>
        </w:rPr>
      </w:pPr>
      <w:r>
        <w:rPr>
          <w:rFonts w:ascii="Arial" w:cs="Arial" w:eastAsia="Arial" w:hAnsi="Arial"/>
          <w:sz w:val="14"/>
          <w:szCs w:val="14"/>
          <w:b w:val="1"/>
          <w:bCs w:val="1"/>
          <w:color w:val="auto"/>
        </w:rPr>
        <w:t>South San Francisco, California 94080</w:t>
      </w:r>
    </w:p>
    <w:p>
      <w:pPr>
        <w:jc w:val="center"/>
        <w:ind w:right="-159"/>
        <w:spacing w:after="0" w:line="223" w:lineRule="auto"/>
        <w:rPr>
          <w:sz w:val="20"/>
          <w:szCs w:val="20"/>
          <w:color w:val="auto"/>
        </w:rPr>
      </w:pPr>
      <w:r>
        <w:rPr>
          <w:rFonts w:ascii="Arial" w:cs="Arial" w:eastAsia="Arial" w:hAnsi="Arial"/>
          <w:sz w:val="14"/>
          <w:szCs w:val="14"/>
          <w:b w:val="1"/>
          <w:bCs w:val="1"/>
          <w:color w:val="auto"/>
        </w:rPr>
        <w:t>(650) 770-0077</w:t>
      </w:r>
    </w:p>
    <w:p>
      <w:pPr>
        <w:jc w:val="center"/>
        <w:ind w:right="-15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2458720</wp:posOffset>
            </wp:positionH>
            <wp:positionV relativeFrom="paragraph">
              <wp:posOffset>111760</wp:posOffset>
            </wp:positionV>
            <wp:extent cx="2225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11" w:lineRule="exact"/>
        <w:rPr>
          <w:sz w:val="24"/>
          <w:szCs w:val="24"/>
          <w:color w:val="auto"/>
        </w:rPr>
      </w:pPr>
    </w:p>
    <w:tbl>
      <w:tblPr>
        <w:tblLayout w:type="fixed"/>
        <w:tblInd w:w="940" w:type="dxa"/>
        <w:tblCellMar>
          <w:top w:w="0" w:type="dxa"/>
          <w:left w:w="0" w:type="dxa"/>
          <w:bottom w:w="0" w:type="dxa"/>
          <w:right w:w="0" w:type="dxa"/>
        </w:tblCellMar>
      </w:tblPr>
      <w:tr>
        <w:trPr>
          <w:trHeight w:val="187"/>
        </w:trPr>
        <w:tc>
          <w:tcPr>
            <w:tcW w:w="2820" w:type="dxa"/>
            <w:vAlign w:val="bottom"/>
          </w:tcPr>
          <w:p>
            <w:pPr>
              <w:spacing w:after="0"/>
              <w:rPr>
                <w:sz w:val="16"/>
                <w:szCs w:val="16"/>
                <w:color w:val="auto"/>
              </w:rPr>
            </w:pPr>
          </w:p>
        </w:tc>
        <w:tc>
          <w:tcPr>
            <w:tcW w:w="3900" w:type="dxa"/>
            <w:vAlign w:val="bottom"/>
          </w:tcPr>
          <w:p>
            <w:pPr>
              <w:ind w:left="1520"/>
              <w:spacing w:after="0"/>
              <w:rPr>
                <w:sz w:val="20"/>
                <w:szCs w:val="20"/>
                <w:color w:val="auto"/>
              </w:rPr>
            </w:pPr>
            <w:r>
              <w:rPr>
                <w:rFonts w:ascii="Arial" w:cs="Arial" w:eastAsia="Arial" w:hAnsi="Arial"/>
                <w:sz w:val="14"/>
                <w:szCs w:val="14"/>
                <w:b w:val="1"/>
                <w:bCs w:val="1"/>
                <w:i w:val="1"/>
                <w:iCs w:val="1"/>
                <w:color w:val="auto"/>
              </w:rPr>
              <w:t>Copies to:</w:t>
            </w:r>
          </w:p>
        </w:tc>
        <w:tc>
          <w:tcPr>
            <w:tcW w:w="2740" w:type="dxa"/>
            <w:vAlign w:val="bottom"/>
          </w:tcPr>
          <w:p>
            <w:pPr>
              <w:spacing w:after="0"/>
              <w:rPr>
                <w:sz w:val="16"/>
                <w:szCs w:val="16"/>
                <w:color w:val="auto"/>
              </w:rPr>
            </w:pPr>
          </w:p>
        </w:tc>
      </w:tr>
      <w:tr>
        <w:trPr>
          <w:trHeight w:val="199"/>
        </w:trPr>
        <w:tc>
          <w:tcPr>
            <w:tcW w:w="2820" w:type="dxa"/>
            <w:vAlign w:val="bottom"/>
          </w:tcPr>
          <w:p>
            <w:pPr>
              <w:jc w:val="center"/>
              <w:ind w:right="589"/>
              <w:spacing w:after="0"/>
              <w:rPr>
                <w:sz w:val="20"/>
                <w:szCs w:val="20"/>
                <w:color w:val="auto"/>
              </w:rPr>
            </w:pPr>
            <w:r>
              <w:rPr>
                <w:rFonts w:ascii="Arial" w:cs="Arial" w:eastAsia="Arial" w:hAnsi="Arial"/>
                <w:sz w:val="14"/>
                <w:szCs w:val="14"/>
                <w:b w:val="1"/>
                <w:bCs w:val="1"/>
                <w:color w:val="auto"/>
              </w:rPr>
              <w:t>Jodie Bourdet</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rPr>
              <w:t>Jonathan Wolter</w:t>
            </w:r>
          </w:p>
        </w:tc>
        <w:tc>
          <w:tcPr>
            <w:tcW w:w="2740" w:type="dxa"/>
            <w:vAlign w:val="bottom"/>
          </w:tcPr>
          <w:p>
            <w:pPr>
              <w:jc w:val="center"/>
              <w:ind w:left="549"/>
              <w:spacing w:after="0"/>
              <w:rPr>
                <w:sz w:val="20"/>
                <w:szCs w:val="20"/>
                <w:color w:val="auto"/>
              </w:rPr>
            </w:pPr>
            <w:r>
              <w:rPr>
                <w:rFonts w:ascii="Arial" w:cs="Arial" w:eastAsia="Arial" w:hAnsi="Arial"/>
                <w:sz w:val="14"/>
                <w:szCs w:val="14"/>
                <w:b w:val="1"/>
                <w:bCs w:val="1"/>
                <w:color w:val="auto"/>
              </w:rPr>
              <w:t>Heidi Mayon</w:t>
            </w:r>
          </w:p>
        </w:tc>
      </w:tr>
      <w:tr>
        <w:trPr>
          <w:trHeight w:val="160"/>
        </w:trPr>
        <w:tc>
          <w:tcPr>
            <w:tcW w:w="2820" w:type="dxa"/>
            <w:vAlign w:val="bottom"/>
          </w:tcPr>
          <w:p>
            <w:pPr>
              <w:jc w:val="center"/>
              <w:ind w:right="589"/>
              <w:spacing w:after="0"/>
              <w:rPr>
                <w:sz w:val="20"/>
                <w:szCs w:val="20"/>
                <w:color w:val="auto"/>
              </w:rPr>
            </w:pPr>
            <w:r>
              <w:rPr>
                <w:rFonts w:ascii="Arial" w:cs="Arial" w:eastAsia="Arial" w:hAnsi="Arial"/>
                <w:sz w:val="14"/>
                <w:szCs w:val="14"/>
                <w:b w:val="1"/>
                <w:bCs w:val="1"/>
                <w:color w:val="auto"/>
              </w:rPr>
              <w:t>Carlton Fleming</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c>
          <w:tcPr>
            <w:tcW w:w="2740" w:type="dxa"/>
            <w:vAlign w:val="bottom"/>
          </w:tcPr>
          <w:p>
            <w:pPr>
              <w:jc w:val="center"/>
              <w:ind w:left="529"/>
              <w:spacing w:after="0"/>
              <w:rPr>
                <w:sz w:val="20"/>
                <w:szCs w:val="20"/>
                <w:color w:val="auto"/>
              </w:rPr>
            </w:pPr>
            <w:r>
              <w:rPr>
                <w:rFonts w:ascii="Arial" w:cs="Arial" w:eastAsia="Arial" w:hAnsi="Arial"/>
                <w:sz w:val="14"/>
                <w:szCs w:val="14"/>
                <w:b w:val="1"/>
                <w:bCs w:val="1"/>
                <w:color w:val="auto"/>
              </w:rPr>
              <w:t>Jesse Nevarez</w:t>
            </w:r>
          </w:p>
        </w:tc>
      </w:tr>
      <w:tr>
        <w:trPr>
          <w:trHeight w:val="160"/>
        </w:trPr>
        <w:tc>
          <w:tcPr>
            <w:tcW w:w="2820" w:type="dxa"/>
            <w:vAlign w:val="bottom"/>
          </w:tcPr>
          <w:p>
            <w:pPr>
              <w:jc w:val="center"/>
              <w:ind w:right="589"/>
              <w:spacing w:after="0"/>
              <w:rPr>
                <w:sz w:val="20"/>
                <w:szCs w:val="20"/>
                <w:color w:val="auto"/>
              </w:rPr>
            </w:pPr>
            <w:r>
              <w:rPr>
                <w:rFonts w:ascii="Arial" w:cs="Arial" w:eastAsia="Arial" w:hAnsi="Arial"/>
                <w:sz w:val="14"/>
                <w:szCs w:val="14"/>
                <w:b w:val="1"/>
                <w:bCs w:val="1"/>
                <w:color w:val="auto"/>
              </w:rPr>
              <w:t>Cooley LLP</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rPr>
              <w:t>170 Harbor Way, 3rd Floor</w:t>
            </w:r>
          </w:p>
        </w:tc>
        <w:tc>
          <w:tcPr>
            <w:tcW w:w="2740" w:type="dxa"/>
            <w:vAlign w:val="bottom"/>
          </w:tcPr>
          <w:p>
            <w:pPr>
              <w:jc w:val="center"/>
              <w:ind w:left="529"/>
              <w:spacing w:after="0"/>
              <w:rPr>
                <w:sz w:val="20"/>
                <w:szCs w:val="20"/>
                <w:color w:val="auto"/>
              </w:rPr>
            </w:pPr>
            <w:r>
              <w:rPr>
                <w:rFonts w:ascii="Arial" w:cs="Arial" w:eastAsia="Arial" w:hAnsi="Arial"/>
                <w:sz w:val="14"/>
                <w:szCs w:val="14"/>
                <w:b w:val="1"/>
                <w:bCs w:val="1"/>
                <w:color w:val="auto"/>
              </w:rPr>
              <w:t>Goodwin Procter LLP</w:t>
            </w:r>
          </w:p>
        </w:tc>
      </w:tr>
      <w:tr>
        <w:trPr>
          <w:trHeight w:val="160"/>
        </w:trPr>
        <w:tc>
          <w:tcPr>
            <w:tcW w:w="2820" w:type="dxa"/>
            <w:vAlign w:val="bottom"/>
          </w:tcPr>
          <w:p>
            <w:pPr>
              <w:jc w:val="center"/>
              <w:ind w:right="589"/>
              <w:spacing w:after="0"/>
              <w:rPr>
                <w:sz w:val="20"/>
                <w:szCs w:val="20"/>
                <w:color w:val="auto"/>
              </w:rPr>
            </w:pPr>
            <w:r>
              <w:rPr>
                <w:rFonts w:ascii="Arial" w:cs="Arial" w:eastAsia="Arial" w:hAnsi="Arial"/>
                <w:sz w:val="14"/>
                <w:szCs w:val="14"/>
                <w:b w:val="1"/>
                <w:bCs w:val="1"/>
                <w:color w:val="auto"/>
              </w:rPr>
              <w:t>101 California Street, 5th Floor</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rPr>
              <w:t>South San Francisco, California 94080</w:t>
            </w:r>
          </w:p>
        </w:tc>
        <w:tc>
          <w:tcPr>
            <w:tcW w:w="2740" w:type="dxa"/>
            <w:vAlign w:val="bottom"/>
          </w:tcPr>
          <w:p>
            <w:pPr>
              <w:jc w:val="center"/>
              <w:ind w:left="529"/>
              <w:spacing w:after="0"/>
              <w:rPr>
                <w:sz w:val="20"/>
                <w:szCs w:val="20"/>
                <w:color w:val="auto"/>
              </w:rPr>
            </w:pPr>
            <w:r>
              <w:rPr>
                <w:rFonts w:ascii="Arial" w:cs="Arial" w:eastAsia="Arial" w:hAnsi="Arial"/>
                <w:sz w:val="14"/>
                <w:szCs w:val="14"/>
                <w:b w:val="1"/>
                <w:bCs w:val="1"/>
                <w:color w:val="auto"/>
              </w:rPr>
              <w:t>601 Marshall Street</w:t>
            </w:r>
          </w:p>
        </w:tc>
      </w:tr>
      <w:tr>
        <w:trPr>
          <w:trHeight w:val="160"/>
        </w:trPr>
        <w:tc>
          <w:tcPr>
            <w:tcW w:w="2820" w:type="dxa"/>
            <w:vAlign w:val="bottom"/>
          </w:tcPr>
          <w:p>
            <w:pPr>
              <w:jc w:val="center"/>
              <w:ind w:right="589"/>
              <w:spacing w:after="0"/>
              <w:rPr>
                <w:sz w:val="20"/>
                <w:szCs w:val="20"/>
                <w:color w:val="auto"/>
              </w:rPr>
            </w:pPr>
            <w:r>
              <w:rPr>
                <w:rFonts w:ascii="Arial" w:cs="Arial" w:eastAsia="Arial" w:hAnsi="Arial"/>
                <w:sz w:val="14"/>
                <w:szCs w:val="14"/>
                <w:b w:val="1"/>
                <w:bCs w:val="1"/>
                <w:color w:val="auto"/>
              </w:rPr>
              <w:t>San Francisco, California 94111</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rPr>
              <w:t>(650) 770-0077</w:t>
            </w:r>
          </w:p>
        </w:tc>
        <w:tc>
          <w:tcPr>
            <w:tcW w:w="2740" w:type="dxa"/>
            <w:vAlign w:val="bottom"/>
          </w:tcPr>
          <w:p>
            <w:pPr>
              <w:jc w:val="center"/>
              <w:ind w:left="549"/>
              <w:spacing w:after="0"/>
              <w:rPr>
                <w:sz w:val="20"/>
                <w:szCs w:val="20"/>
                <w:color w:val="auto"/>
              </w:rPr>
            </w:pPr>
            <w:r>
              <w:rPr>
                <w:rFonts w:ascii="Arial" w:cs="Arial" w:eastAsia="Arial" w:hAnsi="Arial"/>
                <w:sz w:val="14"/>
                <w:szCs w:val="14"/>
                <w:b w:val="1"/>
                <w:bCs w:val="1"/>
                <w:color w:val="auto"/>
              </w:rPr>
              <w:t>Redwood City, California 94063</w:t>
            </w:r>
          </w:p>
        </w:tc>
      </w:tr>
      <w:tr>
        <w:trPr>
          <w:trHeight w:val="189"/>
        </w:trPr>
        <w:tc>
          <w:tcPr>
            <w:tcW w:w="2820" w:type="dxa"/>
            <w:vAlign w:val="bottom"/>
          </w:tcPr>
          <w:p>
            <w:pPr>
              <w:jc w:val="center"/>
              <w:ind w:right="589"/>
              <w:spacing w:after="0"/>
              <w:rPr>
                <w:sz w:val="20"/>
                <w:szCs w:val="20"/>
                <w:color w:val="auto"/>
              </w:rPr>
            </w:pPr>
            <w:r>
              <w:rPr>
                <w:rFonts w:ascii="Arial" w:cs="Arial" w:eastAsia="Arial" w:hAnsi="Arial"/>
                <w:sz w:val="14"/>
                <w:szCs w:val="14"/>
                <w:b w:val="1"/>
                <w:bCs w:val="1"/>
                <w:color w:val="auto"/>
              </w:rPr>
              <w:t>(415) 693-2000</w:t>
            </w:r>
          </w:p>
        </w:tc>
        <w:tc>
          <w:tcPr>
            <w:tcW w:w="3900" w:type="dxa"/>
            <w:vAlign w:val="bottom"/>
          </w:tcPr>
          <w:p>
            <w:pPr>
              <w:spacing w:after="0"/>
              <w:rPr>
                <w:sz w:val="16"/>
                <w:szCs w:val="16"/>
                <w:color w:val="auto"/>
              </w:rPr>
            </w:pPr>
          </w:p>
        </w:tc>
        <w:tc>
          <w:tcPr>
            <w:tcW w:w="2740" w:type="dxa"/>
            <w:vAlign w:val="bottom"/>
          </w:tcPr>
          <w:p>
            <w:pPr>
              <w:jc w:val="center"/>
              <w:ind w:left="529"/>
              <w:spacing w:after="0"/>
              <w:rPr>
                <w:sz w:val="20"/>
                <w:szCs w:val="20"/>
                <w:color w:val="auto"/>
              </w:rPr>
            </w:pPr>
            <w:r>
              <w:rPr>
                <w:rFonts w:ascii="Arial" w:cs="Arial" w:eastAsia="Arial" w:hAnsi="Arial"/>
                <w:sz w:val="14"/>
                <w:szCs w:val="14"/>
                <w:b w:val="1"/>
                <w:bCs w:val="1"/>
                <w:color w:val="auto"/>
              </w:rPr>
              <w:t>(650) 752-3100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2458720</wp:posOffset>
            </wp:positionH>
            <wp:positionV relativeFrom="paragraph">
              <wp:posOffset>109220</wp:posOffset>
            </wp:positionV>
            <wp:extent cx="2225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6" w:lineRule="exact"/>
        <w:rPr>
          <w:sz w:val="24"/>
          <w:szCs w:val="24"/>
          <w:color w:val="auto"/>
        </w:rPr>
      </w:pPr>
    </w:p>
    <w:p>
      <w:pPr>
        <w:ind w:left="1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71" w:lineRule="exact"/>
        <w:rPr>
          <w:sz w:val="24"/>
          <w:szCs w:val="24"/>
          <w:color w:val="auto"/>
        </w:rPr>
      </w:pPr>
    </w:p>
    <w:p>
      <w:pPr>
        <w:ind w:left="160" w:right="340"/>
        <w:spacing w:after="0" w:line="17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0" w:lineRule="exact"/>
        <w:rPr>
          <w:sz w:val="24"/>
          <w:szCs w:val="24"/>
          <w:color w:val="auto"/>
        </w:rPr>
      </w:pPr>
    </w:p>
    <w:p>
      <w:pPr>
        <w:ind w:left="160" w:right="140"/>
        <w:spacing w:after="0" w:line="17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0" w:lineRule="exact"/>
        <w:rPr>
          <w:sz w:val="24"/>
          <w:szCs w:val="24"/>
          <w:color w:val="auto"/>
        </w:rPr>
      </w:pPr>
    </w:p>
    <w:p>
      <w:pPr>
        <w:ind w:left="160" w:right="280"/>
        <w:spacing w:after="0" w:line="17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0" w:lineRule="exact"/>
        <w:rPr>
          <w:sz w:val="24"/>
          <w:szCs w:val="24"/>
          <w:color w:val="auto"/>
        </w:rPr>
      </w:pPr>
    </w:p>
    <w:p>
      <w:pPr>
        <w:ind w:left="160" w:right="260"/>
        <w:spacing w:after="0" w:line="17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0" w:lineRule="exact"/>
        <w:rPr>
          <w:sz w:val="24"/>
          <w:szCs w:val="24"/>
          <w:color w:val="auto"/>
        </w:rPr>
      </w:pPr>
    </w:p>
    <w:p>
      <w:pPr>
        <w:ind w:left="160" w:right="60"/>
        <w:spacing w:after="0" w:line="25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160" w:type="dxa"/>
        <w:tblCellMar>
          <w:top w:w="0" w:type="dxa"/>
          <w:left w:w="0" w:type="dxa"/>
          <w:bottom w:w="0" w:type="dxa"/>
          <w:right w:w="0" w:type="dxa"/>
        </w:tblCellMar>
      </w:tblPr>
      <w:tr>
        <w:trPr>
          <w:trHeight w:val="224"/>
        </w:trPr>
        <w:tc>
          <w:tcPr>
            <w:tcW w:w="16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36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1"/>
        </w:trPr>
        <w:tc>
          <w:tcPr>
            <w:tcW w:w="16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36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1"/>
        </w:trPr>
        <w:tc>
          <w:tcPr>
            <w:tcW w:w="1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40" w:type="dxa"/>
            <w:vAlign w:val="bottom"/>
          </w:tcPr>
          <w:p>
            <w:pPr>
              <w:ind w:left="336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0" w:lineRule="exact"/>
        <w:rPr>
          <w:sz w:val="24"/>
          <w:szCs w:val="24"/>
          <w:color w:val="auto"/>
        </w:rPr>
      </w:pPr>
    </w:p>
    <w:p>
      <w:pPr>
        <w:jc w:val="both"/>
        <w:ind w:left="160" w:right="8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2458720</wp:posOffset>
            </wp:positionH>
            <wp:positionV relativeFrom="paragraph">
              <wp:posOffset>99060</wp:posOffset>
            </wp:positionV>
            <wp:extent cx="22250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CALCULATION OF REGISTRATION FEE</w:t>
      </w:r>
    </w:p>
    <w:p>
      <w:pPr>
        <w:spacing w:after="0" w:line="220" w:lineRule="exact"/>
        <w:rPr>
          <w:sz w:val="24"/>
          <w:szCs w:val="24"/>
          <w:color w:val="auto"/>
        </w:rPr>
      </w:pPr>
    </w:p>
    <w:tbl>
      <w:tblPr>
        <w:tblLayout w:type="fixed"/>
        <w:tblInd w:w="160" w:type="dxa"/>
        <w:tblCellMar>
          <w:top w:w="0" w:type="dxa"/>
          <w:left w:w="0" w:type="dxa"/>
          <w:bottom w:w="0" w:type="dxa"/>
          <w:right w:w="0" w:type="dxa"/>
        </w:tblCellMar>
      </w:tblPr>
      <w:tr>
        <w:trPr>
          <w:trHeight w:val="141"/>
        </w:trPr>
        <w:tc>
          <w:tcPr>
            <w:tcW w:w="3960" w:type="dxa"/>
            <w:vAlign w:val="bottom"/>
            <w:tcBorders>
              <w:top w:val="single" w:sz="8" w:color="auto"/>
              <w:right w:val="single" w:sz="8" w:color="auto"/>
            </w:tcBorders>
          </w:tcPr>
          <w:p>
            <w:pPr>
              <w:spacing w:after="0"/>
              <w:rPr>
                <w:sz w:val="12"/>
                <w:szCs w:val="12"/>
                <w:color w:val="auto"/>
              </w:rPr>
            </w:pPr>
          </w:p>
        </w:tc>
        <w:tc>
          <w:tcPr>
            <w:tcW w:w="1660" w:type="dxa"/>
            <w:vAlign w:val="bottom"/>
            <w:tcBorders>
              <w:top w:val="single" w:sz="8" w:color="auto"/>
              <w:right w:val="single" w:sz="8" w:color="auto"/>
            </w:tcBorders>
          </w:tcPr>
          <w:p>
            <w:pPr>
              <w:spacing w:after="0"/>
              <w:rPr>
                <w:sz w:val="12"/>
                <w:szCs w:val="12"/>
                <w:color w:val="auto"/>
              </w:rPr>
            </w:pPr>
          </w:p>
        </w:tc>
        <w:tc>
          <w:tcPr>
            <w:tcW w:w="1840" w:type="dxa"/>
            <w:vAlign w:val="bottom"/>
            <w:tcBorders>
              <w:top w:val="single" w:sz="8" w:color="auto"/>
              <w:right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PROPOSED</w:t>
            </w:r>
          </w:p>
        </w:tc>
        <w:tc>
          <w:tcPr>
            <w:tcW w:w="1820" w:type="dxa"/>
            <w:vAlign w:val="bottom"/>
            <w:tcBorders>
              <w:top w:val="single" w:sz="8" w:color="auto"/>
            </w:tcBorders>
          </w:tcPr>
          <w:p>
            <w:pPr>
              <w:spacing w:after="0"/>
              <w:rPr>
                <w:sz w:val="12"/>
                <w:szCs w:val="12"/>
                <w:color w:val="auto"/>
              </w:rPr>
            </w:pPr>
          </w:p>
        </w:tc>
      </w:tr>
      <w:tr>
        <w:trPr>
          <w:trHeight w:val="140"/>
        </w:trPr>
        <w:tc>
          <w:tcPr>
            <w:tcW w:w="39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PROPOSED MAXIMUM</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MAXIMUM</w:t>
            </w:r>
          </w:p>
        </w:tc>
        <w:tc>
          <w:tcPr>
            <w:tcW w:w="1820" w:type="dxa"/>
            <w:vAlign w:val="bottom"/>
          </w:tcPr>
          <w:p>
            <w:pPr>
              <w:spacing w:after="0"/>
              <w:rPr>
                <w:sz w:val="12"/>
                <w:szCs w:val="12"/>
                <w:color w:val="auto"/>
              </w:rPr>
            </w:pPr>
          </w:p>
        </w:tc>
      </w:tr>
      <w:tr>
        <w:trPr>
          <w:trHeight w:val="134"/>
        </w:trPr>
        <w:tc>
          <w:tcPr>
            <w:tcW w:w="39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rPr>
              <w:t>TITLE OF EACH CLASS OF</w:t>
            </w:r>
          </w:p>
        </w:tc>
        <w:tc>
          <w:tcPr>
            <w:tcW w:w="16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rPr>
              <w:t>AMOUNT TO BE</w:t>
            </w:r>
          </w:p>
        </w:tc>
        <w:tc>
          <w:tcPr>
            <w:tcW w:w="1840" w:type="dxa"/>
            <w:vAlign w:val="bottom"/>
            <w:tcBorders>
              <w:right w:val="single" w:sz="8" w:color="auto"/>
            </w:tcBorders>
          </w:tcPr>
          <w:p>
            <w:pPr>
              <w:jc w:val="center"/>
              <w:ind w:left="15"/>
              <w:spacing w:after="0" w:line="134" w:lineRule="exact"/>
              <w:rPr>
                <w:sz w:val="20"/>
                <w:szCs w:val="20"/>
                <w:color w:val="auto"/>
              </w:rPr>
            </w:pPr>
            <w:r>
              <w:rPr>
                <w:rFonts w:ascii="Arial" w:cs="Arial" w:eastAsia="Arial" w:hAnsi="Arial"/>
                <w:sz w:val="12"/>
                <w:szCs w:val="12"/>
                <w:b w:val="1"/>
                <w:bCs w:val="1"/>
                <w:color w:val="auto"/>
              </w:rPr>
              <w:t>AGGREGATE OFFERING</w:t>
            </w:r>
          </w:p>
        </w:tc>
        <w:tc>
          <w:tcPr>
            <w:tcW w:w="1640" w:type="dxa"/>
            <w:vAlign w:val="bottom"/>
            <w:tcBorders>
              <w:right w:val="single" w:sz="8" w:color="auto"/>
            </w:tcBorders>
          </w:tcPr>
          <w:p>
            <w:pPr>
              <w:jc w:val="center"/>
              <w:ind w:left="16"/>
              <w:spacing w:after="0" w:line="134" w:lineRule="exact"/>
              <w:rPr>
                <w:sz w:val="20"/>
                <w:szCs w:val="20"/>
                <w:color w:val="auto"/>
              </w:rPr>
            </w:pPr>
            <w:r>
              <w:rPr>
                <w:rFonts w:ascii="Arial" w:cs="Arial" w:eastAsia="Arial" w:hAnsi="Arial"/>
                <w:sz w:val="12"/>
                <w:szCs w:val="12"/>
                <w:b w:val="1"/>
                <w:bCs w:val="1"/>
                <w:color w:val="auto"/>
              </w:rPr>
              <w:t>AGGREGATE</w:t>
            </w:r>
          </w:p>
        </w:tc>
        <w:tc>
          <w:tcPr>
            <w:tcW w:w="1820" w:type="dxa"/>
            <w:vAlign w:val="bottom"/>
          </w:tcPr>
          <w:p>
            <w:pPr>
              <w:jc w:val="center"/>
              <w:ind w:left="15"/>
              <w:spacing w:after="0" w:line="134" w:lineRule="exact"/>
              <w:rPr>
                <w:sz w:val="20"/>
                <w:szCs w:val="20"/>
                <w:color w:val="auto"/>
              </w:rPr>
            </w:pPr>
            <w:r>
              <w:rPr>
                <w:rFonts w:ascii="Arial" w:cs="Arial" w:eastAsia="Arial" w:hAnsi="Arial"/>
                <w:sz w:val="12"/>
                <w:szCs w:val="12"/>
                <w:b w:val="1"/>
                <w:bCs w:val="1"/>
                <w:color w:val="auto"/>
              </w:rPr>
              <w:t>AMOUNT OF</w:t>
            </w:r>
          </w:p>
        </w:tc>
      </w:tr>
      <w:tr>
        <w:trPr>
          <w:trHeight w:val="160"/>
        </w:trPr>
        <w:tc>
          <w:tcPr>
            <w:tcW w:w="3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SECURITIES TO BE REGISTERED</w:t>
            </w:r>
          </w:p>
        </w:tc>
        <w:tc>
          <w:tcPr>
            <w:tcW w:w="166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2"/>
                <w:szCs w:val="12"/>
                <w:b w:val="1"/>
                <w:bCs w:val="1"/>
                <w:color w:val="auto"/>
              </w:rPr>
              <w:t xml:space="preserve">REGISTERED </w:t>
            </w:r>
            <w:r>
              <w:rPr>
                <w:rFonts w:ascii="Arial" w:cs="Arial" w:eastAsia="Arial" w:hAnsi="Arial"/>
                <w:sz w:val="10"/>
                <w:szCs w:val="10"/>
                <w:b w:val="1"/>
                <w:bCs w:val="1"/>
                <w:color w:val="auto"/>
              </w:rPr>
              <w:t>(1)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 xml:space="preserve">PRICE PER SHARE </w:t>
            </w:r>
            <w:r>
              <w:rPr>
                <w:rFonts w:ascii="Arial" w:cs="Arial" w:eastAsia="Arial" w:hAnsi="Arial"/>
                <w:sz w:val="10"/>
                <w:szCs w:val="10"/>
                <w:b w:val="1"/>
                <w:bCs w:val="1"/>
                <w:color w:val="auto"/>
              </w:rPr>
              <w:t>(2)</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 xml:space="preserve">OFFERING PRICE </w:t>
            </w:r>
            <w:r>
              <w:rPr>
                <w:rFonts w:ascii="Arial" w:cs="Arial" w:eastAsia="Arial" w:hAnsi="Arial"/>
                <w:sz w:val="10"/>
                <w:szCs w:val="10"/>
                <w:b w:val="1"/>
                <w:bCs w:val="1"/>
                <w:color w:val="auto"/>
              </w:rPr>
              <w:t>(2)</w:t>
            </w:r>
          </w:p>
        </w:tc>
        <w:tc>
          <w:tcPr>
            <w:tcW w:w="1820" w:type="dxa"/>
            <w:vAlign w:val="bottom"/>
            <w:tcBorders>
              <w:bottom w:val="single" w:sz="8" w:color="auto"/>
            </w:tcBorders>
          </w:tcPr>
          <w:p>
            <w:pPr>
              <w:jc w:val="center"/>
              <w:ind w:left="15"/>
              <w:spacing w:after="0"/>
              <w:rPr>
                <w:sz w:val="20"/>
                <w:szCs w:val="20"/>
                <w:color w:val="auto"/>
              </w:rPr>
            </w:pPr>
            <w:r>
              <w:rPr>
                <w:rFonts w:ascii="Arial" w:cs="Arial" w:eastAsia="Arial" w:hAnsi="Arial"/>
                <w:sz w:val="12"/>
                <w:szCs w:val="12"/>
                <w:b w:val="1"/>
                <w:bCs w:val="1"/>
                <w:color w:val="auto"/>
              </w:rPr>
              <w:t xml:space="preserve">REGISTRATION FEE </w:t>
            </w:r>
            <w:r>
              <w:rPr>
                <w:rFonts w:ascii="Arial" w:cs="Arial" w:eastAsia="Arial" w:hAnsi="Arial"/>
                <w:sz w:val="10"/>
                <w:szCs w:val="10"/>
                <w:b w:val="1"/>
                <w:bCs w:val="1"/>
                <w:color w:val="auto"/>
              </w:rPr>
              <w:t>(2)(3)</w:t>
            </w:r>
          </w:p>
        </w:tc>
      </w:tr>
      <w:tr>
        <w:trPr>
          <w:trHeight w:val="167"/>
        </w:trPr>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Class A Common stock, par value $0.001 per share</w:t>
            </w:r>
          </w:p>
        </w:tc>
        <w:tc>
          <w:tcPr>
            <w:tcW w:w="166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4"/>
                <w:szCs w:val="14"/>
                <w:color w:val="auto"/>
                <w:w w:val="99"/>
              </w:rPr>
              <w:t>5,002,500</w:t>
            </w:r>
          </w:p>
        </w:tc>
        <w:tc>
          <w:tcPr>
            <w:tcW w:w="18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4"/>
                <w:szCs w:val="14"/>
                <w:color w:val="auto"/>
              </w:rPr>
              <w:t>$16.00</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$80,040,000</w:t>
            </w:r>
          </w:p>
        </w:tc>
        <w:tc>
          <w:tcPr>
            <w:tcW w:w="182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color w:val="auto"/>
                <w:w w:val="97"/>
              </w:rPr>
              <w:t>$8,733</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ind w:left="600" w:hanging="433"/>
        <w:spacing w:after="0" w:line="186" w:lineRule="auto"/>
        <w:tabs>
          <w:tab w:leader="none" w:pos="600" w:val="left"/>
        </w:tabs>
        <w:numPr>
          <w:ilvl w:val="0"/>
          <w:numId w:val="1"/>
        </w:numPr>
        <w:rPr>
          <w:rFonts w:ascii="Arial" w:cs="Arial" w:eastAsia="Arial" w:hAnsi="Arial"/>
          <w:sz w:val="20"/>
          <w:szCs w:val="20"/>
          <w:color w:val="auto"/>
          <w:vertAlign w:val="superscript"/>
        </w:rPr>
      </w:pPr>
      <w:r>
        <w:rPr>
          <w:rFonts w:ascii="Arial" w:cs="Arial" w:eastAsia="Arial" w:hAnsi="Arial"/>
          <w:sz w:val="12"/>
          <w:szCs w:val="12"/>
          <w:color w:val="auto"/>
        </w:rPr>
        <w:t>Includes 652,500 shares of Class A common stock that the underwriters have the option to purchase.</w:t>
      </w:r>
    </w:p>
    <w:p>
      <w:pPr>
        <w:ind w:left="600" w:hanging="433"/>
        <w:spacing w:after="0" w:line="186" w:lineRule="auto"/>
        <w:tabs>
          <w:tab w:leader="none" w:pos="600" w:val="left"/>
        </w:tabs>
        <w:numPr>
          <w:ilvl w:val="0"/>
          <w:numId w:val="1"/>
        </w:numPr>
        <w:rPr>
          <w:rFonts w:ascii="Arial" w:cs="Arial" w:eastAsia="Arial" w:hAnsi="Arial"/>
          <w:sz w:val="18"/>
          <w:szCs w:val="18"/>
          <w:color w:val="auto"/>
          <w:vertAlign w:val="superscript"/>
        </w:rPr>
      </w:pPr>
      <w:r>
        <w:rPr>
          <w:rFonts w:ascii="Arial" w:cs="Arial" w:eastAsia="Arial" w:hAnsi="Arial"/>
          <w:sz w:val="11"/>
          <w:szCs w:val="11"/>
          <w:color w:val="auto"/>
        </w:rPr>
        <w:t>Estimated solely for purposes of calculating the amount of the registration fee pursuant to Rule 457(a) under the Securities Act.</w:t>
      </w:r>
    </w:p>
    <w:p>
      <w:pPr>
        <w:ind w:left="600" w:hanging="433"/>
        <w:spacing w:after="0" w:line="187" w:lineRule="auto"/>
        <w:tabs>
          <w:tab w:leader="none" w:pos="600" w:val="left"/>
        </w:tabs>
        <w:numPr>
          <w:ilvl w:val="0"/>
          <w:numId w:val="1"/>
        </w:numPr>
        <w:rPr>
          <w:rFonts w:ascii="Arial" w:cs="Arial" w:eastAsia="Arial" w:hAnsi="Arial"/>
          <w:sz w:val="19"/>
          <w:szCs w:val="19"/>
          <w:color w:val="auto"/>
          <w:vertAlign w:val="superscript"/>
        </w:rPr>
      </w:pPr>
      <w:r>
        <w:rPr>
          <w:rFonts w:ascii="Arial" w:cs="Arial" w:eastAsia="Arial" w:hAnsi="Arial"/>
          <w:sz w:val="12"/>
          <w:szCs w:val="12"/>
          <w:color w:val="auto"/>
        </w:rPr>
        <w:t>The registration fee was previously paid by the Registrant in connection with the filing of its Registration Statement on Form S-1 on April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2458720</wp:posOffset>
            </wp:positionH>
            <wp:positionV relativeFrom="paragraph">
              <wp:posOffset>100965</wp:posOffset>
            </wp:positionV>
            <wp:extent cx="22250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193" w:lineRule="exact"/>
        <w:rPr>
          <w:sz w:val="24"/>
          <w:szCs w:val="24"/>
          <w:color w:val="auto"/>
        </w:rPr>
      </w:pPr>
    </w:p>
    <w:p>
      <w:pPr>
        <w:jc w:val="both"/>
        <w:ind w:left="160" w:right="140"/>
        <w:spacing w:after="0" w:line="25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6929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112395</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229" w:right="499" w:bottom="744"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right="160"/>
        <w:spacing w:after="0" w:line="249" w:lineRule="auto"/>
        <w:rPr>
          <w:sz w:val="20"/>
          <w:szCs w:val="20"/>
          <w:color w:val="auto"/>
        </w:rPr>
      </w:pPr>
      <w:r>
        <w:rPr>
          <w:rFonts w:ascii="Arial" w:cs="Arial" w:eastAsia="Arial" w:hAnsi="Arial"/>
          <w:sz w:val="18"/>
          <w:szCs w:val="18"/>
          <w:b w:val="1"/>
          <w:bCs w:val="1"/>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CC062A"/>
        </w:rPr>
        <w:t>SUBJECT TO COMPLETION, DATED MAY 10, 2021</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4,350,000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340360</wp:posOffset>
            </wp:positionV>
            <wp:extent cx="2496820" cy="916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682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Class A Common Stock</w:t>
      </w:r>
    </w:p>
    <w:p>
      <w:pPr>
        <w:spacing w:after="0" w:line="254" w:lineRule="exact"/>
        <w:rPr>
          <w:sz w:val="20"/>
          <w:szCs w:val="20"/>
          <w:color w:val="auto"/>
        </w:rPr>
      </w:pPr>
    </w:p>
    <w:p>
      <w:pPr>
        <w:ind w:left="160" w:right="380"/>
        <w:spacing w:after="0" w:line="239" w:lineRule="auto"/>
        <w:rPr>
          <w:sz w:val="20"/>
          <w:szCs w:val="20"/>
          <w:color w:val="auto"/>
        </w:rPr>
      </w:pPr>
      <w:r>
        <w:rPr>
          <w:rFonts w:ascii="Arial" w:cs="Arial" w:eastAsia="Arial" w:hAnsi="Arial"/>
          <w:sz w:val="18"/>
          <w:szCs w:val="18"/>
          <w:color w:val="auto"/>
        </w:rPr>
        <w:t>This is an initial public offering of shares of Class A common stock by Vera Therapeutics, Inc. We are offering 4,350,000 shares of our Class A common stock. The initial public offering price is expected to be between $14.00 and $16.00 per share.</w:t>
      </w:r>
    </w:p>
    <w:p>
      <w:pPr>
        <w:spacing w:after="0" w:line="203" w:lineRule="exact"/>
        <w:rPr>
          <w:sz w:val="20"/>
          <w:szCs w:val="20"/>
          <w:color w:val="auto"/>
        </w:rPr>
      </w:pPr>
    </w:p>
    <w:p>
      <w:pPr>
        <w:ind w:left="160" w:right="240"/>
        <w:spacing w:after="0" w:line="239" w:lineRule="auto"/>
        <w:rPr>
          <w:sz w:val="20"/>
          <w:szCs w:val="20"/>
          <w:color w:val="auto"/>
        </w:rPr>
      </w:pPr>
      <w:r>
        <w:rPr>
          <w:rFonts w:ascii="Arial" w:cs="Arial" w:eastAsia="Arial" w:hAnsi="Arial"/>
          <w:sz w:val="18"/>
          <w:szCs w:val="18"/>
          <w:color w:val="auto"/>
        </w:rPr>
        <w:t>Prior to this offering, there has been no public market for our Class A common stock. We have applied to list our Class A common stock on The Nasdaq Global Market under the symbol “VERA.”</w:t>
      </w:r>
    </w:p>
    <w:p>
      <w:pPr>
        <w:spacing w:after="0" w:line="203"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We are an “emerging growth company” and a “smaller reporting company” as defined under the federal securities laws and, as such, have elected to comply with certain reduced reporting requirements.</w:t>
      </w:r>
    </w:p>
    <w:p>
      <w:pPr>
        <w:spacing w:after="0" w:line="203" w:lineRule="exact"/>
        <w:rPr>
          <w:sz w:val="20"/>
          <w:szCs w:val="20"/>
          <w:color w:val="auto"/>
        </w:rPr>
      </w:pPr>
    </w:p>
    <w:p>
      <w:pPr>
        <w:ind w:left="160" w:right="120"/>
        <w:spacing w:after="0" w:line="235" w:lineRule="auto"/>
        <w:rPr>
          <w:sz w:val="20"/>
          <w:szCs w:val="20"/>
          <w:color w:val="auto"/>
        </w:rPr>
      </w:pPr>
      <w:r>
        <w:rPr>
          <w:rFonts w:ascii="Arial" w:cs="Arial" w:eastAsia="Arial" w:hAnsi="Arial"/>
          <w:sz w:val="18"/>
          <w:szCs w:val="18"/>
          <w:color w:val="auto"/>
        </w:rPr>
        <w:t>Following this offering, we will have two classes of common stock: Class A common stock and Class B common stock. The rights of the holders of Class A common stock and Class B common stock are identical, except with respect to voting and conversion. Each share of Class A common stock will be entitled to one vote and shares of Class B common stock will be non-voting, except as may be required by law. Each share of Class B common stock may be converted at any time into one share of Class A common stock at the option of its holder, subject to the ownership limitations provided for in our amended and restated certificate of incorporation to become effective upon the closing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154305</wp:posOffset>
            </wp:positionV>
            <wp:extent cx="6929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tbl>
      <w:tblPr>
        <w:tblLayout w:type="fixed"/>
        <w:tblInd w:w="10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22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50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194"/>
        </w:trPr>
        <w:tc>
          <w:tcPr>
            <w:tcW w:w="20" w:type="dxa"/>
            <w:vAlign w:val="bottom"/>
          </w:tcPr>
          <w:p>
            <w:pPr>
              <w:spacing w:after="0"/>
              <w:rPr>
                <w:sz w:val="16"/>
                <w:szCs w:val="16"/>
                <w:color w:val="auto"/>
              </w:rPr>
            </w:pPr>
          </w:p>
        </w:tc>
        <w:tc>
          <w:tcPr>
            <w:tcW w:w="56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Initial public offering price</w:t>
            </w:r>
          </w:p>
        </w:tc>
        <w:tc>
          <w:tcPr>
            <w:tcW w:w="13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651"/>
              <w:spacing w:after="0" w:line="194"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15"/>
                <w:szCs w:val="15"/>
                <w:color w:val="auto"/>
              </w:rPr>
              <w:t>(1)</w:t>
            </w:r>
          </w:p>
        </w:tc>
        <w:tc>
          <w:tcPr>
            <w:tcW w:w="2220" w:type="dxa"/>
            <w:vAlign w:val="bottom"/>
            <w:gridSpan w:val="2"/>
          </w:tcPr>
          <w:p>
            <w:pPr>
              <w:jc w:val="right"/>
              <w:ind w:right="651"/>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8"/>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to Vera Therapeutics, Inc., before expenses</w:t>
            </w:r>
          </w:p>
        </w:tc>
        <w:tc>
          <w:tcPr>
            <w:tcW w:w="2220" w:type="dxa"/>
            <w:vAlign w:val="bottom"/>
            <w:gridSpan w:val="2"/>
            <w:shd w:val="clear" w:color="auto" w:fill="CCEEFF"/>
          </w:tcPr>
          <w:p>
            <w:pPr>
              <w:jc w:val="right"/>
              <w:ind w:right="651"/>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8"/>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161290</wp:posOffset>
            </wp:positionV>
            <wp:extent cx="69297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7" w:lineRule="exact"/>
        <w:rPr>
          <w:sz w:val="20"/>
          <w:szCs w:val="20"/>
          <w:color w:val="auto"/>
        </w:rPr>
      </w:pPr>
    </w:p>
    <w:p>
      <w:pPr>
        <w:ind w:left="600" w:hanging="299"/>
        <w:spacing w:after="0"/>
        <w:tabs>
          <w:tab w:leader="none" w:pos="60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the section titled “Underwriting” beginning on page 180 for a description of the compensation payable to the underwriters.</w:t>
      </w:r>
    </w:p>
    <w:p>
      <w:pPr>
        <w:spacing w:after="0" w:line="198"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We have granted the underwriters an option for a period of 30 days to purchase up to 652,500 additional shares of Class A common stock at the initial public offering price, less the underwriting discounts and commissions.</w:t>
      </w:r>
    </w:p>
    <w:p>
      <w:pPr>
        <w:spacing w:after="0" w:line="203"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At our request, the underwriters have reserved for sale, at the initial public offering price, up to 3% of the shares of Class A common stock offered hereby to our directors, officers, employees, business associates and related persons through a directed share program. See the section titled “Underwriting—Directed Share Program” for additional information.</w:t>
      </w:r>
    </w:p>
    <w:p>
      <w:pPr>
        <w:spacing w:after="0" w:line="181" w:lineRule="exact"/>
        <w:rPr>
          <w:sz w:val="20"/>
          <w:szCs w:val="20"/>
          <w:color w:val="auto"/>
        </w:rPr>
      </w:pPr>
    </w:p>
    <w:p>
      <w:pPr>
        <w:ind w:left="160" w:right="200"/>
        <w:spacing w:after="0" w:line="265"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Class A common stock involves a high degree of risk. See the section titled “</w:t>
      </w:r>
      <w:hyperlink w:anchor="page1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14.</w:t>
      </w:r>
    </w:p>
    <w:p>
      <w:pPr>
        <w:spacing w:after="0" w:line="158" w:lineRule="exact"/>
        <w:rPr>
          <w:sz w:val="20"/>
          <w:szCs w:val="20"/>
          <w:color w:val="auto"/>
        </w:rPr>
      </w:pPr>
    </w:p>
    <w:p>
      <w:pPr>
        <w:ind w:left="160" w:right="40"/>
        <w:spacing w:after="0" w:line="295"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57" w:lineRule="exact"/>
        <w:rPr>
          <w:sz w:val="20"/>
          <w:szCs w:val="20"/>
          <w:color w:val="auto"/>
        </w:rPr>
      </w:pPr>
    </w:p>
    <w:p>
      <w:pPr>
        <w:ind w:left="160"/>
        <w:spacing w:after="0"/>
        <w:tabs>
          <w:tab w:leader="none" w:pos="6440" w:val="left"/>
        </w:tabs>
        <w:rPr>
          <w:sz w:val="20"/>
          <w:szCs w:val="20"/>
          <w:color w:val="auto"/>
        </w:rPr>
      </w:pPr>
      <w:r>
        <w:rPr>
          <w:rFonts w:ascii="Arial" w:cs="Arial" w:eastAsia="Arial" w:hAnsi="Arial"/>
          <w:sz w:val="18"/>
          <w:szCs w:val="18"/>
          <w:color w:val="auto"/>
        </w:rPr>
        <w:t>The underwriters expect to deliver the shares to purchasers on or about</w:t>
      </w:r>
      <w:r>
        <w:rPr>
          <w:sz w:val="20"/>
          <w:szCs w:val="20"/>
          <w:color w:val="auto"/>
        </w:rPr>
        <w:tab/>
      </w:r>
      <w:r>
        <w:rPr>
          <w:rFonts w:ascii="Arial" w:cs="Arial" w:eastAsia="Arial" w:hAnsi="Arial"/>
          <w:sz w:val="17"/>
          <w:szCs w:val="17"/>
          <w:color w:val="auto"/>
        </w:rPr>
        <w:t>, 2021.</w:t>
      </w:r>
    </w:p>
    <w:p>
      <w:pPr>
        <w:spacing w:after="0" w:line="195" w:lineRule="exact"/>
        <w:rPr>
          <w:sz w:val="20"/>
          <w:szCs w:val="20"/>
          <w:color w:val="auto"/>
        </w:rPr>
      </w:pPr>
    </w:p>
    <w:p>
      <w:pPr>
        <w:ind w:left="160"/>
        <w:spacing w:after="0"/>
        <w:tabs>
          <w:tab w:leader="none" w:pos="6520" w:val="left"/>
          <w:tab w:leader="none" w:pos="9420" w:val="left"/>
        </w:tabs>
        <w:rPr>
          <w:sz w:val="20"/>
          <w:szCs w:val="20"/>
          <w:color w:val="auto"/>
        </w:rPr>
      </w:pPr>
      <w:r>
        <w:rPr>
          <w:rFonts w:ascii="Arial" w:cs="Arial" w:eastAsia="Arial" w:hAnsi="Arial"/>
          <w:sz w:val="29"/>
          <w:szCs w:val="29"/>
          <w:b w:val="1"/>
          <w:bCs w:val="1"/>
          <w:color w:val="auto"/>
        </w:rPr>
        <w:t>Jefferies</w:t>
      </w:r>
      <w:r>
        <w:rPr>
          <w:sz w:val="20"/>
          <w:szCs w:val="20"/>
          <w:color w:val="auto"/>
        </w:rPr>
        <w:tab/>
      </w:r>
      <w:r>
        <w:rPr>
          <w:rFonts w:ascii="Arial" w:cs="Arial" w:eastAsia="Arial" w:hAnsi="Arial"/>
          <w:sz w:val="29"/>
          <w:szCs w:val="29"/>
          <w:b w:val="1"/>
          <w:bCs w:val="1"/>
          <w:color w:val="auto"/>
        </w:rPr>
        <w:t>Cowen</w:t>
      </w:r>
      <w:r>
        <w:rPr>
          <w:sz w:val="20"/>
          <w:szCs w:val="20"/>
          <w:color w:val="auto"/>
        </w:rPr>
        <w:tab/>
      </w:r>
      <w:r>
        <w:rPr>
          <w:rFonts w:ascii="Arial" w:cs="Arial" w:eastAsia="Arial" w:hAnsi="Arial"/>
          <w:sz w:val="28"/>
          <w:szCs w:val="28"/>
          <w:b w:val="1"/>
          <w:bCs w:val="1"/>
          <w:color w:val="auto"/>
        </w:rPr>
        <w:t>Evercore ISI</w:t>
      </w:r>
    </w:p>
    <w:p>
      <w:pPr>
        <w:sectPr>
          <w:pgSz w:w="11900" w:h="16838" w:orient="portrait"/>
          <w:cols w:equalWidth="0" w:num="1">
            <w:col w:w="11080"/>
          </w:cols>
          <w:pgMar w:left="320" w:top="456" w:right="499" w:bottom="9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280"/>
        <w:spacing w:after="0"/>
        <w:tabs>
          <w:tab w:leader="none" w:pos="644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7"/>
          <w:szCs w:val="17"/>
          <w:color w:val="auto"/>
        </w:rPr>
        <w:t>, 2021</w:t>
      </w:r>
    </w:p>
    <w:p>
      <w:pPr>
        <w:sectPr>
          <w:pgSz w:w="11900" w:h="16838" w:orient="portrait"/>
          <w:cols w:equalWidth="0" w:num="1">
            <w:col w:w="11080"/>
          </w:cols>
          <w:pgMar w:left="320" w:top="456" w:right="499" w:bottom="976"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248285</wp:posOffset>
            </wp:positionV>
            <wp:extent cx="6929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10460" w:type="dxa"/>
            <w:vAlign w:val="bottom"/>
            <w:gridSpan w:val="22"/>
            <w:vMerge w:val="restart"/>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PROSPECTUS SUMMARY</w:t>
              </w:r>
            </w:hyperlink>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4"/>
        </w:trPr>
        <w:tc>
          <w:tcPr>
            <w:tcW w:w="10460" w:type="dxa"/>
            <w:vAlign w:val="bottom"/>
            <w:gridSpan w:val="22"/>
            <w:vMerge w:val="continue"/>
          </w:tcPr>
          <w:p>
            <w:pPr>
              <w:spacing w:after="0"/>
              <w:rPr>
                <w:sz w:val="13"/>
                <w:szCs w:val="13"/>
                <w:color w:val="auto"/>
              </w:rPr>
            </w:pPr>
          </w:p>
        </w:tc>
        <w:tc>
          <w:tcPr>
            <w:tcW w:w="4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2080" w:type="dxa"/>
            <w:vAlign w:val="bottom"/>
            <w:tcBorders>
              <w:top w:val="single" w:sz="8" w:color="0000EE"/>
            </w:tcBorders>
            <w:gridSpan w:val="10"/>
          </w:tcPr>
          <w:p>
            <w:pPr>
              <w:spacing w:after="0"/>
              <w:rPr>
                <w:rFonts w:ascii="Arial" w:cs="Arial" w:eastAsia="Arial" w:hAnsi="Arial"/>
                <w:sz w:val="17"/>
                <w:szCs w:val="17"/>
                <w:color w:val="0000EE"/>
              </w:rPr>
            </w:pPr>
            <w:hyperlink w:anchor="page18">
              <w:r>
                <w:rPr>
                  <w:rFonts w:ascii="Arial" w:cs="Arial" w:eastAsia="Arial" w:hAnsi="Arial"/>
                  <w:sz w:val="17"/>
                  <w:szCs w:val="17"/>
                  <w:color w:val="0000EE"/>
                </w:rPr>
                <w:t>RISK FACTORS</w:t>
              </w:r>
            </w:hyperlink>
          </w:p>
        </w:tc>
        <w:tc>
          <w:tcPr>
            <w:tcW w:w="8380" w:type="dxa"/>
            <w:vAlign w:val="bottom"/>
            <w:gridSpan w:val="1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220" w:type="dxa"/>
            <w:vAlign w:val="bottom"/>
            <w:tcBorders>
              <w:bottom w:val="single" w:sz="8" w:color="0000EE"/>
            </w:tcBorders>
            <w:gridSpan w:val="18"/>
          </w:tcPr>
          <w:p>
            <w:pPr>
              <w:spacing w:after="0"/>
              <w:rPr>
                <w:rFonts w:ascii="Arial" w:cs="Arial" w:eastAsia="Arial" w:hAnsi="Arial"/>
                <w:sz w:val="17"/>
                <w:szCs w:val="17"/>
                <w:color w:val="0000EE"/>
                <w:w w:val="98"/>
              </w:rPr>
            </w:pPr>
            <w:hyperlink w:anchor="page77">
              <w:r>
                <w:rPr>
                  <w:rFonts w:ascii="Arial" w:cs="Arial" w:eastAsia="Arial" w:hAnsi="Arial"/>
                  <w:sz w:val="17"/>
                  <w:szCs w:val="17"/>
                  <w:color w:val="0000EE"/>
                  <w:w w:val="98"/>
                </w:rPr>
                <w:t>SPECIAL NOTE REGARDING FORWARD-LOOKING STATEMENTS</w:t>
              </w:r>
            </w:hyperlink>
          </w:p>
        </w:tc>
        <w:tc>
          <w:tcPr>
            <w:tcW w:w="5240" w:type="dxa"/>
            <w:vAlign w:val="bottom"/>
            <w:gridSpan w:val="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381"/>
        </w:trPr>
        <w:tc>
          <w:tcPr>
            <w:tcW w:w="10460" w:type="dxa"/>
            <w:vAlign w:val="bottom"/>
            <w:gridSpan w:val="22"/>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MARKET, INDUSTRY AND OTHER DATA</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381"/>
        </w:trPr>
        <w:tc>
          <w:tcPr>
            <w:tcW w:w="164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9"/>
              </w:rPr>
            </w:pPr>
            <w:hyperlink w:anchor="page80">
              <w:r>
                <w:rPr>
                  <w:rFonts w:ascii="Arial" w:cs="Arial" w:eastAsia="Arial" w:hAnsi="Arial"/>
                  <w:sz w:val="17"/>
                  <w:szCs w:val="17"/>
                  <w:color w:val="0000EE"/>
                  <w:w w:val="99"/>
                </w:rPr>
                <w:t>USE OF PROCEEDS</w:t>
              </w:r>
            </w:hyperlink>
          </w:p>
        </w:tc>
        <w:tc>
          <w:tcPr>
            <w:tcW w:w="1520" w:type="dxa"/>
            <w:vAlign w:val="bottom"/>
            <w:tcBorders>
              <w:top w:val="single" w:sz="8" w:color="0000EE"/>
            </w:tcBorders>
            <w:gridSpan w:val="7"/>
          </w:tcPr>
          <w:p>
            <w:pPr>
              <w:spacing w:after="0"/>
              <w:rPr>
                <w:sz w:val="24"/>
                <w:szCs w:val="24"/>
                <w:color w:val="auto"/>
              </w:rPr>
            </w:pPr>
          </w:p>
        </w:tc>
        <w:tc>
          <w:tcPr>
            <w:tcW w:w="7300" w:type="dxa"/>
            <w:vAlign w:val="bottom"/>
            <w:gridSpan w:val="6"/>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381"/>
        </w:trPr>
        <w:tc>
          <w:tcPr>
            <w:tcW w:w="10460" w:type="dxa"/>
            <w:vAlign w:val="bottom"/>
            <w:gridSpan w:val="22"/>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DIVIDEND POLICY</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381"/>
        </w:trPr>
        <w:tc>
          <w:tcPr>
            <w:tcW w:w="136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7"/>
              </w:rPr>
            </w:pPr>
            <w:hyperlink w:anchor="page82">
              <w:r>
                <w:rPr>
                  <w:rFonts w:ascii="Arial" w:cs="Arial" w:eastAsia="Arial" w:hAnsi="Arial"/>
                  <w:sz w:val="17"/>
                  <w:szCs w:val="17"/>
                  <w:color w:val="0000EE"/>
                  <w:w w:val="97"/>
                </w:rPr>
                <w:t>CAPITALIZATION</w:t>
              </w:r>
            </w:hyperlink>
          </w:p>
        </w:tc>
        <w:tc>
          <w:tcPr>
            <w:tcW w:w="120" w:type="dxa"/>
            <w:vAlign w:val="bottom"/>
            <w:tcBorders>
              <w:top w:val="single" w:sz="8" w:color="0000EE"/>
            </w:tcBorders>
            <w:gridSpan w:val="2"/>
          </w:tcPr>
          <w:p>
            <w:pPr>
              <w:spacing w:after="0"/>
              <w:rPr>
                <w:sz w:val="24"/>
                <w:szCs w:val="24"/>
                <w:color w:val="auto"/>
              </w:rPr>
            </w:pPr>
          </w:p>
        </w:tc>
        <w:tc>
          <w:tcPr>
            <w:tcW w:w="8980" w:type="dxa"/>
            <w:vAlign w:val="bottom"/>
            <w:gridSpan w:val="1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381"/>
        </w:trPr>
        <w:tc>
          <w:tcPr>
            <w:tcW w:w="820" w:type="dxa"/>
            <w:vAlign w:val="bottom"/>
            <w:tcBorders>
              <w:bottom w:val="single" w:sz="8" w:color="0000EE"/>
            </w:tcBorders>
            <w:gridSpan w:val="2"/>
          </w:tcPr>
          <w:p>
            <w:pPr>
              <w:spacing w:after="0"/>
              <w:rPr>
                <w:rFonts w:ascii="Arial" w:cs="Arial" w:eastAsia="Arial" w:hAnsi="Arial"/>
                <w:sz w:val="17"/>
                <w:szCs w:val="17"/>
                <w:color w:val="0000EE"/>
              </w:rPr>
            </w:pPr>
            <w:hyperlink w:anchor="page84">
              <w:r>
                <w:rPr>
                  <w:rFonts w:ascii="Arial" w:cs="Arial" w:eastAsia="Arial" w:hAnsi="Arial"/>
                  <w:sz w:val="17"/>
                  <w:szCs w:val="17"/>
                  <w:color w:val="0000EE"/>
                </w:rPr>
                <w:t>DILUTION</w:t>
              </w:r>
            </w:hyperlink>
          </w:p>
        </w:tc>
        <w:tc>
          <w:tcPr>
            <w:tcW w:w="9640" w:type="dxa"/>
            <w:vAlign w:val="bottom"/>
            <w:gridSpan w:val="20"/>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381"/>
        </w:trPr>
        <w:tc>
          <w:tcPr>
            <w:tcW w:w="8600" w:type="dxa"/>
            <w:vAlign w:val="bottom"/>
            <w:tcBorders>
              <w:bottom w:val="single" w:sz="8" w:color="0000EE"/>
            </w:tcBorders>
            <w:gridSpan w:val="21"/>
          </w:tcPr>
          <w:p>
            <w:pPr>
              <w:spacing w:after="0"/>
              <w:rPr>
                <w:rFonts w:ascii="Arial" w:cs="Arial" w:eastAsia="Arial" w:hAnsi="Arial"/>
                <w:sz w:val="17"/>
                <w:szCs w:val="17"/>
                <w:color w:val="0000EE"/>
                <w:w w:val="99"/>
              </w:rPr>
            </w:pPr>
            <w:hyperlink w:anchor="page86">
              <w:r>
                <w:rPr>
                  <w:rFonts w:ascii="Arial" w:cs="Arial" w:eastAsia="Arial" w:hAnsi="Arial"/>
                  <w:sz w:val="17"/>
                  <w:szCs w:val="17"/>
                  <w:color w:val="0000EE"/>
                  <w:w w:val="99"/>
                </w:rPr>
                <w:t>MANAGEMENT’S DISCUSSION AND ANALYSIS OF FINANCIAL CONDITION AND RESULTS OF OPERATIONS</w:t>
              </w:r>
            </w:hyperlink>
          </w:p>
        </w:tc>
        <w:tc>
          <w:tcPr>
            <w:tcW w:w="18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381"/>
        </w:trPr>
        <w:tc>
          <w:tcPr>
            <w:tcW w:w="10460" w:type="dxa"/>
            <w:vAlign w:val="bottom"/>
            <w:gridSpan w:val="22"/>
          </w:tcPr>
          <w:p>
            <w:pPr>
              <w:spacing w:after="0"/>
              <w:rPr>
                <w:rFonts w:ascii="Arial" w:cs="Arial" w:eastAsia="Arial" w:hAnsi="Arial"/>
                <w:sz w:val="17"/>
                <w:szCs w:val="17"/>
                <w:color w:val="0000EE"/>
              </w:rPr>
            </w:pPr>
            <w:hyperlink w:anchor="page97">
              <w:r>
                <w:rPr>
                  <w:rFonts w:ascii="Arial" w:cs="Arial" w:eastAsia="Arial" w:hAnsi="Arial"/>
                  <w:sz w:val="17"/>
                  <w:szCs w:val="17"/>
                  <w:color w:val="0000EE"/>
                </w:rPr>
                <w:t>BUSINESS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0460" w:type="dxa"/>
            <w:vAlign w:val="bottom"/>
            <w:gridSpan w:val="22"/>
          </w:tcPr>
          <w:p>
            <w:pPr>
              <w:spacing w:after="0"/>
              <w:rPr>
                <w:rFonts w:ascii="Arial" w:cs="Arial" w:eastAsia="Arial" w:hAnsi="Arial"/>
                <w:sz w:val="17"/>
                <w:szCs w:val="17"/>
                <w:color w:val="0000EE"/>
              </w:rPr>
            </w:pPr>
            <w:hyperlink w:anchor="page143">
              <w:r>
                <w:rPr>
                  <w:rFonts w:ascii="Arial" w:cs="Arial" w:eastAsia="Arial" w:hAnsi="Arial"/>
                  <w:sz w:val="17"/>
                  <w:szCs w:val="17"/>
                  <w:color w:val="0000EE"/>
                </w:rPr>
                <w:t>MANAGEMENT</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380" w:type="dxa"/>
            <w:vAlign w:val="bottom"/>
            <w:tcBorders>
              <w:bottom w:val="single" w:sz="8" w:color="0000EE"/>
            </w:tcBorders>
            <w:gridSpan w:val="12"/>
          </w:tcPr>
          <w:p>
            <w:pPr>
              <w:spacing w:after="0"/>
              <w:rPr>
                <w:rFonts w:ascii="Arial" w:cs="Arial" w:eastAsia="Arial" w:hAnsi="Arial"/>
                <w:sz w:val="17"/>
                <w:szCs w:val="17"/>
                <w:color w:val="0000EE"/>
                <w:w w:val="98"/>
              </w:rPr>
            </w:pPr>
            <w:hyperlink w:anchor="page152">
              <w:r>
                <w:rPr>
                  <w:rFonts w:ascii="Arial" w:cs="Arial" w:eastAsia="Arial" w:hAnsi="Arial"/>
                  <w:sz w:val="17"/>
                  <w:szCs w:val="17"/>
                  <w:color w:val="0000EE"/>
                  <w:w w:val="98"/>
                </w:rPr>
                <w:t>EXECUTIVE COMPENSATION</w:t>
              </w:r>
            </w:hyperlink>
          </w:p>
        </w:tc>
        <w:tc>
          <w:tcPr>
            <w:tcW w:w="8080" w:type="dxa"/>
            <w:vAlign w:val="bottom"/>
            <w:gridSpan w:val="10"/>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381"/>
        </w:trPr>
        <w:tc>
          <w:tcPr>
            <w:tcW w:w="5480" w:type="dxa"/>
            <w:vAlign w:val="bottom"/>
            <w:tcBorders>
              <w:bottom w:val="single" w:sz="8" w:color="0000EE"/>
            </w:tcBorders>
            <w:gridSpan w:val="19"/>
          </w:tcPr>
          <w:p>
            <w:pPr>
              <w:spacing w:after="0"/>
              <w:rPr>
                <w:rFonts w:ascii="Arial" w:cs="Arial" w:eastAsia="Arial" w:hAnsi="Arial"/>
                <w:sz w:val="17"/>
                <w:szCs w:val="17"/>
                <w:color w:val="0000EE"/>
                <w:w w:val="98"/>
              </w:rPr>
            </w:pPr>
            <w:hyperlink w:anchor="page165">
              <w:r>
                <w:rPr>
                  <w:rFonts w:ascii="Arial" w:cs="Arial" w:eastAsia="Arial" w:hAnsi="Arial"/>
                  <w:sz w:val="17"/>
                  <w:szCs w:val="17"/>
                  <w:color w:val="0000EE"/>
                  <w:w w:val="98"/>
                </w:rPr>
                <w:t>CERTAIN RELATIONSHIPS AND RELATED PERSON TRANSACTIONS</w:t>
              </w:r>
            </w:hyperlink>
          </w:p>
        </w:tc>
        <w:tc>
          <w:tcPr>
            <w:tcW w:w="4980" w:type="dxa"/>
            <w:vAlign w:val="bottom"/>
            <w:gridSpan w:val="3"/>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381"/>
        </w:trPr>
        <w:tc>
          <w:tcPr>
            <w:tcW w:w="2340" w:type="dxa"/>
            <w:vAlign w:val="bottom"/>
            <w:tcBorders>
              <w:bottom w:val="single" w:sz="8" w:color="0000EE"/>
            </w:tcBorders>
            <w:gridSpan w:val="11"/>
          </w:tcPr>
          <w:p>
            <w:pPr>
              <w:spacing w:after="0"/>
              <w:rPr>
                <w:rFonts w:ascii="Arial" w:cs="Arial" w:eastAsia="Arial" w:hAnsi="Arial"/>
                <w:sz w:val="17"/>
                <w:szCs w:val="17"/>
                <w:color w:val="0000EE"/>
                <w:w w:val="98"/>
              </w:rPr>
            </w:pPr>
            <w:hyperlink w:anchor="page169">
              <w:r>
                <w:rPr>
                  <w:rFonts w:ascii="Arial" w:cs="Arial" w:eastAsia="Arial" w:hAnsi="Arial"/>
                  <w:sz w:val="17"/>
                  <w:szCs w:val="17"/>
                  <w:color w:val="0000EE"/>
                  <w:w w:val="98"/>
                </w:rPr>
                <w:t>PRINCIPAL STOCKHOLDERS</w:t>
              </w:r>
            </w:hyperlink>
          </w:p>
        </w:tc>
        <w:tc>
          <w:tcPr>
            <w:tcW w:w="8120" w:type="dxa"/>
            <w:vAlign w:val="bottom"/>
            <w:gridSpan w:val="11"/>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381"/>
        </w:trPr>
        <w:tc>
          <w:tcPr>
            <w:tcW w:w="2820" w:type="dxa"/>
            <w:vAlign w:val="bottom"/>
            <w:tcBorders>
              <w:bottom w:val="single" w:sz="8" w:color="0000EE"/>
            </w:tcBorders>
            <w:gridSpan w:val="13"/>
          </w:tcPr>
          <w:p>
            <w:pPr>
              <w:spacing w:after="0"/>
              <w:rPr>
                <w:rFonts w:ascii="Arial" w:cs="Arial" w:eastAsia="Arial" w:hAnsi="Arial"/>
                <w:sz w:val="17"/>
                <w:szCs w:val="17"/>
                <w:color w:val="0000EE"/>
                <w:w w:val="98"/>
              </w:rPr>
            </w:pPr>
            <w:hyperlink w:anchor="page173">
              <w:r>
                <w:rPr>
                  <w:rFonts w:ascii="Arial" w:cs="Arial" w:eastAsia="Arial" w:hAnsi="Arial"/>
                  <w:sz w:val="17"/>
                  <w:szCs w:val="17"/>
                  <w:color w:val="0000EE"/>
                  <w:w w:val="98"/>
                </w:rPr>
                <w:t>DESCRIPTION OF CAPITAL STOCK</w:t>
              </w:r>
            </w:hyperlink>
          </w:p>
        </w:tc>
        <w:tc>
          <w:tcPr>
            <w:tcW w:w="7640" w:type="dxa"/>
            <w:vAlign w:val="bottom"/>
            <w:gridSpan w:val="9"/>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381"/>
        </w:trPr>
        <w:tc>
          <w:tcPr>
            <w:tcW w:w="10460" w:type="dxa"/>
            <w:vAlign w:val="bottom"/>
            <w:gridSpan w:val="22"/>
          </w:tcPr>
          <w:p>
            <w:pPr>
              <w:spacing w:after="0"/>
              <w:rPr>
                <w:rFonts w:ascii="Arial" w:cs="Arial" w:eastAsia="Arial" w:hAnsi="Arial"/>
                <w:sz w:val="17"/>
                <w:szCs w:val="17"/>
                <w:color w:val="0000EE"/>
              </w:rPr>
            </w:pPr>
            <w:hyperlink w:anchor="page177">
              <w:r>
                <w:rPr>
                  <w:rFonts w:ascii="Arial" w:cs="Arial" w:eastAsia="Arial" w:hAnsi="Arial"/>
                  <w:sz w:val="17"/>
                  <w:szCs w:val="17"/>
                  <w:color w:val="0000EE"/>
                </w:rPr>
                <w:t>SHARES ELIGIBLE FOR FUTURE SALE</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0460" w:type="dxa"/>
            <w:vAlign w:val="bottom"/>
            <w:gridSpan w:val="22"/>
          </w:tcPr>
          <w:p>
            <w:pPr>
              <w:spacing w:after="0"/>
              <w:rPr>
                <w:rFonts w:ascii="Arial" w:cs="Arial" w:eastAsia="Arial" w:hAnsi="Arial"/>
                <w:sz w:val="17"/>
                <w:szCs w:val="17"/>
                <w:color w:val="0000EE"/>
              </w:rPr>
            </w:pPr>
            <w:hyperlink w:anchor="page180">
              <w:r>
                <w:rPr>
                  <w:rFonts w:ascii="Arial" w:cs="Arial" w:eastAsia="Arial" w:hAnsi="Arial"/>
                  <w:sz w:val="17"/>
                  <w:szCs w:val="17"/>
                  <w:color w:val="0000EE"/>
                </w:rPr>
                <w:t>CERTAIN MATERIAL U.S. FEDERAL INCOME TAX CONSEQUENCES TO NON-U.S. HOLDERS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381"/>
        </w:trPr>
        <w:tc>
          <w:tcPr>
            <w:tcW w:w="134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8"/>
              </w:rPr>
            </w:pPr>
            <w:hyperlink w:anchor="page184">
              <w:r>
                <w:rPr>
                  <w:rFonts w:ascii="Arial" w:cs="Arial" w:eastAsia="Arial" w:hAnsi="Arial"/>
                  <w:sz w:val="17"/>
                  <w:szCs w:val="17"/>
                  <w:color w:val="0000EE"/>
                  <w:w w:val="98"/>
                </w:rPr>
                <w:t>UNDERWRITING</w:t>
              </w:r>
            </w:hyperlink>
          </w:p>
        </w:tc>
        <w:tc>
          <w:tcPr>
            <w:tcW w:w="6000" w:type="dxa"/>
            <w:vAlign w:val="bottom"/>
            <w:tcBorders>
              <w:top w:val="single" w:sz="8" w:color="0000EE"/>
            </w:tcBorders>
            <w:gridSpan w:val="15"/>
          </w:tcPr>
          <w:p>
            <w:pPr>
              <w:spacing w:after="0"/>
              <w:rPr>
                <w:sz w:val="24"/>
                <w:szCs w:val="24"/>
                <w:color w:val="auto"/>
              </w:rPr>
            </w:pPr>
          </w:p>
        </w:tc>
        <w:tc>
          <w:tcPr>
            <w:tcW w:w="3120" w:type="dxa"/>
            <w:vAlign w:val="bottom"/>
            <w:gridSpan w:val="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381"/>
        </w:trPr>
        <w:tc>
          <w:tcPr>
            <w:tcW w:w="1400" w:type="dxa"/>
            <w:vAlign w:val="bottom"/>
            <w:tcBorders>
              <w:bottom w:val="single" w:sz="8" w:color="0000EE"/>
            </w:tcBorders>
            <w:gridSpan w:val="7"/>
          </w:tcPr>
          <w:p>
            <w:pPr>
              <w:spacing w:after="0"/>
              <w:rPr>
                <w:rFonts w:ascii="Arial" w:cs="Arial" w:eastAsia="Arial" w:hAnsi="Arial"/>
                <w:sz w:val="17"/>
                <w:szCs w:val="17"/>
                <w:color w:val="0000EE"/>
                <w:w w:val="98"/>
              </w:rPr>
            </w:pPr>
            <w:hyperlink w:anchor="page192">
              <w:r>
                <w:rPr>
                  <w:rFonts w:ascii="Arial" w:cs="Arial" w:eastAsia="Arial" w:hAnsi="Arial"/>
                  <w:sz w:val="17"/>
                  <w:szCs w:val="17"/>
                  <w:color w:val="0000EE"/>
                  <w:w w:val="98"/>
                </w:rPr>
                <w:t>LEGAL MATTERS</w:t>
              </w:r>
            </w:hyperlink>
          </w:p>
        </w:tc>
        <w:tc>
          <w:tcPr>
            <w:tcW w:w="9060" w:type="dxa"/>
            <w:vAlign w:val="bottom"/>
            <w:gridSpan w:val="1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381"/>
        </w:trPr>
        <w:tc>
          <w:tcPr>
            <w:tcW w:w="800" w:type="dxa"/>
            <w:vAlign w:val="bottom"/>
            <w:tcBorders>
              <w:bottom w:val="single" w:sz="8" w:color="0000EE"/>
            </w:tcBorders>
          </w:tcPr>
          <w:p>
            <w:pPr>
              <w:spacing w:after="0"/>
              <w:rPr>
                <w:rFonts w:ascii="Arial" w:cs="Arial" w:eastAsia="Arial" w:hAnsi="Arial"/>
                <w:sz w:val="17"/>
                <w:szCs w:val="17"/>
                <w:color w:val="0000EE"/>
                <w:w w:val="98"/>
              </w:rPr>
            </w:pPr>
            <w:hyperlink w:anchor="page192">
              <w:r>
                <w:rPr>
                  <w:rFonts w:ascii="Arial" w:cs="Arial" w:eastAsia="Arial" w:hAnsi="Arial"/>
                  <w:sz w:val="17"/>
                  <w:szCs w:val="17"/>
                  <w:color w:val="0000EE"/>
                  <w:w w:val="98"/>
                </w:rPr>
                <w:t>EXPERTS</w:t>
              </w:r>
            </w:hyperlink>
          </w:p>
        </w:tc>
        <w:tc>
          <w:tcPr>
            <w:tcW w:w="9660" w:type="dxa"/>
            <w:vAlign w:val="bottom"/>
            <w:gridSpan w:val="21"/>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381"/>
        </w:trPr>
        <w:tc>
          <w:tcPr>
            <w:tcW w:w="4180" w:type="dxa"/>
            <w:vAlign w:val="bottom"/>
            <w:tcBorders>
              <w:bottom w:val="single" w:sz="8" w:color="0000EE"/>
            </w:tcBorders>
            <w:gridSpan w:val="17"/>
          </w:tcPr>
          <w:p>
            <w:pPr>
              <w:spacing w:after="0"/>
              <w:rPr>
                <w:rFonts w:ascii="Arial" w:cs="Arial" w:eastAsia="Arial" w:hAnsi="Arial"/>
                <w:sz w:val="17"/>
                <w:szCs w:val="17"/>
                <w:color w:val="0000EE"/>
                <w:w w:val="98"/>
              </w:rPr>
            </w:pPr>
            <w:hyperlink w:anchor="page192">
              <w:r>
                <w:rPr>
                  <w:rFonts w:ascii="Arial" w:cs="Arial" w:eastAsia="Arial" w:hAnsi="Arial"/>
                  <w:sz w:val="17"/>
                  <w:szCs w:val="17"/>
                  <w:color w:val="0000EE"/>
                  <w:w w:val="98"/>
                </w:rPr>
                <w:t>WHERE YOU CAN FIND ADDITIONAL INFORMATION</w:t>
              </w:r>
            </w:hyperlink>
          </w:p>
        </w:tc>
        <w:tc>
          <w:tcPr>
            <w:tcW w:w="628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381"/>
        </w:trPr>
        <w:tc>
          <w:tcPr>
            <w:tcW w:w="2900" w:type="dxa"/>
            <w:vAlign w:val="bottom"/>
            <w:tcBorders>
              <w:bottom w:val="single" w:sz="8" w:color="0000EE"/>
            </w:tcBorders>
            <w:gridSpan w:val="14"/>
          </w:tcPr>
          <w:p>
            <w:pPr>
              <w:spacing w:after="0"/>
              <w:rPr>
                <w:rFonts w:ascii="Arial" w:cs="Arial" w:eastAsia="Arial" w:hAnsi="Arial"/>
                <w:sz w:val="17"/>
                <w:szCs w:val="17"/>
                <w:color w:val="0000EE"/>
                <w:w w:val="98"/>
              </w:rPr>
            </w:pPr>
            <w:hyperlink w:anchor="page193">
              <w:r>
                <w:rPr>
                  <w:rFonts w:ascii="Arial" w:cs="Arial" w:eastAsia="Arial" w:hAnsi="Arial"/>
                  <w:sz w:val="17"/>
                  <w:szCs w:val="17"/>
                  <w:color w:val="0000EE"/>
                  <w:w w:val="98"/>
                </w:rPr>
                <w:t>INDEX TO FINANCIAL STATEMENTS</w:t>
              </w:r>
            </w:hyperlink>
          </w:p>
        </w:tc>
        <w:tc>
          <w:tcPr>
            <w:tcW w:w="7560" w:type="dxa"/>
            <w:vAlign w:val="bottom"/>
            <w:gridSpan w:val="8"/>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144145</wp:posOffset>
            </wp:positionV>
            <wp:extent cx="69297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55" w:lineRule="exact"/>
        <w:rPr>
          <w:sz w:val="20"/>
          <w:szCs w:val="20"/>
          <w:color w:val="auto"/>
        </w:rPr>
      </w:pPr>
    </w:p>
    <w:p>
      <w:pPr>
        <w:jc w:val="both"/>
        <w:ind w:left="160" w:right="560"/>
        <w:spacing w:after="0" w:line="246" w:lineRule="auto"/>
        <w:rPr>
          <w:sz w:val="20"/>
          <w:szCs w:val="20"/>
          <w:color w:val="auto"/>
        </w:rPr>
      </w:pPr>
      <w:r>
        <w:rPr>
          <w:rFonts w:ascii="Arial" w:cs="Arial" w:eastAsia="Arial" w:hAnsi="Arial"/>
          <w:sz w:val="17"/>
          <w:szCs w:val="17"/>
          <w:b w:val="1"/>
          <w:bCs w:val="1"/>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020"/>
          </w:cols>
          <w:pgMar w:left="320" w:top="456" w:right="5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our securities. Our business, financial condition, results of operations and prospects may have changed since that date.</w:t>
      </w:r>
    </w:p>
    <w:p>
      <w:pPr>
        <w:spacing w:after="0" w:line="145" w:lineRule="exact"/>
        <w:rPr>
          <w:sz w:val="20"/>
          <w:szCs w:val="20"/>
          <w:color w:val="auto"/>
        </w:rPr>
      </w:pPr>
    </w:p>
    <w:p>
      <w:pPr>
        <w:ind w:left="160" w:right="60"/>
        <w:spacing w:after="0" w:line="234"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our securities and the distribution of this prospectus outside of the United States.</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060"/>
          </w:cols>
          <w:pgMar w:left="320" w:top="456"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346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34200" cy="534606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313" w:lineRule="exact"/>
        <w:rPr>
          <w:sz w:val="20"/>
          <w:szCs w:val="20"/>
          <w:color w:val="auto"/>
        </w:rPr>
      </w:pPr>
    </w:p>
    <w:p>
      <w:pPr>
        <w:ind w:left="340"/>
        <w:spacing w:after="0" w:line="238"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of the information you should consider before investing in our securities. You should read this entire prospectus carefully, including the sections in this prospectus titled “Risk Factors,” “Management’s Discussion and Analysis of Financial Condition and Results of Operations,” and our financial statements and the related notes included elsewhere in this prospectus, before making an investment decision. Unless otherwise indicated, all references in this prospectus to “Vera,” the “company,” “we,” “our,” “us” or similar terms refer to Vera Therapeutics, Inc.</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77" w:lineRule="exact"/>
        <w:rPr>
          <w:sz w:val="20"/>
          <w:szCs w:val="20"/>
          <w:color w:val="auto"/>
        </w:rPr>
      </w:pPr>
    </w:p>
    <w:p>
      <w:pPr>
        <w:ind w:left="340"/>
        <w:spacing w:after="0" w:line="231" w:lineRule="auto"/>
        <w:rPr>
          <w:sz w:val="20"/>
          <w:szCs w:val="20"/>
          <w:color w:val="auto"/>
        </w:rPr>
      </w:pPr>
      <w:r>
        <w:rPr>
          <w:rFonts w:ascii="Arial" w:cs="Arial" w:eastAsia="Arial" w:hAnsi="Arial"/>
          <w:sz w:val="17"/>
          <w:szCs w:val="17"/>
          <w:color w:val="auto"/>
        </w:rPr>
        <w:t>We are a clinical stage biotechnology company focused on developing and commercializing transformative treatments for patients with serious immunological diseases. Our lead product candidate is atacicept, a fusion protein self-administered as a subcutaneous injection once weekly that blocks both B lymphocyte stimulator (BLyS) and a proliferation-inducing ligand (APRIL), which stimulate B cells and plasma cells to produce autoantibodies contributing to certain autoimmune diseases. We are conducting a Phase 2b clinical trial of atacicept in patients with immunoglobulin A nephropathy (IgAN), a disease with a high unmet medical need and no approved therapies. IgAN is a serious and progressive autoimmune disease of the kidney that is driven by the production of immunogenic galactose-deficient IgA1 (Gd-IgA1). IgAN patients with elevated Gd-IgA1 are at increased risk of kidney-related morbidity and mortality. As reported in a Phase 2a clinical trial of 16 patients conducted by Merck KGaA, Darmstadt, Germany, atacicept is the first and only molecule currently in development to demonstrate a 60% reduction in plasma Gd-IgA1 in IgAN patients (75 mg dose, n=4 at 24 weeks), which we believe can be disease modifying. We plan to initiate patient screening for our Phase 2b clinical trial in IgAN in the second quarter of 2021, and we expect to report topline results in the fourth quarter of 2022. In addition, we are evaluating additional diseases where atacicept’s reduction of autoantibodies may prove medically useful, including lupus nephritis (LN), a severe renal manifestation of systemic lupus erythematosus (SLE).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Product Candidate: Atacicept</w:t>
      </w:r>
    </w:p>
    <w:p>
      <w:pPr>
        <w:spacing w:after="0" w:line="91" w:lineRule="exact"/>
        <w:rPr>
          <w:sz w:val="20"/>
          <w:szCs w:val="20"/>
          <w:color w:val="auto"/>
        </w:rPr>
      </w:pPr>
    </w:p>
    <w:p>
      <w:pPr>
        <w:ind w:left="340" w:right="40"/>
        <w:spacing w:after="0" w:line="232" w:lineRule="auto"/>
        <w:rPr>
          <w:sz w:val="20"/>
          <w:szCs w:val="20"/>
          <w:color w:val="auto"/>
        </w:rPr>
      </w:pPr>
      <w:r>
        <w:rPr>
          <w:rFonts w:ascii="Arial" w:cs="Arial" w:eastAsia="Arial" w:hAnsi="Arial"/>
          <w:sz w:val="17"/>
          <w:szCs w:val="17"/>
          <w:color w:val="auto"/>
        </w:rPr>
        <w:t>Atacicept is a fully humanized fusion protein that impacts the B-cell pathway, which has well characterized implications in immunologic diseases. Specifically, atacicept contains the soluble transmembrane activator and calcium-modulating cyclophilin ligand interactor (TACI) receptor that binds to the cytokines BLyS and APRIL. These cytokines are members of the tumor necrosis factor family that promote B-cell survival and autoantibody production associated with IgAN and other immunologic diseases. Dual blockade of BlyS and APRIL has been shown to be more potent than blocking BLyS alone and has the benefit of targeting long-lived plasma cells, in addition to B cells, thus reducing autoantibody production, including Gd-IgA1, IgA, IgG, and IgM. Therefore, atacicept’s mechanism acts directly on the source of many immunologic diseases, including IgAN and LN. Through an integrated analysis of randomized, double-blind, placebo-controlled clinical trials in over 1,500 patients to date, atacicept has a well-characterized clinical safety profile.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Atacicept in IgAN</w:t>
      </w:r>
    </w:p>
    <w:p>
      <w:pPr>
        <w:spacing w:after="0" w:line="77" w:lineRule="exact"/>
        <w:rPr>
          <w:sz w:val="20"/>
          <w:szCs w:val="20"/>
          <w:color w:val="auto"/>
        </w:rPr>
      </w:pPr>
    </w:p>
    <w:p>
      <w:pPr>
        <w:ind w:left="340"/>
        <w:spacing w:after="0" w:line="248" w:lineRule="auto"/>
        <w:rPr>
          <w:sz w:val="20"/>
          <w:szCs w:val="20"/>
          <w:color w:val="auto"/>
        </w:rPr>
      </w:pPr>
      <w:r>
        <w:rPr>
          <w:rFonts w:ascii="Arial" w:cs="Arial" w:eastAsia="Arial" w:hAnsi="Arial"/>
          <w:sz w:val="16"/>
          <w:szCs w:val="16"/>
          <w:color w:val="auto"/>
        </w:rPr>
        <w:t>We estimate there are approximately 126,000 biopsy-confirmed IgAN patients in the United States, 136,000 in the European Union, and 130,000 in Japan. Up to 50% of patients diagnosed with IgAN develop end-stage renal disease (ESRD) within 20 years from initial diagnosis, requiring dialysis or kidney transplant. ESRD causes considerable morbidity and impact on patients’ lives and represents a significant health economic burden, which was estimated to be $49.2 billion in the United States in 2018. Despite this high level of morbidity, there are currently no approved treatments indicated for IgAN. The current standard of care consists of off-label use of renin-angiotensin-aldosterone system (RAAS) inhibitors, including angiotensin-converting enzyme (ACE) inhibitors and angiotensin II receptor blockers (ARBs), as well as steroids. We estimate the U.S. market opportunity for novel therapeutics in IgAN is approximately $4.0 billion to $8.0 billion annually, based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880"/>
          </w:cols>
          <w:pgMar w:left="320" w:top="456" w:right="6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269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34200" cy="526923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40" w:right="360"/>
        <w:spacing w:after="0" w:line="239" w:lineRule="auto"/>
        <w:rPr>
          <w:sz w:val="20"/>
          <w:szCs w:val="20"/>
          <w:color w:val="auto"/>
        </w:rPr>
      </w:pPr>
      <w:r>
        <w:rPr>
          <w:rFonts w:ascii="Arial" w:cs="Arial" w:eastAsia="Arial" w:hAnsi="Arial"/>
          <w:sz w:val="17"/>
          <w:szCs w:val="17"/>
          <w:color w:val="auto"/>
        </w:rPr>
        <w:t>on the disease prevalence and the segment of IgAN patients at high risk of progressing to ESRD. In Europe and Japan, we estimate the annual market opportunity for novel IgAN therapeutics to be $1.0 billion and $600 million, respectively.</w:t>
      </w:r>
    </w:p>
    <w:p>
      <w:pPr>
        <w:spacing w:after="0" w:line="146" w:lineRule="exact"/>
        <w:rPr>
          <w:sz w:val="20"/>
          <w:szCs w:val="20"/>
          <w:color w:val="auto"/>
        </w:rPr>
      </w:pPr>
    </w:p>
    <w:p>
      <w:pPr>
        <w:ind w:left="340" w:right="20"/>
        <w:spacing w:after="0" w:line="233" w:lineRule="auto"/>
        <w:rPr>
          <w:sz w:val="20"/>
          <w:szCs w:val="20"/>
          <w:color w:val="auto"/>
        </w:rPr>
      </w:pPr>
      <w:r>
        <w:rPr>
          <w:rFonts w:ascii="Arial" w:cs="Arial" w:eastAsia="Arial" w:hAnsi="Arial"/>
          <w:sz w:val="17"/>
          <w:szCs w:val="17"/>
          <w:color w:val="auto"/>
        </w:rPr>
        <w:t>Atacicept has been shown in clinical trials to reduce Gd-IgA1, which is central to the pathogenesis of IgAN, and therefore has the potential to be the first disease modifying therapy for IgAN due to its ability to act on core pathophysiology processes. Clinical trials of patients with IgAN have correlated higher serum levels of Gd-IgA1 with greater severity of IgAN disease, suggesting that reduction in serum levels of Gd-IgA1 may slow disease progression. As published in Kidney International, in a prospective study of 275 patients with IgAN, higher serum levels of aberrantly glycosylated IgA1 demonstrated correlation with a higher likelihood of developing progressive renal failure, as shown in Figure A below.</w:t>
      </w:r>
    </w:p>
    <w:p>
      <w:pPr>
        <w:spacing w:after="0" w:line="85" w:lineRule="exact"/>
        <w:rPr>
          <w:sz w:val="20"/>
          <w:szCs w:val="20"/>
          <w:color w:val="auto"/>
        </w:rPr>
      </w:pPr>
    </w:p>
    <w:p>
      <w:pPr>
        <w:ind w:left="2820"/>
        <w:spacing w:after="0"/>
        <w:rPr>
          <w:sz w:val="20"/>
          <w:szCs w:val="20"/>
          <w:color w:val="auto"/>
        </w:rPr>
      </w:pPr>
      <w:r>
        <w:rPr>
          <w:rFonts w:ascii="Arial" w:cs="Arial" w:eastAsia="Arial" w:hAnsi="Arial"/>
          <w:sz w:val="14"/>
          <w:szCs w:val="14"/>
          <w:b w:val="1"/>
          <w:bCs w:val="1"/>
          <w:color w:val="auto"/>
        </w:rPr>
        <w:t>Figure A: Renal Survival in IgAN patients with Four Quartile Serum Gd-IgA1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0" w:right="20"/>
        <w:spacing w:after="0" w:line="234" w:lineRule="auto"/>
        <w:rPr>
          <w:sz w:val="20"/>
          <w:szCs w:val="20"/>
          <w:color w:val="auto"/>
        </w:rPr>
      </w:pPr>
      <w:r>
        <w:rPr>
          <w:rFonts w:ascii="Arial" w:cs="Arial" w:eastAsia="Arial" w:hAnsi="Arial"/>
          <w:sz w:val="17"/>
          <w:szCs w:val="17"/>
          <w:color w:val="auto"/>
        </w:rPr>
        <w:t>We believe that atacicept’s mechanism has the potential to drive clinical success by measures designed to assess efficacy in IgAN and other immunologic diseases. BLyS inhibition has been clinically and commercially validated through the approval of Benlysta (belimumab) in both SLE and LN. Preclinical and clinical evidence supports that atacicept’s mechanism of dual inhibition of BLyS and APRIL may provide improved clinical outcomes by measures designed to assess efficacy compared to inhibiting either signal alone.</w:t>
      </w:r>
    </w:p>
    <w:p>
      <w:pPr>
        <w:spacing w:after="0" w:line="147" w:lineRule="exact"/>
        <w:rPr>
          <w:sz w:val="20"/>
          <w:szCs w:val="20"/>
          <w:color w:val="auto"/>
        </w:rPr>
      </w:pPr>
    </w:p>
    <w:p>
      <w:pPr>
        <w:ind w:left="340"/>
        <w:spacing w:after="0" w:line="233" w:lineRule="auto"/>
        <w:rPr>
          <w:sz w:val="20"/>
          <w:szCs w:val="20"/>
          <w:color w:val="auto"/>
        </w:rPr>
      </w:pPr>
      <w:r>
        <w:rPr>
          <w:rFonts w:ascii="Arial" w:cs="Arial" w:eastAsia="Arial" w:hAnsi="Arial"/>
          <w:sz w:val="17"/>
          <w:szCs w:val="17"/>
          <w:color w:val="auto"/>
        </w:rPr>
        <w:t>On October 29, 2020, we entered into a worldwide, exclusive license to atacicept from Ares Trading S.A. (Ares), an affiliate of Merck KGaA, Darmstadt, Germany, which advanced atacicept in randomized, double-blind, placebo-controlled clinical trials for several autoimmune diseases in over 1,500 patients. We believe the large and well-characterized clinical data set for atacicept provides a competitive advantage for us versus other emerging therapies in development, many of which are either earlier in development and have clinical profiles that are not as well characterized or are characterized by the well-known acute and chronic side effects of corticosteroids that limit their medical use.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880"/>
          </w:cols>
          <w:pgMar w:left="320" w:top="456" w:right="6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806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34200" cy="680656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ind w:left="340" w:right="140"/>
        <w:spacing w:after="0" w:line="236" w:lineRule="auto"/>
        <w:rPr>
          <w:sz w:val="20"/>
          <w:szCs w:val="20"/>
          <w:color w:val="auto"/>
        </w:rPr>
      </w:pPr>
      <w:r>
        <w:rPr>
          <w:rFonts w:ascii="Arial" w:cs="Arial" w:eastAsia="Arial" w:hAnsi="Arial"/>
          <w:sz w:val="17"/>
          <w:szCs w:val="17"/>
          <w:color w:val="auto"/>
        </w:rPr>
        <w:t>In IgAN, Ares conducted a randomized, double-blind, placebo-controlled Phase 2a clinical trial that enrolled 16 patients, known as JANUS. A clinically meaningful reduction in proteinuria was observed at week 24 in the atacicept group versus an increase in the placebo group, as shown in Figure B below.</w:t>
      </w:r>
    </w:p>
    <w:p>
      <w:pPr>
        <w:spacing w:after="0" w:line="45"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Figure B: Proteinuria at Week 24 in the Phase 2a JANUS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line="236" w:lineRule="auto"/>
        <w:rPr>
          <w:sz w:val="20"/>
          <w:szCs w:val="20"/>
          <w:color w:val="auto"/>
        </w:rPr>
      </w:pPr>
      <w:r>
        <w:rPr>
          <w:rFonts w:ascii="Arial" w:cs="Arial" w:eastAsia="Arial" w:hAnsi="Arial"/>
          <w:sz w:val="17"/>
          <w:szCs w:val="17"/>
          <w:color w:val="auto"/>
        </w:rPr>
        <w:t>Atacicept 75 mg also showed a 60% of Gd-IgA1 reduction at 24 weeks (as shown in Figure C below), the largest magnitude in reduction of Gd-IgA1 in IgAN patients by any molecule in development for IgAN. Clear dose-dependent reductions of serum Gd-IgA1 were observed over the 72-week period studied, with atacicept 75 mg reducing Gd-IgA1 significantly (60%) and durably.</w:t>
      </w:r>
    </w:p>
    <w:p>
      <w:pPr>
        <w:spacing w:after="0" w:line="138"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auto"/>
        </w:rPr>
        <w:t>Figure C: Serum Gd-IgA1 Levels Over Time in the Phase 2a JANUS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860"/>
          </w:cols>
          <w:pgMar w:left="320" w:top="456" w:right="7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074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4200" cy="50742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40" w:right="40"/>
        <w:spacing w:after="0" w:line="232" w:lineRule="auto"/>
        <w:rPr>
          <w:sz w:val="20"/>
          <w:szCs w:val="20"/>
          <w:color w:val="auto"/>
        </w:rPr>
      </w:pPr>
      <w:r>
        <w:rPr>
          <w:rFonts w:ascii="Arial" w:cs="Arial" w:eastAsia="Arial" w:hAnsi="Arial"/>
          <w:sz w:val="17"/>
          <w:szCs w:val="17"/>
          <w:color w:val="auto"/>
        </w:rPr>
        <w:t>We are conducting a global, randomized, double-blind, placebo-controlled Phase 2b clinical trial in IgAN, which we refer to as ORIGIN. The ORIGIN trial is designed to evaluate three subcutaneous weekly doses of atacicept (25 mg, 75 mg, and 150 mg) and their impact on the reduction of proteinuria as the primary endpoint. A significant reduction in proteinuria, as measured by urine protein to creatinine ratio (UPCR) in a 24-hour urine collection, is associated with improved renal outcomes in patients with IgAN. UPCR is a surrogate endpoint endorsed by the U.S. Food and Drug Administration (FDA) for primary glomerular diseases associated with significant proteinuria, including IgAN. The Phase 2b ORIGIN trial is powered to demonstrate a statistically significant difference between atacicept and placebo in decrease of proteinuria. Secondary endpoints include the difference in kidney function between treated and placebo patients as measured by estimated glomerular filtration rate and reduction in Gd-IgA1. We plan to initiate patient screening for our Phase 2b clinical trial in the second quarter of 2021 and we expect to report topline results from ORIGIN in the fourth quarter of 2022.</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Atacicept in LN</w:t>
      </w:r>
    </w:p>
    <w:p>
      <w:pPr>
        <w:spacing w:after="0" w:line="77" w:lineRule="exact"/>
        <w:rPr>
          <w:sz w:val="20"/>
          <w:szCs w:val="20"/>
          <w:color w:val="auto"/>
        </w:rPr>
      </w:pPr>
    </w:p>
    <w:p>
      <w:pPr>
        <w:ind w:left="340"/>
        <w:spacing w:after="0" w:line="231" w:lineRule="auto"/>
        <w:rPr>
          <w:sz w:val="20"/>
          <w:szCs w:val="20"/>
          <w:color w:val="auto"/>
        </w:rPr>
      </w:pPr>
      <w:r>
        <w:rPr>
          <w:rFonts w:ascii="Arial" w:cs="Arial" w:eastAsia="Arial" w:hAnsi="Arial"/>
          <w:sz w:val="17"/>
          <w:szCs w:val="17"/>
          <w:color w:val="auto"/>
        </w:rPr>
        <w:t>We are evaluating further development of atacicept as a potential treatment for patients with LN, a severe renal manifestation of SLE. We estimate that there are approximately 110,000 LN patients in the United States, 69,000 in the European Union, and 22,000 in Japan. We estimate the market for novel LN therapeutics annually to be approximately $2.0 to $5.0 billion, $600 million, and $200 million in United States, Europe, and Japan, respectively. Significant unmet need for improved efficacy persists for these patients despite the recent approval of the first two LN-specific therapies. Fewer than half of patients treated for LN have a complete response to therapy, and among patients without a complete response, over half will have non-functioning kidneys within five years. Benlysta (belimumab), a BlyS-only inhibitor, is one of the two therapies now approved for patients with LN. Both BlyS and APRIL levels are increased in patients with SLE, suggesting that dual inhibition by atacicept may be more potent than blocking BLyS alone and has the benefit of targeting plasma cells in addition to B cells. Merck KGaA, Darmstadt, Germany previously initiated a randomized, double-blind, placebo-controlled Phase 2/3 clinical trial of atacicept in LN, the APRIL-LN trial, designed to evaluate the efficacy and safety of atacicept at 150 mg twice weekly for four weeks - then weekly - in patients with active LN. However, this trial was terminated early due to two subjects developing hypogammaglobulinemia with induction therapy (MMF and CS) which continued to worsen when initiating atacicept and subsequently developed pneumonia. In a prior Phase 2 clinical trial of atacicept in SLE also conducted by Merck KGaA, Darmstadt, Germany, despite missing its primary endpoint of improved SLE responder index 4 (SRI-4) at week 24, in the broader SLE study population, atacicept achieved positive clinical data on multiple measures within the pre-specified High Disease Activity patient segment (defined as Systemic Lupus Erythematosus Disease Activity Index 2000 (SLEDAI-2K) ³ 10 at screening), including reduction of renal flares, which we believe supports atacicept’s applicability in LN. Because both preclinical and clinical evidence suggests atacicept’s dual inhibition of BLyS and APRIL may provide improved clinical outcomes, measured by endpoints designed to assess efficacy, than inhibiting either signal alone, we believe there is a strong rationale to conduct a clinical trial of atacicept in LN. We intend to discuss our development plans for LN with the FDA and obtain feedback in the second half of 2021 and expect to initiate a Phase 2b or Phase 3 clinical trial in 2022.</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Patent Portfolio; Potential Market Exclusivity</w:t>
      </w:r>
    </w:p>
    <w:p>
      <w:pPr>
        <w:spacing w:after="0" w:line="91" w:lineRule="exact"/>
        <w:rPr>
          <w:sz w:val="20"/>
          <w:szCs w:val="20"/>
          <w:color w:val="auto"/>
        </w:rPr>
      </w:pPr>
    </w:p>
    <w:p>
      <w:pPr>
        <w:ind w:left="340"/>
        <w:spacing w:after="0" w:line="233" w:lineRule="auto"/>
        <w:rPr>
          <w:sz w:val="20"/>
          <w:szCs w:val="20"/>
          <w:color w:val="auto"/>
        </w:rPr>
      </w:pPr>
      <w:r>
        <w:rPr>
          <w:rFonts w:ascii="Arial" w:cs="Arial" w:eastAsia="Arial" w:hAnsi="Arial"/>
          <w:sz w:val="17"/>
          <w:szCs w:val="17"/>
          <w:color w:val="auto"/>
        </w:rPr>
        <w:t>As of April 30, 2021, our licensed patent portfolio related to atacicept contains approximately 15 issued U.S. patents, as well as certain foreign counterparts of a subset of these patents in several foreign countries, including countries within the European Patent Convention and the Eurasian Patent Organization. Because atacicept is a biologic, marketing approval would also provide 12 years of market exclusivity from the approval date of a Biologics License Application in the United States. Additionally, we plan to seek orphan drug designation for atacicept in IgAN from the FDA and European Medicines Agency (EMA), which would allow us to obtain regulatory exclusivity protection from the approval date for seven years in the United States and 10 years in the European Union.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880"/>
          </w:cols>
          <w:pgMar w:left="320" w:top="456"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1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34200" cy="57111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Principles and Strategy</w:t>
      </w:r>
    </w:p>
    <w:p>
      <w:pPr>
        <w:spacing w:after="0" w:line="77" w:lineRule="exact"/>
        <w:rPr>
          <w:sz w:val="20"/>
          <w:szCs w:val="20"/>
          <w:color w:val="auto"/>
        </w:rPr>
      </w:pPr>
    </w:p>
    <w:p>
      <w:pPr>
        <w:ind w:left="340" w:right="200"/>
        <w:spacing w:after="0" w:line="236" w:lineRule="auto"/>
        <w:rPr>
          <w:sz w:val="20"/>
          <w:szCs w:val="20"/>
          <w:color w:val="auto"/>
        </w:rPr>
      </w:pPr>
      <w:r>
        <w:rPr>
          <w:rFonts w:ascii="Arial" w:cs="Arial" w:eastAsia="Arial" w:hAnsi="Arial"/>
          <w:sz w:val="17"/>
          <w:szCs w:val="17"/>
          <w:color w:val="auto"/>
        </w:rPr>
        <w:t>Our goal is to develop and commercialize transformative treatments for patients suffering from severe immunological diseases. We believe the successful translation of biomedical science into innovative therapeutic products for patients with immunological diseases will enable outsized growth over the next decade and beyond. Specifically, our strategy is based on the following business principles:</w:t>
      </w:r>
    </w:p>
    <w:p>
      <w:pPr>
        <w:spacing w:after="0" w:line="105" w:lineRule="exact"/>
        <w:rPr>
          <w:sz w:val="20"/>
          <w:szCs w:val="20"/>
          <w:color w:val="auto"/>
        </w:rPr>
      </w:pPr>
    </w:p>
    <w:p>
      <w:pPr>
        <w:ind w:left="1160" w:hanging="397"/>
        <w:spacing w:after="0"/>
        <w:tabs>
          <w:tab w:leader="none" w:pos="1160" w:val="left"/>
        </w:tabs>
        <w:numPr>
          <w:ilvl w:val="0"/>
          <w:numId w:val="3"/>
        </w:numPr>
        <w:rPr>
          <w:rFonts w:ascii="MS PGothic" w:cs="MS PGothic" w:eastAsia="MS PGothic" w:hAnsi="MS PGothic"/>
          <w:sz w:val="12"/>
          <w:szCs w:val="12"/>
          <w:color w:val="auto"/>
        </w:rPr>
      </w:pPr>
      <w:r>
        <w:rPr>
          <w:rFonts w:ascii="Arial" w:cs="Arial" w:eastAsia="Arial" w:hAnsi="Arial"/>
          <w:sz w:val="17"/>
          <w:szCs w:val="17"/>
          <w:color w:val="auto"/>
        </w:rPr>
        <w:t>Develop disease modifying medicines to improve patients’ lives.</w:t>
      </w:r>
    </w:p>
    <w:p>
      <w:pPr>
        <w:spacing w:after="0" w:line="31" w:lineRule="exact"/>
        <w:rPr>
          <w:rFonts w:ascii="MS PGothic" w:cs="MS PGothic" w:eastAsia="MS PGothic" w:hAnsi="MS PGothic"/>
          <w:sz w:val="12"/>
          <w:szCs w:val="12"/>
          <w:color w:val="auto"/>
        </w:rPr>
      </w:pPr>
    </w:p>
    <w:p>
      <w:pPr>
        <w:ind w:left="1160" w:hanging="397"/>
        <w:spacing w:after="0"/>
        <w:tabs>
          <w:tab w:leader="none" w:pos="1160" w:val="left"/>
        </w:tabs>
        <w:numPr>
          <w:ilvl w:val="0"/>
          <w:numId w:val="3"/>
        </w:numPr>
        <w:rPr>
          <w:rFonts w:ascii="MS PGothic" w:cs="MS PGothic" w:eastAsia="MS PGothic" w:hAnsi="MS PGothic"/>
          <w:sz w:val="12"/>
          <w:szCs w:val="12"/>
          <w:color w:val="auto"/>
        </w:rPr>
      </w:pPr>
      <w:r>
        <w:rPr>
          <w:rFonts w:ascii="Arial" w:cs="Arial" w:eastAsia="Arial" w:hAnsi="Arial"/>
          <w:sz w:val="17"/>
          <w:szCs w:val="17"/>
          <w:color w:val="auto"/>
        </w:rPr>
        <w:t>Establish clear line-of-sight to successful products.</w:t>
      </w:r>
    </w:p>
    <w:p>
      <w:pPr>
        <w:spacing w:after="0" w:line="31" w:lineRule="exact"/>
        <w:rPr>
          <w:rFonts w:ascii="MS PGothic" w:cs="MS PGothic" w:eastAsia="MS PGothic" w:hAnsi="MS PGothic"/>
          <w:sz w:val="12"/>
          <w:szCs w:val="12"/>
          <w:color w:val="auto"/>
        </w:rPr>
      </w:pPr>
    </w:p>
    <w:p>
      <w:pPr>
        <w:ind w:left="1160" w:hanging="397"/>
        <w:spacing w:after="0"/>
        <w:tabs>
          <w:tab w:leader="none" w:pos="1160" w:val="left"/>
        </w:tabs>
        <w:numPr>
          <w:ilvl w:val="0"/>
          <w:numId w:val="3"/>
        </w:numPr>
        <w:rPr>
          <w:rFonts w:ascii="MS PGothic" w:cs="MS PGothic" w:eastAsia="MS PGothic" w:hAnsi="MS PGothic"/>
          <w:sz w:val="12"/>
          <w:szCs w:val="12"/>
          <w:color w:val="auto"/>
        </w:rPr>
      </w:pPr>
      <w:r>
        <w:rPr>
          <w:rFonts w:ascii="Arial" w:cs="Arial" w:eastAsia="Arial" w:hAnsi="Arial"/>
          <w:sz w:val="17"/>
          <w:szCs w:val="17"/>
          <w:color w:val="auto"/>
        </w:rPr>
        <w:t>Build a leading biotech company that delivers innovative medicines to patients.</w:t>
      </w:r>
    </w:p>
    <w:p>
      <w:pPr>
        <w:spacing w:after="0" w:line="152" w:lineRule="exact"/>
        <w:rPr>
          <w:sz w:val="20"/>
          <w:szCs w:val="20"/>
          <w:color w:val="auto"/>
        </w:rPr>
      </w:pPr>
    </w:p>
    <w:p>
      <w:pPr>
        <w:ind w:left="340" w:right="100"/>
        <w:spacing w:after="0" w:line="236" w:lineRule="auto"/>
        <w:rPr>
          <w:sz w:val="20"/>
          <w:szCs w:val="20"/>
          <w:color w:val="auto"/>
        </w:rPr>
      </w:pPr>
      <w:r>
        <w:rPr>
          <w:rFonts w:ascii="Arial" w:cs="Arial" w:eastAsia="Arial" w:hAnsi="Arial"/>
          <w:sz w:val="17"/>
          <w:szCs w:val="17"/>
          <w:color w:val="auto"/>
        </w:rPr>
        <w:t>These principles have guided us to the successful in-licensing of atacicept from Merck KGaA, Darmstadt, Germany with worldwide rights for development and commercialization in all indications. We take a gated-capital raise approach and scale product candidate investment and exposure in close step with key development milestones to ensure high return on development costs.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key elements of our strategy to achieve our goal include:</w:t>
      </w:r>
    </w:p>
    <w:p>
      <w:pPr>
        <w:spacing w:after="0" w:line="192" w:lineRule="exact"/>
        <w:rPr>
          <w:sz w:val="20"/>
          <w:szCs w:val="20"/>
          <w:color w:val="auto"/>
        </w:rPr>
      </w:pPr>
    </w:p>
    <w:p>
      <w:pPr>
        <w:ind w:left="1160" w:hanging="397"/>
        <w:spacing w:after="0"/>
        <w:tabs>
          <w:tab w:leader="none" w:pos="1160" w:val="left"/>
        </w:tabs>
        <w:numPr>
          <w:ilvl w:val="0"/>
          <w:numId w:val="4"/>
        </w:numPr>
        <w:rPr>
          <w:rFonts w:ascii="MS PGothic" w:cs="MS PGothic" w:eastAsia="MS PGothic" w:hAnsi="MS PGothic"/>
          <w:sz w:val="12"/>
          <w:szCs w:val="12"/>
          <w:color w:val="auto"/>
        </w:rPr>
      </w:pPr>
      <w:r>
        <w:rPr>
          <w:rFonts w:ascii="Arial" w:cs="Arial" w:eastAsia="Arial" w:hAnsi="Arial"/>
          <w:sz w:val="17"/>
          <w:szCs w:val="17"/>
          <w:color w:val="auto"/>
        </w:rPr>
        <w:t>Complete global development of atacicept in IgAN.</w:t>
      </w:r>
    </w:p>
    <w:p>
      <w:pPr>
        <w:spacing w:after="0" w:line="31" w:lineRule="exact"/>
        <w:rPr>
          <w:rFonts w:ascii="MS PGothic" w:cs="MS PGothic" w:eastAsia="MS PGothic" w:hAnsi="MS PGothic"/>
          <w:sz w:val="12"/>
          <w:szCs w:val="12"/>
          <w:color w:val="auto"/>
        </w:rPr>
      </w:pPr>
    </w:p>
    <w:p>
      <w:pPr>
        <w:ind w:left="1160" w:hanging="397"/>
        <w:spacing w:after="0"/>
        <w:tabs>
          <w:tab w:leader="none" w:pos="1160" w:val="left"/>
        </w:tabs>
        <w:numPr>
          <w:ilvl w:val="0"/>
          <w:numId w:val="4"/>
        </w:numPr>
        <w:rPr>
          <w:rFonts w:ascii="MS PGothic" w:cs="MS PGothic" w:eastAsia="MS PGothic" w:hAnsi="MS PGothic"/>
          <w:sz w:val="12"/>
          <w:szCs w:val="12"/>
          <w:color w:val="auto"/>
        </w:rPr>
      </w:pPr>
      <w:r>
        <w:rPr>
          <w:rFonts w:ascii="Arial" w:cs="Arial" w:eastAsia="Arial" w:hAnsi="Arial"/>
          <w:sz w:val="17"/>
          <w:szCs w:val="17"/>
          <w:color w:val="auto"/>
        </w:rPr>
        <w:t>Advance atacicept in LN.</w:t>
      </w:r>
    </w:p>
    <w:p>
      <w:pPr>
        <w:spacing w:after="0" w:line="31" w:lineRule="exact"/>
        <w:rPr>
          <w:rFonts w:ascii="MS PGothic" w:cs="MS PGothic" w:eastAsia="MS PGothic" w:hAnsi="MS PGothic"/>
          <w:sz w:val="12"/>
          <w:szCs w:val="12"/>
          <w:color w:val="auto"/>
        </w:rPr>
      </w:pPr>
    </w:p>
    <w:p>
      <w:pPr>
        <w:ind w:left="1160" w:hanging="397"/>
        <w:spacing w:after="0"/>
        <w:tabs>
          <w:tab w:leader="none" w:pos="1160" w:val="left"/>
        </w:tabs>
        <w:numPr>
          <w:ilvl w:val="0"/>
          <w:numId w:val="4"/>
        </w:numPr>
        <w:rPr>
          <w:rFonts w:ascii="MS PGothic" w:cs="MS PGothic" w:eastAsia="MS PGothic" w:hAnsi="MS PGothic"/>
          <w:sz w:val="12"/>
          <w:szCs w:val="12"/>
          <w:color w:val="auto"/>
        </w:rPr>
      </w:pPr>
      <w:r>
        <w:rPr>
          <w:rFonts w:ascii="Arial" w:cs="Arial" w:eastAsia="Arial" w:hAnsi="Arial"/>
          <w:sz w:val="17"/>
          <w:szCs w:val="17"/>
          <w:color w:val="auto"/>
        </w:rPr>
        <w:t>Explore additional disease areas where atacicept holds significant therapeutic promise.</w:t>
      </w:r>
    </w:p>
    <w:p>
      <w:pPr>
        <w:spacing w:after="0" w:line="31" w:lineRule="exact"/>
        <w:rPr>
          <w:rFonts w:ascii="MS PGothic" w:cs="MS PGothic" w:eastAsia="MS PGothic" w:hAnsi="MS PGothic"/>
          <w:sz w:val="12"/>
          <w:szCs w:val="12"/>
          <w:color w:val="auto"/>
        </w:rPr>
      </w:pPr>
    </w:p>
    <w:p>
      <w:pPr>
        <w:ind w:left="1160" w:hanging="397"/>
        <w:spacing w:after="0"/>
        <w:tabs>
          <w:tab w:leader="none" w:pos="1160" w:val="left"/>
        </w:tabs>
        <w:numPr>
          <w:ilvl w:val="0"/>
          <w:numId w:val="4"/>
        </w:numPr>
        <w:rPr>
          <w:rFonts w:ascii="MS PGothic" w:cs="MS PGothic" w:eastAsia="MS PGothic" w:hAnsi="MS PGothic"/>
          <w:sz w:val="12"/>
          <w:szCs w:val="12"/>
          <w:color w:val="auto"/>
        </w:rPr>
      </w:pPr>
      <w:r>
        <w:rPr>
          <w:rFonts w:ascii="Arial" w:cs="Arial" w:eastAsia="Arial" w:hAnsi="Arial"/>
          <w:sz w:val="17"/>
          <w:szCs w:val="17"/>
          <w:color w:val="auto"/>
        </w:rPr>
        <w:t>Build and scale organizational capabilities to support commercialization of atacicept.</w:t>
      </w:r>
    </w:p>
    <w:p>
      <w:pPr>
        <w:spacing w:after="0" w:line="31" w:lineRule="exact"/>
        <w:rPr>
          <w:rFonts w:ascii="MS PGothic" w:cs="MS PGothic" w:eastAsia="MS PGothic" w:hAnsi="MS PGothic"/>
          <w:sz w:val="12"/>
          <w:szCs w:val="12"/>
          <w:color w:val="auto"/>
        </w:rPr>
      </w:pPr>
    </w:p>
    <w:p>
      <w:pPr>
        <w:ind w:left="1160" w:hanging="397"/>
        <w:spacing w:after="0"/>
        <w:tabs>
          <w:tab w:leader="none" w:pos="1160" w:val="left"/>
        </w:tabs>
        <w:numPr>
          <w:ilvl w:val="0"/>
          <w:numId w:val="4"/>
        </w:numPr>
        <w:rPr>
          <w:rFonts w:ascii="MS PGothic" w:cs="MS PGothic" w:eastAsia="MS PGothic" w:hAnsi="MS PGothic"/>
          <w:sz w:val="12"/>
          <w:szCs w:val="12"/>
          <w:color w:val="auto"/>
        </w:rPr>
      </w:pPr>
      <w:r>
        <w:rPr>
          <w:rFonts w:ascii="Arial" w:cs="Arial" w:eastAsia="Arial" w:hAnsi="Arial"/>
          <w:sz w:val="17"/>
          <w:szCs w:val="17"/>
          <w:color w:val="auto"/>
        </w:rPr>
        <w:t>Expand our pipeline by acquiring or in-licensing product candidates for immunologic diseases with unmet needs.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Team</w:t>
      </w:r>
    </w:p>
    <w:p>
      <w:pPr>
        <w:spacing w:after="0" w:line="91" w:lineRule="exact"/>
        <w:rPr>
          <w:sz w:val="20"/>
          <w:szCs w:val="20"/>
          <w:color w:val="auto"/>
        </w:rPr>
      </w:pPr>
    </w:p>
    <w:p>
      <w:pPr>
        <w:ind w:left="340"/>
        <w:spacing w:after="0" w:line="231" w:lineRule="auto"/>
        <w:rPr>
          <w:sz w:val="20"/>
          <w:szCs w:val="20"/>
          <w:color w:val="auto"/>
        </w:rPr>
      </w:pPr>
      <w:r>
        <w:rPr>
          <w:rFonts w:ascii="Arial" w:cs="Arial" w:eastAsia="Arial" w:hAnsi="Arial"/>
          <w:sz w:val="17"/>
          <w:szCs w:val="17"/>
          <w:color w:val="auto"/>
        </w:rPr>
        <w:t>We were founded and are led by a team of experienced drug development professionals who have proven track records in clinical and commercial development and have led or been involved in the approvals of 10 medicines from Gilead Sciences. Inc. (Gilead) and Genentech, Inc. (Genentech), including numerous drugs within Gilead’s multi-billion blockbuster HIV and HCV franchises. Our Chief Executive Officer, Marshall Fordyce, M.D., brings more than 15 years of experience leading teams in clinical translation, development, and commercialization of new treatments. Earlier in his career, Dr. Fordyce served as Gilead’s Senior Director of Clinical Research where he contributed to seven new drug approvals and served as project lead for Gilead’s tenofovir alafenamide development program that led to five commercial products, including Genvoya and Descovy, which collectively generated over $12.0 billion in worldwide sales in 2019. Our senior management team also includes: Chief Medical Officer, Celia Lin, M.D., who joined from Genentech and was previously at Amgen Inc., where she led Phase 3 global trial execution in various therapeutic areas, as well as a regulatory filing in an orphan disease; Chief Development Officer, Joanne Curley, Ph.D., who was formerly head of Portfolio Management at Gilead; Chief Business Officer, Lauren Frenz, who held positions of increasing responsibility within Gilead’s commercial organization; Chief Financial Officer, Jonathan Wolter, who is a partner at FLG Partners, LLC, and has served as Chief Financial Officer for multiple public and private companies; Senior Vice President, Development Operations, Tom Doan, who was formerly Executive Director of Clinical Operations and Therapeutic Area Head of Inflammation and Respiratory at Gilead; Senior Vice President and Head of Product Development and Manufacturing, Tad Thomas, Ph.D., who was formerly Associate Vice President, Technical Operations at Codexis, Inc. and held previous manufacturing leadership roles at Bayer HealthCare LLC and other biopharmaceutical companies; and Senior Vice President, Finance and Chief Accounting Officer, Joseph Young, who was formerly Senior Vice President, Finance and Treasurer at Plexxikon Inc.</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Leading Life Sciences Investors</w:t>
      </w:r>
    </w:p>
    <w:p>
      <w:pPr>
        <w:spacing w:after="0" w:line="77" w:lineRule="exact"/>
        <w:rPr>
          <w:sz w:val="20"/>
          <w:szCs w:val="20"/>
          <w:color w:val="auto"/>
        </w:rPr>
      </w:pPr>
    </w:p>
    <w:p>
      <w:pPr>
        <w:ind w:left="340" w:right="720"/>
        <w:spacing w:after="0" w:line="239" w:lineRule="auto"/>
        <w:rPr>
          <w:sz w:val="20"/>
          <w:szCs w:val="20"/>
          <w:color w:val="auto"/>
        </w:rPr>
      </w:pPr>
      <w:r>
        <w:rPr>
          <w:rFonts w:ascii="Arial" w:cs="Arial" w:eastAsia="Arial" w:hAnsi="Arial"/>
          <w:sz w:val="17"/>
          <w:szCs w:val="17"/>
          <w:color w:val="auto"/>
        </w:rPr>
        <w:t>In conjunction with the license agreement with Ares, we completed an approximately $80.0 million Series C redeemable convertible preferred stock financing led by Abingworth LLP. Investors included Sofinnova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00"/>
          </w:cols>
          <w:pgMar w:left="320" w:top="456" w:right="6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09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4200" cy="50996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40" w:right="200"/>
        <w:spacing w:after="0" w:line="239" w:lineRule="auto"/>
        <w:rPr>
          <w:sz w:val="20"/>
          <w:szCs w:val="20"/>
          <w:color w:val="auto"/>
        </w:rPr>
      </w:pPr>
      <w:r>
        <w:rPr>
          <w:rFonts w:ascii="Arial" w:cs="Arial" w:eastAsia="Arial" w:hAnsi="Arial"/>
          <w:sz w:val="17"/>
          <w:szCs w:val="17"/>
          <w:color w:val="auto"/>
        </w:rPr>
        <w:t>Investments, Longitude Capital, Fidelity Management &amp; Research Company LLC, Surveyor Capital (a Citadel company), Octagon Capital, Kleiner Perkins, GV (formerly Google Ventures), and Alexandria Venture Investments.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w:t>
      </w:r>
    </w:p>
    <w:p>
      <w:pPr>
        <w:spacing w:after="0" w:line="77" w:lineRule="exact"/>
        <w:rPr>
          <w:sz w:val="20"/>
          <w:szCs w:val="20"/>
          <w:color w:val="auto"/>
        </w:rPr>
      </w:pPr>
    </w:p>
    <w:p>
      <w:pPr>
        <w:ind w:left="340" w:right="120"/>
        <w:spacing w:after="0" w:line="236" w:lineRule="auto"/>
        <w:rPr>
          <w:sz w:val="20"/>
          <w:szCs w:val="20"/>
          <w:color w:val="auto"/>
        </w:rPr>
      </w:pPr>
      <w:r>
        <w:rPr>
          <w:rFonts w:ascii="Arial" w:cs="Arial" w:eastAsia="Arial" w:hAnsi="Arial"/>
          <w:sz w:val="17"/>
          <w:szCs w:val="17"/>
          <w:color w:val="auto"/>
        </w:rPr>
        <w:t>Investing in our securities involves substantial risk. The risks, described under the section titled “Risk Factors” immediately following this prospectus summary, may cause us to not realize the full benefits of our strengths or may cause us to be unable to successfully execute all or part of our strategy. Some of the more significant risks and challenges include, without limitation, the following:</w:t>
      </w:r>
    </w:p>
    <w:p>
      <w:pPr>
        <w:spacing w:after="0" w:line="186" w:lineRule="exact"/>
        <w:rPr>
          <w:sz w:val="20"/>
          <w:szCs w:val="20"/>
          <w:color w:val="auto"/>
        </w:rPr>
      </w:pPr>
    </w:p>
    <w:p>
      <w:pPr>
        <w:ind w:left="1160" w:right="120" w:hanging="397"/>
        <w:spacing w:after="0" w:line="259" w:lineRule="auto"/>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6"/>
          <w:szCs w:val="16"/>
          <w:color w:val="auto"/>
        </w:rPr>
        <w:t>We have not completed any clinical trials for our lead product candidate, atacicept, and have no products approved for commercial sale, which may make it difficult for you to evaluate our current business and predict our future success and viability.</w:t>
      </w:r>
    </w:p>
    <w:p>
      <w:pPr>
        <w:spacing w:after="0" w:line="17" w:lineRule="exact"/>
        <w:rPr>
          <w:rFonts w:ascii="MS PGothic" w:cs="MS PGothic" w:eastAsia="MS PGothic" w:hAnsi="MS PGothic"/>
          <w:sz w:val="12"/>
          <w:szCs w:val="12"/>
          <w:color w:val="auto"/>
        </w:rPr>
      </w:pPr>
    </w:p>
    <w:p>
      <w:pPr>
        <w:ind w:left="1160" w:hanging="397"/>
        <w:spacing w:after="0"/>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7"/>
          <w:szCs w:val="17"/>
          <w:color w:val="auto"/>
        </w:rPr>
        <w:t>We have incurred net losses since inception, and we expect to continue to incur net losses for the foreseeable future.</w:t>
      </w:r>
    </w:p>
    <w:p>
      <w:pPr>
        <w:spacing w:after="0" w:line="31" w:lineRule="exact"/>
        <w:rPr>
          <w:rFonts w:ascii="MS PGothic" w:cs="MS PGothic" w:eastAsia="MS PGothic" w:hAnsi="MS PGothic"/>
          <w:sz w:val="12"/>
          <w:szCs w:val="12"/>
          <w:color w:val="auto"/>
        </w:rPr>
      </w:pPr>
    </w:p>
    <w:p>
      <w:pPr>
        <w:ind w:left="1160" w:hanging="397"/>
        <w:spacing w:after="0"/>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7"/>
          <w:szCs w:val="17"/>
          <w:color w:val="auto"/>
        </w:rPr>
        <w:t>Even if this offering is successful, we will require substantial additional capital to finance our operations.</w:t>
      </w:r>
    </w:p>
    <w:p>
      <w:pPr>
        <w:spacing w:after="0" w:line="31" w:lineRule="exact"/>
        <w:rPr>
          <w:rFonts w:ascii="MS PGothic" w:cs="MS PGothic" w:eastAsia="MS PGothic" w:hAnsi="MS PGothic"/>
          <w:sz w:val="12"/>
          <w:szCs w:val="12"/>
          <w:color w:val="auto"/>
        </w:rPr>
      </w:pPr>
    </w:p>
    <w:p>
      <w:pPr>
        <w:ind w:left="1160" w:right="80" w:hanging="397"/>
        <w:spacing w:after="0" w:line="234" w:lineRule="auto"/>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7"/>
          <w:szCs w:val="17"/>
          <w:color w:val="auto"/>
        </w:rPr>
        <w:t>We are substantially dependent on the success of our only product candidate, atacicept, which is currently in the early stages of clinical development. If we are unable to complete development of, obtain regulatory approval for and commercialize atacicept in one or more indications and in a timely manner, our business, financial condition, results of operations and prospects will be significantly harmed.</w:t>
      </w:r>
    </w:p>
    <w:p>
      <w:pPr>
        <w:spacing w:after="0" w:line="26" w:lineRule="exact"/>
        <w:rPr>
          <w:rFonts w:ascii="MS PGothic" w:cs="MS PGothic" w:eastAsia="MS PGothic" w:hAnsi="MS PGothic"/>
          <w:sz w:val="12"/>
          <w:szCs w:val="12"/>
          <w:color w:val="auto"/>
        </w:rPr>
      </w:pPr>
    </w:p>
    <w:p>
      <w:pPr>
        <w:ind w:left="1160" w:right="280" w:hanging="397"/>
        <w:spacing w:after="0" w:line="236" w:lineRule="auto"/>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7"/>
          <w:szCs w:val="17"/>
          <w:color w:val="auto"/>
        </w:rPr>
        <w:t>Enrollment and retention of patients in clinical trials is an expensive and time-consuming process and could be made more difficult or rendered impossible by multiple factors outside our control, including difficulties in identifying patients with IgAN and significant competition for recruiting such patients in clinical trials.</w:t>
      </w:r>
    </w:p>
    <w:p>
      <w:pPr>
        <w:spacing w:after="0" w:line="25" w:lineRule="exact"/>
        <w:rPr>
          <w:rFonts w:ascii="MS PGothic" w:cs="MS PGothic" w:eastAsia="MS PGothic" w:hAnsi="MS PGothic"/>
          <w:sz w:val="12"/>
          <w:szCs w:val="12"/>
          <w:color w:val="auto"/>
        </w:rPr>
      </w:pPr>
    </w:p>
    <w:p>
      <w:pPr>
        <w:ind w:left="1160" w:right="120" w:hanging="397"/>
        <w:spacing w:after="0" w:line="234" w:lineRule="auto"/>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7"/>
          <w:szCs w:val="17"/>
          <w:color w:val="auto"/>
        </w:rPr>
        <w:t>The incidence and prevalence for target patient populations of atacicept in specific indications are based on estimates and third-party sources. If the market opportunities for atacicept,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26" w:lineRule="exact"/>
        <w:rPr>
          <w:rFonts w:ascii="MS PGothic" w:cs="MS PGothic" w:eastAsia="MS PGothic" w:hAnsi="MS PGothic"/>
          <w:sz w:val="12"/>
          <w:szCs w:val="12"/>
          <w:color w:val="auto"/>
        </w:rPr>
      </w:pPr>
    </w:p>
    <w:p>
      <w:pPr>
        <w:ind w:left="1160" w:right="60" w:hanging="397"/>
        <w:spacing w:after="0" w:line="236" w:lineRule="auto"/>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7"/>
          <w:szCs w:val="17"/>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5" w:lineRule="exact"/>
        <w:rPr>
          <w:rFonts w:ascii="MS PGothic" w:cs="MS PGothic" w:eastAsia="MS PGothic" w:hAnsi="MS PGothic"/>
          <w:sz w:val="12"/>
          <w:szCs w:val="12"/>
          <w:color w:val="auto"/>
        </w:rPr>
      </w:pPr>
    </w:p>
    <w:p>
      <w:pPr>
        <w:ind w:left="1160" w:right="180" w:hanging="397"/>
        <w:spacing w:after="0" w:line="239" w:lineRule="auto"/>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7"/>
          <w:szCs w:val="17"/>
          <w:color w:val="auto"/>
        </w:rPr>
        <w:t>We face significant competition, which may result in others discovering, developing or commercializing products before or more successfully than us.</w:t>
      </w:r>
    </w:p>
    <w:p>
      <w:pPr>
        <w:spacing w:after="0" w:line="25" w:lineRule="exact"/>
        <w:rPr>
          <w:rFonts w:ascii="MS PGothic" w:cs="MS PGothic" w:eastAsia="MS PGothic" w:hAnsi="MS PGothic"/>
          <w:sz w:val="12"/>
          <w:szCs w:val="12"/>
          <w:color w:val="auto"/>
        </w:rPr>
      </w:pPr>
    </w:p>
    <w:p>
      <w:pPr>
        <w:ind w:left="1160" w:hanging="397"/>
        <w:spacing w:after="0"/>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7"/>
          <w:szCs w:val="17"/>
          <w:color w:val="auto"/>
        </w:rPr>
        <w:t>Changes in methods of atacicept manufacturing or formulation may result in additional costs or delays.</w:t>
      </w:r>
    </w:p>
    <w:p>
      <w:pPr>
        <w:spacing w:after="0" w:line="31" w:lineRule="exact"/>
        <w:rPr>
          <w:rFonts w:ascii="MS PGothic" w:cs="MS PGothic" w:eastAsia="MS PGothic" w:hAnsi="MS PGothic"/>
          <w:sz w:val="12"/>
          <w:szCs w:val="12"/>
          <w:color w:val="auto"/>
        </w:rPr>
      </w:pPr>
    </w:p>
    <w:p>
      <w:pPr>
        <w:ind w:left="1160" w:right="240" w:hanging="397"/>
        <w:spacing w:after="0" w:line="234" w:lineRule="auto"/>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7"/>
          <w:szCs w:val="17"/>
          <w:color w:val="auto"/>
        </w:rPr>
        <w:t>Atacicept,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6" w:lineRule="exact"/>
        <w:rPr>
          <w:rFonts w:ascii="MS PGothic" w:cs="MS PGothic" w:eastAsia="MS PGothic" w:hAnsi="MS PGothic"/>
          <w:sz w:val="12"/>
          <w:szCs w:val="12"/>
          <w:color w:val="auto"/>
        </w:rPr>
      </w:pPr>
    </w:p>
    <w:p>
      <w:pPr>
        <w:ind w:left="1160" w:hanging="397"/>
        <w:spacing w:after="0" w:line="239" w:lineRule="auto"/>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7"/>
          <w:szCs w:val="17"/>
          <w:color w:val="auto"/>
        </w:rPr>
        <w:t>Even if atacicept, or any product candidate we develop in the future, receives regulatory approval, it could be subject to significant post-marketing regulatory requirements and will be subject to continued regulatory oversight.</w:t>
      </w:r>
    </w:p>
    <w:p>
      <w:pPr>
        <w:spacing w:after="0" w:line="25" w:lineRule="exact"/>
        <w:rPr>
          <w:rFonts w:ascii="MS PGothic" w:cs="MS PGothic" w:eastAsia="MS PGothic" w:hAnsi="MS PGothic"/>
          <w:sz w:val="12"/>
          <w:szCs w:val="12"/>
          <w:color w:val="auto"/>
        </w:rPr>
      </w:pPr>
    </w:p>
    <w:p>
      <w:pPr>
        <w:ind w:left="1160" w:hanging="397"/>
        <w:spacing w:after="0"/>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7"/>
          <w:szCs w:val="17"/>
          <w:color w:val="auto"/>
        </w:rPr>
        <w:t>Biosimilars to atacicept may provide competition sooner than anticipated.</w:t>
      </w:r>
    </w:p>
    <w:p>
      <w:pPr>
        <w:spacing w:after="0" w:line="31" w:lineRule="exact"/>
        <w:rPr>
          <w:rFonts w:ascii="MS PGothic" w:cs="MS PGothic" w:eastAsia="MS PGothic" w:hAnsi="MS PGothic"/>
          <w:sz w:val="12"/>
          <w:szCs w:val="12"/>
          <w:color w:val="auto"/>
        </w:rPr>
      </w:pPr>
    </w:p>
    <w:p>
      <w:pPr>
        <w:ind w:left="1160" w:hanging="397"/>
        <w:spacing w:after="0"/>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7"/>
          <w:szCs w:val="17"/>
          <w:color w:val="auto"/>
        </w:rPr>
        <w:t>The outbreak of the novel coronavirus (COVID-19) could adversely impact our business, including our clinical trials.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860"/>
          </w:cols>
          <w:pgMar w:left="320" w:top="456" w:right="7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17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4200" cy="56178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160" w:right="80" w:hanging="397"/>
        <w:spacing w:after="0" w:line="234" w:lineRule="auto"/>
        <w:tabs>
          <w:tab w:leader="none" w:pos="1160" w:val="left"/>
        </w:tabs>
        <w:numPr>
          <w:ilvl w:val="0"/>
          <w:numId w:val="6"/>
        </w:numPr>
        <w:rPr>
          <w:rFonts w:ascii="MS PGothic" w:cs="MS PGothic" w:eastAsia="MS PGothic" w:hAnsi="MS PGothic"/>
          <w:sz w:val="12"/>
          <w:szCs w:val="12"/>
          <w:color w:val="auto"/>
        </w:rPr>
      </w:pPr>
      <w:r>
        <w:rPr>
          <w:rFonts w:ascii="Arial" w:cs="Arial" w:eastAsia="Arial" w:hAnsi="Arial"/>
          <w:sz w:val="17"/>
          <w:szCs w:val="17"/>
          <w:color w:val="auto"/>
        </w:rPr>
        <w:t>Our success depends on our ability to protect our intellectual property and our proprietary technologies. If we or our potential licensors, licensees, or collaborators are unable to obtain or maintain patent protection with respect to atacicept and our other products, proprietary technologies and their uses, our business, financial condition, results of operations and prospects could be significantly harmed.</w:t>
      </w:r>
    </w:p>
    <w:p>
      <w:pPr>
        <w:spacing w:after="0" w:line="26" w:lineRule="exact"/>
        <w:rPr>
          <w:rFonts w:ascii="MS PGothic" w:cs="MS PGothic" w:eastAsia="MS PGothic" w:hAnsi="MS PGothic"/>
          <w:sz w:val="12"/>
          <w:szCs w:val="12"/>
          <w:color w:val="auto"/>
        </w:rPr>
      </w:pPr>
    </w:p>
    <w:p>
      <w:pPr>
        <w:ind w:left="1160" w:right="280" w:hanging="397"/>
        <w:spacing w:after="0" w:line="239" w:lineRule="auto"/>
        <w:tabs>
          <w:tab w:leader="none" w:pos="1160" w:val="left"/>
        </w:tabs>
        <w:numPr>
          <w:ilvl w:val="0"/>
          <w:numId w:val="6"/>
        </w:numPr>
        <w:rPr>
          <w:rFonts w:ascii="MS PGothic" w:cs="MS PGothic" w:eastAsia="MS PGothic" w:hAnsi="MS PGothic"/>
          <w:sz w:val="12"/>
          <w:szCs w:val="12"/>
          <w:color w:val="auto"/>
        </w:rPr>
      </w:pPr>
      <w:r>
        <w:rPr>
          <w:rFonts w:ascii="Arial" w:cs="Arial" w:eastAsia="Arial" w:hAnsi="Arial"/>
          <w:sz w:val="17"/>
          <w:szCs w:val="17"/>
          <w:color w:val="auto"/>
        </w:rPr>
        <w:t>If we breach our license agreement with Ares, an affiliate of Merck KGaA, Darmstadt, Germany, related to atacicept, we could lose the ability to continue the development and commercialization of atacicept.</w:t>
      </w:r>
    </w:p>
    <w:p>
      <w:pPr>
        <w:spacing w:after="0" w:line="25" w:lineRule="exact"/>
        <w:rPr>
          <w:rFonts w:ascii="MS PGothic" w:cs="MS PGothic" w:eastAsia="MS PGothic" w:hAnsi="MS PGothic"/>
          <w:sz w:val="12"/>
          <w:szCs w:val="12"/>
          <w:color w:val="auto"/>
        </w:rPr>
      </w:pPr>
    </w:p>
    <w:p>
      <w:pPr>
        <w:ind w:left="1160" w:hanging="397"/>
        <w:spacing w:after="0"/>
        <w:tabs>
          <w:tab w:leader="none" w:pos="1160" w:val="left"/>
        </w:tabs>
        <w:numPr>
          <w:ilvl w:val="0"/>
          <w:numId w:val="6"/>
        </w:numPr>
        <w:rPr>
          <w:rFonts w:ascii="MS PGothic" w:cs="MS PGothic" w:eastAsia="MS PGothic" w:hAnsi="MS PGothic"/>
          <w:sz w:val="12"/>
          <w:szCs w:val="12"/>
          <w:color w:val="auto"/>
        </w:rPr>
      </w:pPr>
      <w:r>
        <w:rPr>
          <w:rFonts w:ascii="Arial" w:cs="Arial" w:eastAsia="Arial" w:hAnsi="Arial"/>
          <w:sz w:val="17"/>
          <w:szCs w:val="17"/>
          <w:color w:val="auto"/>
        </w:rPr>
        <w:t>We may be required to make significant payments under our license agreement for atacicept.</w:t>
      </w:r>
    </w:p>
    <w:p>
      <w:pPr>
        <w:spacing w:after="0" w:line="31" w:lineRule="exact"/>
        <w:rPr>
          <w:rFonts w:ascii="MS PGothic" w:cs="MS PGothic" w:eastAsia="MS PGothic" w:hAnsi="MS PGothic"/>
          <w:sz w:val="12"/>
          <w:szCs w:val="12"/>
          <w:color w:val="auto"/>
        </w:rPr>
      </w:pPr>
    </w:p>
    <w:p>
      <w:pPr>
        <w:ind w:left="1160" w:right="320" w:hanging="397"/>
        <w:spacing w:after="0" w:line="239" w:lineRule="auto"/>
        <w:tabs>
          <w:tab w:leader="none" w:pos="1160" w:val="left"/>
        </w:tabs>
        <w:numPr>
          <w:ilvl w:val="0"/>
          <w:numId w:val="6"/>
        </w:numPr>
        <w:rPr>
          <w:rFonts w:ascii="MS PGothic" w:cs="MS PGothic" w:eastAsia="MS PGothic" w:hAnsi="MS PGothic"/>
          <w:sz w:val="12"/>
          <w:szCs w:val="12"/>
          <w:color w:val="auto"/>
        </w:rPr>
      </w:pPr>
      <w:r>
        <w:rPr>
          <w:rFonts w:ascii="Arial" w:cs="Arial" w:eastAsia="Arial" w:hAnsi="Arial"/>
          <w:sz w:val="17"/>
          <w:szCs w:val="17"/>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25" w:lineRule="exact"/>
        <w:rPr>
          <w:rFonts w:ascii="MS PGothic" w:cs="MS PGothic" w:eastAsia="MS PGothic" w:hAnsi="MS PGothic"/>
          <w:sz w:val="12"/>
          <w:szCs w:val="12"/>
          <w:color w:val="auto"/>
        </w:rPr>
      </w:pPr>
    </w:p>
    <w:p>
      <w:pPr>
        <w:ind w:left="1160" w:right="560" w:hanging="397"/>
        <w:spacing w:after="0" w:line="239" w:lineRule="auto"/>
        <w:tabs>
          <w:tab w:leader="none" w:pos="1160" w:val="left"/>
        </w:tabs>
        <w:numPr>
          <w:ilvl w:val="0"/>
          <w:numId w:val="6"/>
        </w:numPr>
        <w:rPr>
          <w:rFonts w:ascii="MS PGothic" w:cs="MS PGothic" w:eastAsia="MS PGothic" w:hAnsi="MS PGothic"/>
          <w:sz w:val="12"/>
          <w:szCs w:val="12"/>
          <w:color w:val="auto"/>
        </w:rPr>
      </w:pPr>
      <w:r>
        <w:rPr>
          <w:rFonts w:ascii="Arial" w:cs="Arial" w:eastAsia="Arial" w:hAnsi="Arial"/>
          <w:sz w:val="17"/>
          <w:szCs w:val="17"/>
          <w:color w:val="auto"/>
        </w:rPr>
        <w:t>Patent terms may be inadequate to protect our competitive position on atacicept or any future product candidates we may develop for an adequate amount of time.</w:t>
      </w:r>
    </w:p>
    <w:p>
      <w:pPr>
        <w:spacing w:after="0" w:line="25" w:lineRule="exact"/>
        <w:rPr>
          <w:rFonts w:ascii="MS PGothic" w:cs="MS PGothic" w:eastAsia="MS PGothic" w:hAnsi="MS PGothic"/>
          <w:sz w:val="12"/>
          <w:szCs w:val="12"/>
          <w:color w:val="auto"/>
        </w:rPr>
      </w:pPr>
    </w:p>
    <w:p>
      <w:pPr>
        <w:ind w:left="1160" w:right="120" w:hanging="397"/>
        <w:spacing w:after="0" w:line="234" w:lineRule="auto"/>
        <w:tabs>
          <w:tab w:leader="none" w:pos="1160" w:val="left"/>
        </w:tabs>
        <w:numPr>
          <w:ilvl w:val="0"/>
          <w:numId w:val="6"/>
        </w:numPr>
        <w:rPr>
          <w:rFonts w:ascii="MS PGothic" w:cs="MS PGothic" w:eastAsia="MS PGothic" w:hAnsi="MS PGothic"/>
          <w:sz w:val="12"/>
          <w:szCs w:val="12"/>
          <w:color w:val="auto"/>
        </w:rPr>
      </w:pPr>
      <w:r>
        <w:rPr>
          <w:rFonts w:ascii="Arial" w:cs="Arial" w:eastAsia="Arial" w:hAnsi="Arial"/>
          <w:sz w:val="17"/>
          <w:szCs w:val="17"/>
          <w:color w:val="auto"/>
        </w:rPr>
        <w:t>If third parties, on which we rely to conduct certain aspects of our nonclinical studies and clinical trials, do not successfully carry out their contractual duties, comply with applicable regulatory requirements, or meet expected deadlines, we may not be able to obtain regulatory approval for, or commercialize, atacicept or future product candidates we may develop, and our business, financial condition, results of operations and prospects could be significantly harmed.</w:t>
      </w:r>
    </w:p>
    <w:p>
      <w:pPr>
        <w:spacing w:after="0" w:line="26" w:lineRule="exact"/>
        <w:rPr>
          <w:rFonts w:ascii="MS PGothic" w:cs="MS PGothic" w:eastAsia="MS PGothic" w:hAnsi="MS PGothic"/>
          <w:sz w:val="12"/>
          <w:szCs w:val="12"/>
          <w:color w:val="auto"/>
        </w:rPr>
      </w:pPr>
    </w:p>
    <w:p>
      <w:pPr>
        <w:ind w:left="1160" w:right="260" w:hanging="397"/>
        <w:spacing w:after="0" w:line="236" w:lineRule="auto"/>
        <w:tabs>
          <w:tab w:leader="none" w:pos="1160" w:val="left"/>
        </w:tabs>
        <w:numPr>
          <w:ilvl w:val="0"/>
          <w:numId w:val="6"/>
        </w:numPr>
        <w:rPr>
          <w:rFonts w:ascii="MS PGothic" w:cs="MS PGothic" w:eastAsia="MS PGothic" w:hAnsi="MS PGothic"/>
          <w:sz w:val="12"/>
          <w:szCs w:val="12"/>
          <w:color w:val="auto"/>
        </w:rPr>
      </w:pPr>
      <w:r>
        <w:rPr>
          <w:rFonts w:ascii="Arial" w:cs="Arial" w:eastAsia="Arial" w:hAnsi="Arial"/>
          <w:sz w:val="17"/>
          <w:szCs w:val="17"/>
          <w:color w:val="auto"/>
        </w:rPr>
        <w:t>The manufacture of drugs is complex and our third-party manufacturers may encounter difficulties in production. If any of our third-party manufacturers encounter such difficulties, our ability to provide adequate supply of atacicept for clinical trials or our product for patients, if approved, could be delayed or prevented.</w:t>
      </w:r>
    </w:p>
    <w:p>
      <w:pPr>
        <w:spacing w:after="0" w:line="25" w:lineRule="exact"/>
        <w:rPr>
          <w:rFonts w:ascii="MS PGothic" w:cs="MS PGothic" w:eastAsia="MS PGothic" w:hAnsi="MS PGothic"/>
          <w:sz w:val="12"/>
          <w:szCs w:val="12"/>
          <w:color w:val="auto"/>
        </w:rPr>
      </w:pPr>
    </w:p>
    <w:p>
      <w:pPr>
        <w:ind w:left="1160" w:hanging="397"/>
        <w:spacing w:after="0"/>
        <w:tabs>
          <w:tab w:leader="none" w:pos="1160" w:val="left"/>
        </w:tabs>
        <w:numPr>
          <w:ilvl w:val="0"/>
          <w:numId w:val="6"/>
        </w:numPr>
        <w:rPr>
          <w:rFonts w:ascii="MS PGothic" w:cs="MS PGothic" w:eastAsia="MS PGothic" w:hAnsi="MS PGothic"/>
          <w:sz w:val="12"/>
          <w:szCs w:val="12"/>
          <w:color w:val="auto"/>
        </w:rPr>
      </w:pPr>
      <w:r>
        <w:rPr>
          <w:rFonts w:ascii="Arial" w:cs="Arial" w:eastAsia="Arial" w:hAnsi="Arial"/>
          <w:sz w:val="17"/>
          <w:szCs w:val="17"/>
          <w:color w:val="auto"/>
        </w:rPr>
        <w:t>The price of our stock may be volatile, and you could lose all or part of your investment.</w:t>
      </w:r>
    </w:p>
    <w:p>
      <w:pPr>
        <w:spacing w:after="0" w:line="31" w:lineRule="exact"/>
        <w:rPr>
          <w:rFonts w:ascii="MS PGothic" w:cs="MS PGothic" w:eastAsia="MS PGothic" w:hAnsi="MS PGothic"/>
          <w:sz w:val="12"/>
          <w:szCs w:val="12"/>
          <w:color w:val="auto"/>
        </w:rPr>
      </w:pPr>
    </w:p>
    <w:p>
      <w:pPr>
        <w:ind w:left="1160" w:right="60" w:hanging="397"/>
        <w:spacing w:after="0" w:line="234" w:lineRule="auto"/>
        <w:tabs>
          <w:tab w:leader="none" w:pos="1160" w:val="left"/>
        </w:tabs>
        <w:numPr>
          <w:ilvl w:val="0"/>
          <w:numId w:val="6"/>
        </w:numPr>
        <w:rPr>
          <w:rFonts w:ascii="MS PGothic" w:cs="MS PGothic" w:eastAsia="MS PGothic" w:hAnsi="MS PGothic"/>
          <w:sz w:val="12"/>
          <w:szCs w:val="12"/>
          <w:color w:val="auto"/>
        </w:rPr>
      </w:pPr>
      <w:r>
        <w:rPr>
          <w:rFonts w:ascii="Arial" w:cs="Arial" w:eastAsia="Arial" w:hAnsi="Arial"/>
          <w:sz w:val="17"/>
          <w:szCs w:val="17"/>
          <w:color w:val="auto"/>
        </w:rPr>
        <w:t>If the remediation of the material weakness in our internal control over financial reporting is not effective, or if we experience additional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securities.</w:t>
      </w:r>
    </w:p>
    <w:p>
      <w:pPr>
        <w:spacing w:after="0" w:line="26" w:lineRule="exact"/>
        <w:rPr>
          <w:rFonts w:ascii="MS PGothic" w:cs="MS PGothic" w:eastAsia="MS PGothic" w:hAnsi="MS PGothic"/>
          <w:sz w:val="12"/>
          <w:szCs w:val="12"/>
          <w:color w:val="auto"/>
        </w:rPr>
      </w:pPr>
    </w:p>
    <w:p>
      <w:pPr>
        <w:ind w:left="1160" w:right="40" w:hanging="397"/>
        <w:spacing w:after="0" w:line="239" w:lineRule="auto"/>
        <w:tabs>
          <w:tab w:leader="none" w:pos="1160" w:val="left"/>
        </w:tabs>
        <w:numPr>
          <w:ilvl w:val="0"/>
          <w:numId w:val="6"/>
        </w:numPr>
        <w:rPr>
          <w:rFonts w:ascii="MS PGothic" w:cs="MS PGothic" w:eastAsia="MS PGothic" w:hAnsi="MS PGothic"/>
          <w:sz w:val="12"/>
          <w:szCs w:val="12"/>
          <w:color w:val="auto"/>
        </w:rPr>
      </w:pPr>
      <w:r>
        <w:rPr>
          <w:rFonts w:ascii="Arial" w:cs="Arial" w:eastAsia="Arial" w:hAnsi="Arial"/>
          <w:sz w:val="17"/>
          <w:szCs w:val="17"/>
          <w:color w:val="auto"/>
        </w:rPr>
        <w:t>Our principal stockholders and management own a significant percentage of our stock and will be able to exert significant control over matters subject to stockholder approval.</w:t>
      </w:r>
    </w:p>
    <w:p>
      <w:pPr>
        <w:spacing w:after="0" w:line="25" w:lineRule="exact"/>
        <w:rPr>
          <w:rFonts w:ascii="MS PGothic" w:cs="MS PGothic" w:eastAsia="MS PGothic" w:hAnsi="MS PGothic"/>
          <w:sz w:val="12"/>
          <w:szCs w:val="12"/>
          <w:color w:val="auto"/>
        </w:rPr>
      </w:pPr>
    </w:p>
    <w:p>
      <w:pPr>
        <w:ind w:left="1160" w:right="200" w:hanging="397"/>
        <w:spacing w:after="0" w:line="236" w:lineRule="auto"/>
        <w:tabs>
          <w:tab w:leader="none" w:pos="1160" w:val="left"/>
        </w:tabs>
        <w:numPr>
          <w:ilvl w:val="0"/>
          <w:numId w:val="6"/>
        </w:numPr>
        <w:rPr>
          <w:rFonts w:ascii="MS PGothic" w:cs="MS PGothic" w:eastAsia="MS PGothic" w:hAnsi="MS PGothic"/>
          <w:sz w:val="12"/>
          <w:szCs w:val="12"/>
          <w:color w:val="auto"/>
        </w:rPr>
      </w:pPr>
      <w:r>
        <w:rPr>
          <w:rFonts w:ascii="Arial" w:cs="Arial" w:eastAsia="Arial" w:hAnsi="Arial"/>
          <w:sz w:val="17"/>
          <w:szCs w:val="17"/>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25" w:lineRule="exact"/>
        <w:rPr>
          <w:rFonts w:ascii="MS PGothic" w:cs="MS PGothic" w:eastAsia="MS PGothic" w:hAnsi="MS PGothic"/>
          <w:sz w:val="12"/>
          <w:szCs w:val="12"/>
          <w:color w:val="auto"/>
        </w:rPr>
      </w:pPr>
    </w:p>
    <w:p>
      <w:pPr>
        <w:ind w:left="1160" w:hanging="397"/>
        <w:spacing w:after="0"/>
        <w:tabs>
          <w:tab w:leader="none" w:pos="1160" w:val="left"/>
        </w:tabs>
        <w:numPr>
          <w:ilvl w:val="0"/>
          <w:numId w:val="6"/>
        </w:numPr>
        <w:rPr>
          <w:rFonts w:ascii="MS PGothic" w:cs="MS PGothic" w:eastAsia="MS PGothic" w:hAnsi="MS PGothic"/>
          <w:sz w:val="12"/>
          <w:szCs w:val="12"/>
          <w:color w:val="auto"/>
        </w:rPr>
      </w:pPr>
      <w:r>
        <w:rPr>
          <w:rFonts w:ascii="Arial" w:cs="Arial" w:eastAsia="Arial" w:hAnsi="Arial"/>
          <w:sz w:val="17"/>
          <w:szCs w:val="17"/>
          <w:color w:val="auto"/>
        </w:rPr>
        <w:t>We may be subject to securities litigation, which is expensive and could divert management attention.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Information</w:t>
      </w:r>
    </w:p>
    <w:p>
      <w:pPr>
        <w:spacing w:after="0" w:line="77" w:lineRule="exact"/>
        <w:rPr>
          <w:sz w:val="20"/>
          <w:szCs w:val="20"/>
          <w:color w:val="auto"/>
        </w:rPr>
      </w:pPr>
    </w:p>
    <w:p>
      <w:pPr>
        <w:ind w:left="340"/>
        <w:spacing w:after="0" w:line="233" w:lineRule="auto"/>
        <w:rPr>
          <w:sz w:val="20"/>
          <w:szCs w:val="20"/>
          <w:color w:val="auto"/>
        </w:rPr>
      </w:pPr>
      <w:r>
        <w:rPr>
          <w:rFonts w:ascii="Arial" w:cs="Arial" w:eastAsia="Arial" w:hAnsi="Arial"/>
          <w:sz w:val="17"/>
          <w:szCs w:val="17"/>
          <w:color w:val="auto"/>
        </w:rPr>
        <w:t>We were initially incorporated in Delaware in May 2016 under the name CDF Therapeutics, Inc. In October 2017, we changed our name to Trucode Gene Repair, Inc., and in April 2020, we changed our name to Vera Therapeutics, Inc. Our principal executive offices are located at 170 Harbor Way, 3rd Floor, South San Francisco, California 94080, and our telephone number is (650) 770-0077. Our website address is www.veratx.com. Information contained in, or accessible through, our website is not a part of this prospectus, and the inclusion of our website address in this prospectus is only an inactive textual reference.</w:t>
      </w:r>
    </w:p>
    <w:p>
      <w:pPr>
        <w:spacing w:after="0" w:line="148" w:lineRule="exact"/>
        <w:rPr>
          <w:sz w:val="20"/>
          <w:szCs w:val="20"/>
          <w:color w:val="auto"/>
        </w:rPr>
      </w:pPr>
    </w:p>
    <w:p>
      <w:pPr>
        <w:ind w:left="340" w:right="200"/>
        <w:spacing w:after="0" w:line="233" w:lineRule="auto"/>
        <w:rPr>
          <w:sz w:val="20"/>
          <w:szCs w:val="20"/>
          <w:color w:val="auto"/>
        </w:rPr>
      </w:pPr>
      <w:r>
        <w:rPr>
          <w:rFonts w:ascii="Arial" w:cs="Arial" w:eastAsia="Arial" w:hAnsi="Arial"/>
          <w:sz w:val="17"/>
          <w:szCs w:val="17"/>
          <w:color w:val="auto"/>
        </w:rPr>
        <w:t xml:space="preserve">We use the VERA THERAPEUTICS word mark, Vera Therapeutics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w:t>
      </w:r>
      <w:r>
        <w:rPr>
          <w:rFonts w:ascii="Arial" w:cs="Arial" w:eastAsia="Arial" w:hAnsi="Arial"/>
          <w:sz w:val="14"/>
          <w:szCs w:val="14"/>
          <w:color w:val="auto"/>
        </w:rPr>
        <w:t>TM</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rights of the applicable licensor to these trademarks and trade names. We do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820"/>
          </w:cols>
          <w:pgMar w:left="320" w:top="456" w:right="7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369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4200" cy="43694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40" w:right="440"/>
        <w:spacing w:after="0" w:line="239" w:lineRule="auto"/>
        <w:rPr>
          <w:sz w:val="20"/>
          <w:szCs w:val="20"/>
          <w:color w:val="auto"/>
        </w:rPr>
      </w:pPr>
      <w:r>
        <w:rPr>
          <w:rFonts w:ascii="Arial" w:cs="Arial" w:eastAsia="Arial" w:hAnsi="Arial"/>
          <w:sz w:val="17"/>
          <w:szCs w:val="17"/>
          <w:color w:val="auto"/>
        </w:rPr>
        <w:t>not intend our use or display of other entities’ trade names, trademarks or service marks to imply a relationship with, or endorsement or sponsorship of us by, any other entity.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77" w:lineRule="exact"/>
        <w:rPr>
          <w:sz w:val="20"/>
          <w:szCs w:val="20"/>
          <w:color w:val="auto"/>
        </w:rPr>
      </w:pPr>
    </w:p>
    <w:p>
      <w:pPr>
        <w:ind w:left="340"/>
        <w:spacing w:after="0" w:line="231" w:lineRule="auto"/>
        <w:rPr>
          <w:sz w:val="20"/>
          <w:szCs w:val="20"/>
          <w:color w:val="auto"/>
        </w:rPr>
      </w:pPr>
      <w:r>
        <w:rPr>
          <w:rFonts w:ascii="Arial" w:cs="Arial" w:eastAsia="Arial" w:hAnsi="Arial"/>
          <w:sz w:val="17"/>
          <w:szCs w:val="17"/>
          <w:color w:val="auto"/>
        </w:rPr>
        <w:t>We are an “emerging growth company” as defined in the Jumpstart Our Business Startups Act of 2012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any golden parachute payments.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We will remain an emerging growth company until the earliest of (i) the last day of our first fiscal year in which we have total annual gross revenues of $1.07 billion or more; (ii) the last day of our fiscal year following the fifth anniversary of the completion of this offering; (iii) the date on which we are deemed to be a “large accelerated filer,” under the rules of the SEC, which means the market value of equity securities that is held by non-affiliates exceeds $700.0 million as of the prior June 30th; and (iv) the date on which we have issued more than $1.0 billion in non-convertible debt securities during the prior three-year period.</w:t>
      </w:r>
    </w:p>
    <w:p>
      <w:pPr>
        <w:spacing w:after="0" w:line="149" w:lineRule="exact"/>
        <w:rPr>
          <w:sz w:val="20"/>
          <w:szCs w:val="20"/>
          <w:color w:val="auto"/>
        </w:rPr>
      </w:pPr>
    </w:p>
    <w:p>
      <w:pPr>
        <w:ind w:left="340"/>
        <w:spacing w:after="0" w:line="233"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provision allows an emerging growth company to delay the adoption of accounting standards that have different effective dates for public and private companies until those standards would otherwise apply to private companies. We have elected to avail ourselves of this exemption and, therefore, we will not be subject to the same requirements to adopt new or revised accounting standards as other public companies that are not “emerging growth companies.”</w:t>
      </w:r>
    </w:p>
    <w:p>
      <w:pPr>
        <w:spacing w:after="0" w:line="148" w:lineRule="exact"/>
        <w:rPr>
          <w:sz w:val="20"/>
          <w:szCs w:val="20"/>
          <w:color w:val="auto"/>
        </w:rPr>
      </w:pPr>
    </w:p>
    <w:p>
      <w:pPr>
        <w:ind w:left="340" w:right="40"/>
        <w:spacing w:after="0" w:line="231" w:lineRule="auto"/>
        <w:rPr>
          <w:sz w:val="20"/>
          <w:szCs w:val="20"/>
          <w:color w:val="auto"/>
        </w:rPr>
      </w:pPr>
      <w:r>
        <w:rPr>
          <w:rFonts w:ascii="Arial" w:cs="Arial" w:eastAsia="Arial" w:hAnsi="Arial"/>
          <w:sz w:val="17"/>
          <w:szCs w:val="17"/>
          <w:color w:val="auto"/>
        </w:rPr>
        <w:t>We are also a “smaller reporting company” as defined in the Securities Exchange Act of 1934, as amended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 we would not be required to obtain an attestation report on internal control over financial reporting issued by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880"/>
          </w:cols>
          <w:pgMar w:left="320" w:top="456"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1593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4200" cy="515937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080"/>
          </w:cols>
          <w:pgMar w:left="320" w:top="456" w:right="499" w:bottom="1440" w:gutter="0" w:footer="0" w:header="0"/>
        </w:sect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Class A common stock offered</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4,350,000 shares</w:t>
      </w:r>
    </w:p>
    <w:p>
      <w:pPr>
        <w:spacing w:after="0" w:line="186" w:lineRule="exact"/>
        <w:rPr>
          <w:sz w:val="20"/>
          <w:szCs w:val="20"/>
          <w:color w:val="auto"/>
        </w:rPr>
      </w:pPr>
    </w:p>
    <w:p>
      <w:pPr>
        <w:sectPr>
          <w:pgSz w:w="11900" w:h="16838" w:orient="portrait"/>
          <w:cols w:equalWidth="0" w:num="2">
            <w:col w:w="3620" w:space="720"/>
            <w:col w:w="6740"/>
          </w:cols>
          <w:pgMar w:left="320" w:top="456" w:right="499" w:bottom="1440" w:gutter="0" w:footer="0" w:header="0"/>
          <w:type w:val="continuous"/>
        </w:sectPr>
      </w:pPr>
    </w:p>
    <w:p>
      <w:pPr>
        <w:ind w:left="420" w:hanging="77"/>
        <w:spacing w:after="0" w:line="295" w:lineRule="auto"/>
        <w:rPr>
          <w:sz w:val="20"/>
          <w:szCs w:val="20"/>
          <w:color w:val="auto"/>
        </w:rPr>
      </w:pPr>
      <w:r>
        <w:rPr>
          <w:rFonts w:ascii="Arial" w:cs="Arial" w:eastAsia="Arial" w:hAnsi="Arial"/>
          <w:sz w:val="16"/>
          <w:szCs w:val="16"/>
          <w:b w:val="1"/>
          <w:bCs w:val="1"/>
          <w:color w:val="auto"/>
        </w:rPr>
        <w:t>Underwriters’ option to purchase additional shares of Class A common stock</w:t>
      </w:r>
    </w:p>
    <w:p>
      <w:pPr>
        <w:spacing w:after="0" w:line="20" w:lineRule="exact"/>
        <w:rPr>
          <w:sz w:val="20"/>
          <w:szCs w:val="20"/>
          <w:color w:val="auto"/>
        </w:rPr>
      </w:pPr>
      <w:r>
        <w:rPr>
          <w:sz w:val="20"/>
          <w:szCs w:val="20"/>
          <w:color w:val="auto"/>
        </w:rPr>
        <w:br w:type="column"/>
      </w:r>
    </w:p>
    <w:p>
      <w:pPr>
        <w:ind w:right="220"/>
        <w:spacing w:after="0" w:line="236" w:lineRule="auto"/>
        <w:rPr>
          <w:sz w:val="20"/>
          <w:szCs w:val="20"/>
          <w:color w:val="auto"/>
        </w:rPr>
      </w:pPr>
      <w:r>
        <w:rPr>
          <w:rFonts w:ascii="Arial" w:cs="Arial" w:eastAsia="Arial" w:hAnsi="Arial"/>
          <w:sz w:val="17"/>
          <w:szCs w:val="17"/>
          <w:color w:val="auto"/>
        </w:rPr>
        <w:t>We have granted the underwriters an option for a period of 30 days to purchase up to 652,500 additional shares of our Class A common stock at the initial offering price, less underwriting discounts and commissions.</w:t>
      </w:r>
    </w:p>
    <w:p>
      <w:pPr>
        <w:spacing w:after="0" w:line="166" w:lineRule="exact"/>
        <w:rPr>
          <w:sz w:val="20"/>
          <w:szCs w:val="20"/>
          <w:color w:val="auto"/>
        </w:rPr>
      </w:pPr>
    </w:p>
    <w:p>
      <w:pPr>
        <w:sectPr>
          <w:pgSz w:w="11900" w:h="16838" w:orient="portrait"/>
          <w:cols w:equalWidth="0" w:num="2">
            <w:col w:w="3860" w:space="480"/>
            <w:col w:w="6740"/>
          </w:cols>
          <w:pgMar w:left="320" w:top="456" w:right="499" w:bottom="1440" w:gutter="0" w:footer="0" w:header="0"/>
          <w:type w:val="continuous"/>
        </w:sectPr>
      </w:pPr>
    </w:p>
    <w:p>
      <w:pPr>
        <w:ind w:left="340"/>
        <w:spacing w:after="0"/>
        <w:tabs>
          <w:tab w:leader="none" w:pos="4320" w:val="left"/>
        </w:tabs>
        <w:rPr>
          <w:sz w:val="20"/>
          <w:szCs w:val="20"/>
          <w:color w:val="auto"/>
        </w:rPr>
      </w:pPr>
      <w:r>
        <w:rPr>
          <w:rFonts w:ascii="Arial" w:cs="Arial" w:eastAsia="Arial" w:hAnsi="Arial"/>
          <w:sz w:val="17"/>
          <w:szCs w:val="17"/>
          <w:b w:val="1"/>
          <w:bCs w:val="1"/>
          <w:color w:val="auto"/>
        </w:rPr>
        <w:t>Total Class A and Class B common stock to be</w:t>
      </w:r>
      <w:r>
        <w:rPr>
          <w:sz w:val="20"/>
          <w:szCs w:val="20"/>
          <w:color w:val="auto"/>
        </w:rPr>
        <w:tab/>
      </w:r>
      <w:r>
        <w:rPr>
          <w:rFonts w:ascii="Arial" w:cs="Arial" w:eastAsia="Arial" w:hAnsi="Arial"/>
          <w:sz w:val="16"/>
          <w:szCs w:val="16"/>
          <w:color w:val="auto"/>
        </w:rPr>
        <w:t>20,479,310 shares (or 21,131,810 shares if the underwriters exercise their option to</w:t>
      </w:r>
    </w:p>
    <w:tbl>
      <w:tblPr>
        <w:tblLayout w:type="fixed"/>
        <w:tblInd w:w="160" w:type="dxa"/>
        <w:tblCellMar>
          <w:top w:w="0" w:type="dxa"/>
          <w:left w:w="0" w:type="dxa"/>
          <w:bottom w:w="0" w:type="dxa"/>
          <w:right w:w="0" w:type="dxa"/>
        </w:tblCellMar>
      </w:tblPr>
      <w:tr>
        <w:trPr>
          <w:trHeight w:val="192"/>
        </w:trPr>
        <w:tc>
          <w:tcPr>
            <w:tcW w:w="3440" w:type="dxa"/>
            <w:vAlign w:val="bottom"/>
          </w:tcPr>
          <w:p>
            <w:pPr>
              <w:ind w:left="260"/>
              <w:spacing w:after="0" w:line="193" w:lineRule="exact"/>
              <w:rPr>
                <w:sz w:val="20"/>
                <w:szCs w:val="20"/>
                <w:color w:val="auto"/>
              </w:rPr>
            </w:pPr>
            <w:r>
              <w:rPr>
                <w:rFonts w:ascii="Arial" w:cs="Arial" w:eastAsia="Arial" w:hAnsi="Arial"/>
                <w:sz w:val="17"/>
                <w:szCs w:val="17"/>
                <w:b w:val="1"/>
                <w:bCs w:val="1"/>
                <w:color w:val="auto"/>
              </w:rPr>
              <w:t>outstanding after this offering</w:t>
            </w:r>
          </w:p>
        </w:tc>
        <w:tc>
          <w:tcPr>
            <w:tcW w:w="7480" w:type="dxa"/>
            <w:vAlign w:val="bottom"/>
          </w:tcPr>
          <w:p>
            <w:pPr>
              <w:ind w:left="740"/>
              <w:spacing w:after="0" w:line="193" w:lineRule="exact"/>
              <w:rPr>
                <w:sz w:val="20"/>
                <w:szCs w:val="20"/>
                <w:color w:val="auto"/>
              </w:rPr>
            </w:pPr>
            <w:r>
              <w:rPr>
                <w:rFonts w:ascii="Arial" w:cs="Arial" w:eastAsia="Arial" w:hAnsi="Arial"/>
                <w:sz w:val="17"/>
                <w:szCs w:val="17"/>
                <w:color w:val="auto"/>
              </w:rPr>
              <w:t>purchase additional shares in full)</w:t>
            </w:r>
          </w:p>
        </w:tc>
      </w:tr>
      <w:tr>
        <w:trPr>
          <w:trHeight w:val="207"/>
        </w:trPr>
        <w:tc>
          <w:tcPr>
            <w:tcW w:w="3440" w:type="dxa"/>
            <w:vAlign w:val="bottom"/>
          </w:tcPr>
          <w:p>
            <w:pPr>
              <w:ind w:left="180"/>
              <w:spacing w:after="0"/>
              <w:rPr>
                <w:sz w:val="20"/>
                <w:szCs w:val="20"/>
                <w:color w:val="auto"/>
              </w:rPr>
            </w:pPr>
            <w:r>
              <w:rPr>
                <w:rFonts w:ascii="Arial" w:cs="Arial" w:eastAsia="Arial" w:hAnsi="Arial"/>
                <w:sz w:val="17"/>
                <w:szCs w:val="17"/>
                <w:b w:val="1"/>
                <w:bCs w:val="1"/>
                <w:color w:val="auto"/>
              </w:rPr>
              <w:t>Use of proceeds</w:t>
            </w:r>
          </w:p>
        </w:tc>
        <w:tc>
          <w:tcPr>
            <w:tcW w:w="7480" w:type="dxa"/>
            <w:vAlign w:val="bottom"/>
          </w:tcPr>
          <w:p>
            <w:pPr>
              <w:ind w:left="740"/>
              <w:spacing w:after="0"/>
              <w:rPr>
                <w:sz w:val="20"/>
                <w:szCs w:val="20"/>
                <w:color w:val="auto"/>
              </w:rPr>
            </w:pPr>
            <w:r>
              <w:rPr>
                <w:rFonts w:ascii="Arial" w:cs="Arial" w:eastAsia="Arial" w:hAnsi="Arial"/>
                <w:sz w:val="17"/>
                <w:szCs w:val="17"/>
                <w:color w:val="auto"/>
              </w:rPr>
              <w:t>We estimate that the net proceeds from this offering will be approximately $60.7 million</w:t>
            </w:r>
          </w:p>
        </w:tc>
      </w:tr>
      <w:tr>
        <w:trPr>
          <w:trHeight w:val="187"/>
        </w:trPr>
        <w:tc>
          <w:tcPr>
            <w:tcW w:w="3440" w:type="dxa"/>
            <w:vAlign w:val="bottom"/>
          </w:tcPr>
          <w:p>
            <w:pPr>
              <w:spacing w:after="0"/>
              <w:rPr>
                <w:sz w:val="16"/>
                <w:szCs w:val="16"/>
                <w:color w:val="auto"/>
              </w:rPr>
            </w:pPr>
          </w:p>
        </w:tc>
        <w:tc>
          <w:tcPr>
            <w:tcW w:w="7480" w:type="dxa"/>
            <w:vAlign w:val="bottom"/>
          </w:tcPr>
          <w:p>
            <w:pPr>
              <w:ind w:left="740"/>
              <w:spacing w:after="0" w:line="187" w:lineRule="exact"/>
              <w:rPr>
                <w:sz w:val="20"/>
                <w:szCs w:val="20"/>
                <w:color w:val="auto"/>
              </w:rPr>
            </w:pPr>
            <w:r>
              <w:rPr>
                <w:rFonts w:ascii="Arial" w:cs="Arial" w:eastAsia="Arial" w:hAnsi="Arial"/>
                <w:sz w:val="17"/>
                <w:szCs w:val="17"/>
                <w:color w:val="auto"/>
              </w:rPr>
              <w:t>(or approximately $69.8 million if the underwriters’ option to purchase additional shares</w:t>
            </w:r>
          </w:p>
        </w:tc>
      </w:tr>
      <w:tr>
        <w:trPr>
          <w:trHeight w:val="187"/>
        </w:trPr>
        <w:tc>
          <w:tcPr>
            <w:tcW w:w="3440" w:type="dxa"/>
            <w:vAlign w:val="bottom"/>
          </w:tcPr>
          <w:p>
            <w:pPr>
              <w:spacing w:after="0"/>
              <w:rPr>
                <w:sz w:val="16"/>
                <w:szCs w:val="16"/>
                <w:color w:val="auto"/>
              </w:rPr>
            </w:pPr>
          </w:p>
        </w:tc>
        <w:tc>
          <w:tcPr>
            <w:tcW w:w="7480" w:type="dxa"/>
            <w:vAlign w:val="bottom"/>
          </w:tcPr>
          <w:p>
            <w:pPr>
              <w:ind w:left="740"/>
              <w:spacing w:after="0" w:line="187" w:lineRule="exact"/>
              <w:rPr>
                <w:sz w:val="20"/>
                <w:szCs w:val="20"/>
                <w:color w:val="auto"/>
              </w:rPr>
            </w:pPr>
            <w:r>
              <w:rPr>
                <w:rFonts w:ascii="Arial" w:cs="Arial" w:eastAsia="Arial" w:hAnsi="Arial"/>
                <w:sz w:val="17"/>
                <w:szCs w:val="17"/>
                <w:color w:val="auto"/>
              </w:rPr>
              <w:t>is exercised in full), after deducting underwriting discounts and commissions and</w:t>
            </w:r>
          </w:p>
        </w:tc>
      </w:tr>
      <w:tr>
        <w:trPr>
          <w:trHeight w:val="203"/>
        </w:trPr>
        <w:tc>
          <w:tcPr>
            <w:tcW w:w="3440" w:type="dxa"/>
            <w:vAlign w:val="bottom"/>
          </w:tcPr>
          <w:p>
            <w:pPr>
              <w:spacing w:after="0"/>
              <w:rPr>
                <w:sz w:val="17"/>
                <w:szCs w:val="17"/>
                <w:color w:val="auto"/>
              </w:rPr>
            </w:pPr>
          </w:p>
        </w:tc>
        <w:tc>
          <w:tcPr>
            <w:tcW w:w="7480" w:type="dxa"/>
            <w:vAlign w:val="bottom"/>
          </w:tcPr>
          <w:p>
            <w:pPr>
              <w:ind w:left="740"/>
              <w:spacing w:after="0"/>
              <w:rPr>
                <w:sz w:val="20"/>
                <w:szCs w:val="20"/>
                <w:color w:val="auto"/>
              </w:rPr>
            </w:pPr>
            <w:r>
              <w:rPr>
                <w:rFonts w:ascii="Arial" w:cs="Arial" w:eastAsia="Arial" w:hAnsi="Arial"/>
                <w:sz w:val="17"/>
                <w:szCs w:val="17"/>
                <w:color w:val="auto"/>
              </w:rPr>
              <w:t>estimated offering expenses payable by us.</w:t>
            </w:r>
          </w:p>
        </w:tc>
      </w:tr>
      <w:tr>
        <w:trPr>
          <w:trHeight w:val="372"/>
        </w:trPr>
        <w:tc>
          <w:tcPr>
            <w:tcW w:w="3440" w:type="dxa"/>
            <w:vAlign w:val="bottom"/>
          </w:tcPr>
          <w:p>
            <w:pPr>
              <w:spacing w:after="0"/>
              <w:rPr>
                <w:sz w:val="24"/>
                <w:szCs w:val="24"/>
                <w:color w:val="auto"/>
              </w:rPr>
            </w:pPr>
          </w:p>
        </w:tc>
        <w:tc>
          <w:tcPr>
            <w:tcW w:w="7480" w:type="dxa"/>
            <w:vAlign w:val="bottom"/>
          </w:tcPr>
          <w:p>
            <w:pPr>
              <w:ind w:left="740"/>
              <w:spacing w:after="0"/>
              <w:rPr>
                <w:sz w:val="20"/>
                <w:szCs w:val="20"/>
                <w:color w:val="auto"/>
              </w:rPr>
            </w:pPr>
            <w:r>
              <w:rPr>
                <w:rFonts w:ascii="Arial" w:cs="Arial" w:eastAsia="Arial" w:hAnsi="Arial"/>
                <w:sz w:val="17"/>
                <w:szCs w:val="17"/>
                <w:color w:val="auto"/>
              </w:rPr>
              <w:t>We currently intend to use the net proceeds from this offering, together with our</w:t>
            </w:r>
          </w:p>
        </w:tc>
      </w:tr>
      <w:tr>
        <w:trPr>
          <w:trHeight w:val="187"/>
        </w:trPr>
        <w:tc>
          <w:tcPr>
            <w:tcW w:w="3440" w:type="dxa"/>
            <w:vAlign w:val="bottom"/>
          </w:tcPr>
          <w:p>
            <w:pPr>
              <w:spacing w:after="0"/>
              <w:rPr>
                <w:sz w:val="16"/>
                <w:szCs w:val="16"/>
                <w:color w:val="auto"/>
              </w:rPr>
            </w:pPr>
          </w:p>
        </w:tc>
        <w:tc>
          <w:tcPr>
            <w:tcW w:w="7480" w:type="dxa"/>
            <w:vAlign w:val="bottom"/>
          </w:tcPr>
          <w:p>
            <w:pPr>
              <w:ind w:left="740"/>
              <w:spacing w:after="0" w:line="187" w:lineRule="exact"/>
              <w:rPr>
                <w:sz w:val="20"/>
                <w:szCs w:val="20"/>
                <w:color w:val="auto"/>
              </w:rPr>
            </w:pPr>
            <w:r>
              <w:rPr>
                <w:rFonts w:ascii="Arial" w:cs="Arial" w:eastAsia="Arial" w:hAnsi="Arial"/>
                <w:sz w:val="17"/>
                <w:szCs w:val="17"/>
                <w:color w:val="auto"/>
              </w:rPr>
              <w:t>existing cash and cash equivalents, to fund the clinical development of atacicept in</w:t>
            </w:r>
          </w:p>
        </w:tc>
      </w:tr>
      <w:tr>
        <w:trPr>
          <w:trHeight w:val="187"/>
        </w:trPr>
        <w:tc>
          <w:tcPr>
            <w:tcW w:w="3440" w:type="dxa"/>
            <w:vAlign w:val="bottom"/>
          </w:tcPr>
          <w:p>
            <w:pPr>
              <w:spacing w:after="0"/>
              <w:rPr>
                <w:sz w:val="16"/>
                <w:szCs w:val="16"/>
                <w:color w:val="auto"/>
              </w:rPr>
            </w:pPr>
          </w:p>
        </w:tc>
        <w:tc>
          <w:tcPr>
            <w:tcW w:w="7480" w:type="dxa"/>
            <w:vAlign w:val="bottom"/>
          </w:tcPr>
          <w:p>
            <w:pPr>
              <w:ind w:left="740"/>
              <w:spacing w:after="0" w:line="187" w:lineRule="exact"/>
              <w:rPr>
                <w:sz w:val="20"/>
                <w:szCs w:val="20"/>
                <w:color w:val="auto"/>
              </w:rPr>
            </w:pPr>
            <w:r>
              <w:rPr>
                <w:rFonts w:ascii="Arial" w:cs="Arial" w:eastAsia="Arial" w:hAnsi="Arial"/>
                <w:sz w:val="17"/>
                <w:szCs w:val="17"/>
                <w:color w:val="auto"/>
              </w:rPr>
              <w:t>IgAN, LN and potential additional indications, and the remaining for working capital and</w:t>
            </w:r>
          </w:p>
        </w:tc>
      </w:tr>
      <w:tr>
        <w:trPr>
          <w:trHeight w:val="187"/>
        </w:trPr>
        <w:tc>
          <w:tcPr>
            <w:tcW w:w="3440" w:type="dxa"/>
            <w:vAlign w:val="bottom"/>
          </w:tcPr>
          <w:p>
            <w:pPr>
              <w:spacing w:after="0"/>
              <w:rPr>
                <w:sz w:val="16"/>
                <w:szCs w:val="16"/>
                <w:color w:val="auto"/>
              </w:rPr>
            </w:pPr>
          </w:p>
        </w:tc>
        <w:tc>
          <w:tcPr>
            <w:tcW w:w="7480" w:type="dxa"/>
            <w:vAlign w:val="bottom"/>
          </w:tcPr>
          <w:p>
            <w:pPr>
              <w:ind w:left="740"/>
              <w:spacing w:after="0" w:line="187" w:lineRule="exact"/>
              <w:rPr>
                <w:sz w:val="20"/>
                <w:szCs w:val="20"/>
                <w:color w:val="auto"/>
              </w:rPr>
            </w:pPr>
            <w:r>
              <w:rPr>
                <w:rFonts w:ascii="Arial" w:cs="Arial" w:eastAsia="Arial" w:hAnsi="Arial"/>
                <w:sz w:val="17"/>
                <w:szCs w:val="17"/>
                <w:color w:val="auto"/>
              </w:rPr>
              <w:t>other general corporate purposes. See the section titled “Use of Proceeds” for</w:t>
            </w:r>
          </w:p>
        </w:tc>
      </w:tr>
      <w:tr>
        <w:trPr>
          <w:trHeight w:val="203"/>
        </w:trPr>
        <w:tc>
          <w:tcPr>
            <w:tcW w:w="3440" w:type="dxa"/>
            <w:vAlign w:val="bottom"/>
          </w:tcPr>
          <w:p>
            <w:pPr>
              <w:spacing w:after="0"/>
              <w:rPr>
                <w:sz w:val="17"/>
                <w:szCs w:val="17"/>
                <w:color w:val="auto"/>
              </w:rPr>
            </w:pPr>
          </w:p>
        </w:tc>
        <w:tc>
          <w:tcPr>
            <w:tcW w:w="7480" w:type="dxa"/>
            <w:vAlign w:val="bottom"/>
          </w:tcPr>
          <w:p>
            <w:pPr>
              <w:ind w:left="740"/>
              <w:spacing w:after="0"/>
              <w:rPr>
                <w:sz w:val="20"/>
                <w:szCs w:val="20"/>
                <w:color w:val="auto"/>
              </w:rPr>
            </w:pPr>
            <w:r>
              <w:rPr>
                <w:rFonts w:ascii="Arial" w:cs="Arial" w:eastAsia="Arial" w:hAnsi="Arial"/>
                <w:sz w:val="17"/>
                <w:szCs w:val="17"/>
                <w:color w:val="auto"/>
              </w:rPr>
              <w:t>additional information.</w:t>
            </w:r>
          </w:p>
        </w:tc>
      </w:tr>
      <w:tr>
        <w:trPr>
          <w:trHeight w:val="372"/>
        </w:trPr>
        <w:tc>
          <w:tcPr>
            <w:tcW w:w="3440" w:type="dxa"/>
            <w:vAlign w:val="bottom"/>
          </w:tcPr>
          <w:p>
            <w:pPr>
              <w:ind w:left="180"/>
              <w:spacing w:after="0"/>
              <w:rPr>
                <w:sz w:val="20"/>
                <w:szCs w:val="20"/>
                <w:color w:val="auto"/>
              </w:rPr>
            </w:pPr>
            <w:r>
              <w:rPr>
                <w:rFonts w:ascii="Arial" w:cs="Arial" w:eastAsia="Arial" w:hAnsi="Arial"/>
                <w:sz w:val="17"/>
                <w:szCs w:val="17"/>
                <w:b w:val="1"/>
                <w:bCs w:val="1"/>
                <w:color w:val="auto"/>
              </w:rPr>
              <w:t>Voting rights</w:t>
            </w:r>
          </w:p>
        </w:tc>
        <w:tc>
          <w:tcPr>
            <w:tcW w:w="7480" w:type="dxa"/>
            <w:vAlign w:val="bottom"/>
          </w:tcPr>
          <w:p>
            <w:pPr>
              <w:ind w:left="740"/>
              <w:spacing w:after="0"/>
              <w:rPr>
                <w:sz w:val="20"/>
                <w:szCs w:val="20"/>
                <w:color w:val="auto"/>
              </w:rPr>
            </w:pPr>
            <w:r>
              <w:rPr>
                <w:rFonts w:ascii="Arial" w:cs="Arial" w:eastAsia="Arial" w:hAnsi="Arial"/>
                <w:sz w:val="17"/>
                <w:szCs w:val="17"/>
                <w:color w:val="auto"/>
              </w:rPr>
              <w:t>Following this offering, we will have two classes of common stock: Class A common</w:t>
            </w:r>
          </w:p>
        </w:tc>
      </w:tr>
      <w:tr>
        <w:trPr>
          <w:trHeight w:val="187"/>
        </w:trPr>
        <w:tc>
          <w:tcPr>
            <w:tcW w:w="3440" w:type="dxa"/>
            <w:vAlign w:val="bottom"/>
          </w:tcPr>
          <w:p>
            <w:pPr>
              <w:spacing w:after="0"/>
              <w:rPr>
                <w:sz w:val="16"/>
                <w:szCs w:val="16"/>
                <w:color w:val="auto"/>
              </w:rPr>
            </w:pPr>
          </w:p>
        </w:tc>
        <w:tc>
          <w:tcPr>
            <w:tcW w:w="7480" w:type="dxa"/>
            <w:vAlign w:val="bottom"/>
          </w:tcPr>
          <w:p>
            <w:pPr>
              <w:ind w:left="740"/>
              <w:spacing w:after="0" w:line="187" w:lineRule="exact"/>
              <w:rPr>
                <w:sz w:val="20"/>
                <w:szCs w:val="20"/>
                <w:color w:val="auto"/>
              </w:rPr>
            </w:pPr>
            <w:r>
              <w:rPr>
                <w:rFonts w:ascii="Arial" w:cs="Arial" w:eastAsia="Arial" w:hAnsi="Arial"/>
                <w:sz w:val="17"/>
                <w:szCs w:val="17"/>
                <w:color w:val="auto"/>
              </w:rPr>
              <w:t>stock and Class B common stock. The rights of the holders of Class A common stock</w:t>
            </w:r>
          </w:p>
        </w:tc>
      </w:tr>
      <w:tr>
        <w:trPr>
          <w:trHeight w:val="203"/>
        </w:trPr>
        <w:tc>
          <w:tcPr>
            <w:tcW w:w="3440" w:type="dxa"/>
            <w:vAlign w:val="bottom"/>
          </w:tcPr>
          <w:p>
            <w:pPr>
              <w:spacing w:after="0"/>
              <w:rPr>
                <w:sz w:val="17"/>
                <w:szCs w:val="17"/>
                <w:color w:val="auto"/>
              </w:rPr>
            </w:pPr>
          </w:p>
        </w:tc>
        <w:tc>
          <w:tcPr>
            <w:tcW w:w="7480" w:type="dxa"/>
            <w:vAlign w:val="bottom"/>
          </w:tcPr>
          <w:p>
            <w:pPr>
              <w:ind w:left="740"/>
              <w:spacing w:after="0"/>
              <w:rPr>
                <w:sz w:val="20"/>
                <w:szCs w:val="20"/>
                <w:color w:val="auto"/>
              </w:rPr>
            </w:pPr>
            <w:r>
              <w:rPr>
                <w:rFonts w:ascii="Arial" w:cs="Arial" w:eastAsia="Arial" w:hAnsi="Arial"/>
                <w:sz w:val="17"/>
                <w:szCs w:val="17"/>
                <w:color w:val="auto"/>
              </w:rPr>
              <w:t>and Class B common stock are identical, except with respect to voting and conversion.</w:t>
            </w:r>
          </w:p>
        </w:tc>
      </w:tr>
      <w:tr>
        <w:trPr>
          <w:trHeight w:val="372"/>
        </w:trPr>
        <w:tc>
          <w:tcPr>
            <w:tcW w:w="3440" w:type="dxa"/>
            <w:vAlign w:val="bottom"/>
          </w:tcPr>
          <w:p>
            <w:pPr>
              <w:spacing w:after="0"/>
              <w:rPr>
                <w:sz w:val="24"/>
                <w:szCs w:val="24"/>
                <w:color w:val="auto"/>
              </w:rPr>
            </w:pPr>
          </w:p>
        </w:tc>
        <w:tc>
          <w:tcPr>
            <w:tcW w:w="7480" w:type="dxa"/>
            <w:vAlign w:val="bottom"/>
          </w:tcPr>
          <w:p>
            <w:pPr>
              <w:ind w:left="740"/>
              <w:spacing w:after="0"/>
              <w:rPr>
                <w:sz w:val="20"/>
                <w:szCs w:val="20"/>
                <w:color w:val="auto"/>
              </w:rPr>
            </w:pPr>
            <w:r>
              <w:rPr>
                <w:rFonts w:ascii="Arial" w:cs="Arial" w:eastAsia="Arial" w:hAnsi="Arial"/>
                <w:sz w:val="17"/>
                <w:szCs w:val="17"/>
                <w:color w:val="auto"/>
              </w:rPr>
              <w:t>Each share of Class A common stock will be entitled to one vote and shares of Class B</w:t>
            </w:r>
          </w:p>
        </w:tc>
      </w:tr>
      <w:tr>
        <w:trPr>
          <w:trHeight w:val="187"/>
        </w:trPr>
        <w:tc>
          <w:tcPr>
            <w:tcW w:w="3440" w:type="dxa"/>
            <w:vAlign w:val="bottom"/>
          </w:tcPr>
          <w:p>
            <w:pPr>
              <w:spacing w:after="0"/>
              <w:rPr>
                <w:sz w:val="16"/>
                <w:szCs w:val="16"/>
                <w:color w:val="auto"/>
              </w:rPr>
            </w:pPr>
          </w:p>
        </w:tc>
        <w:tc>
          <w:tcPr>
            <w:tcW w:w="7480" w:type="dxa"/>
            <w:vAlign w:val="bottom"/>
          </w:tcPr>
          <w:p>
            <w:pPr>
              <w:ind w:left="740"/>
              <w:spacing w:after="0" w:line="187" w:lineRule="exact"/>
              <w:rPr>
                <w:sz w:val="20"/>
                <w:szCs w:val="20"/>
                <w:color w:val="auto"/>
              </w:rPr>
            </w:pPr>
            <w:r>
              <w:rPr>
                <w:rFonts w:ascii="Arial" w:cs="Arial" w:eastAsia="Arial" w:hAnsi="Arial"/>
                <w:sz w:val="17"/>
                <w:szCs w:val="17"/>
                <w:color w:val="auto"/>
              </w:rPr>
              <w:t>common stock will be non-voting, except as may be required by law. Each share of</w:t>
            </w:r>
          </w:p>
        </w:tc>
      </w:tr>
      <w:tr>
        <w:trPr>
          <w:trHeight w:val="187"/>
        </w:trPr>
        <w:tc>
          <w:tcPr>
            <w:tcW w:w="3440" w:type="dxa"/>
            <w:vAlign w:val="bottom"/>
          </w:tcPr>
          <w:p>
            <w:pPr>
              <w:spacing w:after="0"/>
              <w:rPr>
                <w:sz w:val="16"/>
                <w:szCs w:val="16"/>
                <w:color w:val="auto"/>
              </w:rPr>
            </w:pPr>
          </w:p>
        </w:tc>
        <w:tc>
          <w:tcPr>
            <w:tcW w:w="7480" w:type="dxa"/>
            <w:vAlign w:val="bottom"/>
          </w:tcPr>
          <w:p>
            <w:pPr>
              <w:ind w:left="740"/>
              <w:spacing w:after="0" w:line="187" w:lineRule="exact"/>
              <w:rPr>
                <w:sz w:val="20"/>
                <w:szCs w:val="20"/>
                <w:color w:val="auto"/>
              </w:rPr>
            </w:pPr>
            <w:r>
              <w:rPr>
                <w:rFonts w:ascii="Arial" w:cs="Arial" w:eastAsia="Arial" w:hAnsi="Arial"/>
                <w:sz w:val="17"/>
                <w:szCs w:val="17"/>
                <w:color w:val="auto"/>
              </w:rPr>
              <w:t>Class B common stock may be converted into one share of Class A common stock at</w:t>
            </w:r>
          </w:p>
        </w:tc>
      </w:tr>
      <w:tr>
        <w:trPr>
          <w:trHeight w:val="187"/>
        </w:trPr>
        <w:tc>
          <w:tcPr>
            <w:tcW w:w="3440" w:type="dxa"/>
            <w:vAlign w:val="bottom"/>
          </w:tcPr>
          <w:p>
            <w:pPr>
              <w:spacing w:after="0"/>
              <w:rPr>
                <w:sz w:val="16"/>
                <w:szCs w:val="16"/>
                <w:color w:val="auto"/>
              </w:rPr>
            </w:pPr>
          </w:p>
        </w:tc>
        <w:tc>
          <w:tcPr>
            <w:tcW w:w="7480" w:type="dxa"/>
            <w:vAlign w:val="bottom"/>
          </w:tcPr>
          <w:p>
            <w:pPr>
              <w:ind w:left="740"/>
              <w:spacing w:after="0" w:line="187" w:lineRule="exact"/>
              <w:rPr>
                <w:sz w:val="20"/>
                <w:szCs w:val="20"/>
                <w:color w:val="auto"/>
              </w:rPr>
            </w:pPr>
            <w:r>
              <w:rPr>
                <w:rFonts w:ascii="Arial" w:cs="Arial" w:eastAsia="Arial" w:hAnsi="Arial"/>
                <w:sz w:val="17"/>
                <w:szCs w:val="17"/>
                <w:color w:val="auto"/>
              </w:rPr>
              <w:t>the option of its holder, subject to the ownership limitations provided for in our amended</w:t>
            </w:r>
          </w:p>
        </w:tc>
      </w:tr>
      <w:tr>
        <w:trPr>
          <w:trHeight w:val="187"/>
        </w:trPr>
        <w:tc>
          <w:tcPr>
            <w:tcW w:w="3440" w:type="dxa"/>
            <w:vAlign w:val="bottom"/>
          </w:tcPr>
          <w:p>
            <w:pPr>
              <w:spacing w:after="0"/>
              <w:rPr>
                <w:sz w:val="16"/>
                <w:szCs w:val="16"/>
                <w:color w:val="auto"/>
              </w:rPr>
            </w:pPr>
          </w:p>
        </w:tc>
        <w:tc>
          <w:tcPr>
            <w:tcW w:w="7480" w:type="dxa"/>
            <w:vAlign w:val="bottom"/>
          </w:tcPr>
          <w:p>
            <w:pPr>
              <w:ind w:left="740"/>
              <w:spacing w:after="0" w:line="187" w:lineRule="exact"/>
              <w:rPr>
                <w:sz w:val="20"/>
                <w:szCs w:val="20"/>
                <w:color w:val="auto"/>
              </w:rPr>
            </w:pPr>
            <w:r>
              <w:rPr>
                <w:rFonts w:ascii="Arial" w:cs="Arial" w:eastAsia="Arial" w:hAnsi="Arial"/>
                <w:sz w:val="17"/>
                <w:szCs w:val="17"/>
                <w:color w:val="auto"/>
              </w:rPr>
              <w:t>and restated certificate of incorporation to become effective upon the closing of this</w:t>
            </w:r>
          </w:p>
        </w:tc>
      </w:tr>
      <w:tr>
        <w:trPr>
          <w:trHeight w:val="203"/>
        </w:trPr>
        <w:tc>
          <w:tcPr>
            <w:tcW w:w="3440" w:type="dxa"/>
            <w:vAlign w:val="bottom"/>
          </w:tcPr>
          <w:p>
            <w:pPr>
              <w:spacing w:after="0"/>
              <w:rPr>
                <w:sz w:val="17"/>
                <w:szCs w:val="17"/>
                <w:color w:val="auto"/>
              </w:rPr>
            </w:pPr>
          </w:p>
        </w:tc>
        <w:tc>
          <w:tcPr>
            <w:tcW w:w="7480" w:type="dxa"/>
            <w:vAlign w:val="bottom"/>
          </w:tcPr>
          <w:p>
            <w:pPr>
              <w:ind w:left="740"/>
              <w:spacing w:after="0"/>
              <w:rPr>
                <w:sz w:val="20"/>
                <w:szCs w:val="20"/>
                <w:color w:val="auto"/>
              </w:rPr>
            </w:pPr>
            <w:r>
              <w:rPr>
                <w:rFonts w:ascii="Arial" w:cs="Arial" w:eastAsia="Arial" w:hAnsi="Arial"/>
                <w:sz w:val="17"/>
                <w:szCs w:val="17"/>
                <w:color w:val="auto"/>
              </w:rPr>
              <w:t>offering. See the section titled “Description of Capital Stock” for additional information.</w:t>
            </w:r>
          </w:p>
        </w:tc>
      </w:tr>
      <w:tr>
        <w:trPr>
          <w:trHeight w:val="372"/>
        </w:trPr>
        <w:tc>
          <w:tcPr>
            <w:tcW w:w="3440" w:type="dxa"/>
            <w:vAlign w:val="bottom"/>
          </w:tcPr>
          <w:p>
            <w:pPr>
              <w:ind w:left="180"/>
              <w:spacing w:after="0"/>
              <w:rPr>
                <w:sz w:val="20"/>
                <w:szCs w:val="20"/>
                <w:color w:val="auto"/>
              </w:rPr>
            </w:pPr>
            <w:r>
              <w:rPr>
                <w:rFonts w:ascii="Arial" w:cs="Arial" w:eastAsia="Arial" w:hAnsi="Arial"/>
                <w:sz w:val="17"/>
                <w:szCs w:val="17"/>
                <w:b w:val="1"/>
                <w:bCs w:val="1"/>
                <w:color w:val="auto"/>
              </w:rPr>
              <w:t>Risk factors</w:t>
            </w:r>
          </w:p>
        </w:tc>
        <w:tc>
          <w:tcPr>
            <w:tcW w:w="7480" w:type="dxa"/>
            <w:vAlign w:val="bottom"/>
          </w:tcPr>
          <w:p>
            <w:pPr>
              <w:ind w:left="740"/>
              <w:spacing w:after="0"/>
              <w:rPr>
                <w:sz w:val="20"/>
                <w:szCs w:val="20"/>
                <w:color w:val="auto"/>
              </w:rPr>
            </w:pPr>
            <w:r>
              <w:rPr>
                <w:rFonts w:ascii="Arial" w:cs="Arial" w:eastAsia="Arial" w:hAnsi="Arial"/>
                <w:sz w:val="17"/>
                <w:szCs w:val="17"/>
                <w:color w:val="auto"/>
              </w:rPr>
              <w:t>See the section titled “Risk Factors” beginning on page 13 and other information</w:t>
            </w:r>
          </w:p>
        </w:tc>
      </w:tr>
      <w:tr>
        <w:trPr>
          <w:trHeight w:val="187"/>
        </w:trPr>
        <w:tc>
          <w:tcPr>
            <w:tcW w:w="3440" w:type="dxa"/>
            <w:vAlign w:val="bottom"/>
          </w:tcPr>
          <w:p>
            <w:pPr>
              <w:spacing w:after="0"/>
              <w:rPr>
                <w:sz w:val="16"/>
                <w:szCs w:val="16"/>
                <w:color w:val="auto"/>
              </w:rPr>
            </w:pPr>
          </w:p>
        </w:tc>
        <w:tc>
          <w:tcPr>
            <w:tcW w:w="7480" w:type="dxa"/>
            <w:vAlign w:val="bottom"/>
          </w:tcPr>
          <w:p>
            <w:pPr>
              <w:ind w:left="740"/>
              <w:spacing w:after="0" w:line="187" w:lineRule="exact"/>
              <w:rPr>
                <w:sz w:val="20"/>
                <w:szCs w:val="20"/>
                <w:color w:val="auto"/>
              </w:rPr>
            </w:pPr>
            <w:r>
              <w:rPr>
                <w:rFonts w:ascii="Arial" w:cs="Arial" w:eastAsia="Arial" w:hAnsi="Arial"/>
                <w:sz w:val="17"/>
                <w:szCs w:val="17"/>
                <w:color w:val="auto"/>
              </w:rPr>
              <w:t>included in this prospectus for a discussion of factors you should consider carefully</w:t>
            </w:r>
          </w:p>
        </w:tc>
      </w:tr>
      <w:tr>
        <w:trPr>
          <w:trHeight w:val="203"/>
        </w:trPr>
        <w:tc>
          <w:tcPr>
            <w:tcW w:w="3440" w:type="dxa"/>
            <w:vAlign w:val="bottom"/>
          </w:tcPr>
          <w:p>
            <w:pPr>
              <w:spacing w:after="0"/>
              <w:rPr>
                <w:sz w:val="17"/>
                <w:szCs w:val="17"/>
                <w:color w:val="auto"/>
              </w:rPr>
            </w:pPr>
          </w:p>
        </w:tc>
        <w:tc>
          <w:tcPr>
            <w:tcW w:w="7480" w:type="dxa"/>
            <w:vAlign w:val="bottom"/>
          </w:tcPr>
          <w:p>
            <w:pPr>
              <w:ind w:left="740"/>
              <w:spacing w:after="0"/>
              <w:rPr>
                <w:sz w:val="20"/>
                <w:szCs w:val="20"/>
                <w:color w:val="auto"/>
              </w:rPr>
            </w:pPr>
            <w:r>
              <w:rPr>
                <w:rFonts w:ascii="Arial" w:cs="Arial" w:eastAsia="Arial" w:hAnsi="Arial"/>
                <w:sz w:val="17"/>
                <w:szCs w:val="17"/>
                <w:color w:val="auto"/>
              </w:rPr>
              <w:t>before deciding to invest in our securities.</w:t>
            </w:r>
          </w:p>
        </w:tc>
      </w:tr>
      <w:tr>
        <w:trPr>
          <w:trHeight w:val="372"/>
        </w:trPr>
        <w:tc>
          <w:tcPr>
            <w:tcW w:w="3440" w:type="dxa"/>
            <w:vAlign w:val="bottom"/>
          </w:tcPr>
          <w:p>
            <w:pPr>
              <w:ind w:left="180"/>
              <w:spacing w:after="0"/>
              <w:rPr>
                <w:sz w:val="20"/>
                <w:szCs w:val="20"/>
                <w:color w:val="auto"/>
              </w:rPr>
            </w:pPr>
            <w:r>
              <w:rPr>
                <w:rFonts w:ascii="Arial" w:cs="Arial" w:eastAsia="Arial" w:hAnsi="Arial"/>
                <w:sz w:val="17"/>
                <w:szCs w:val="17"/>
                <w:b w:val="1"/>
                <w:bCs w:val="1"/>
                <w:color w:val="auto"/>
              </w:rPr>
              <w:t>Directed share program</w:t>
            </w:r>
          </w:p>
        </w:tc>
        <w:tc>
          <w:tcPr>
            <w:tcW w:w="7480" w:type="dxa"/>
            <w:vAlign w:val="bottom"/>
          </w:tcPr>
          <w:p>
            <w:pPr>
              <w:ind w:left="740"/>
              <w:spacing w:after="0"/>
              <w:rPr>
                <w:sz w:val="20"/>
                <w:szCs w:val="20"/>
                <w:color w:val="auto"/>
              </w:rPr>
            </w:pPr>
            <w:r>
              <w:rPr>
                <w:rFonts w:ascii="Arial" w:cs="Arial" w:eastAsia="Arial" w:hAnsi="Arial"/>
                <w:sz w:val="17"/>
                <w:szCs w:val="17"/>
                <w:color w:val="auto"/>
              </w:rPr>
              <w:t>At our request, the underwriters have reserved for sale, at the initial public offering</w:t>
            </w:r>
          </w:p>
        </w:tc>
      </w:tr>
      <w:tr>
        <w:trPr>
          <w:trHeight w:val="187"/>
        </w:trPr>
        <w:tc>
          <w:tcPr>
            <w:tcW w:w="3440" w:type="dxa"/>
            <w:vAlign w:val="bottom"/>
          </w:tcPr>
          <w:p>
            <w:pPr>
              <w:spacing w:after="0"/>
              <w:rPr>
                <w:sz w:val="16"/>
                <w:szCs w:val="16"/>
                <w:color w:val="auto"/>
              </w:rPr>
            </w:pPr>
          </w:p>
        </w:tc>
        <w:tc>
          <w:tcPr>
            <w:tcW w:w="7480" w:type="dxa"/>
            <w:vAlign w:val="bottom"/>
          </w:tcPr>
          <w:p>
            <w:pPr>
              <w:ind w:left="740"/>
              <w:spacing w:after="0" w:line="187" w:lineRule="exact"/>
              <w:rPr>
                <w:sz w:val="20"/>
                <w:szCs w:val="20"/>
                <w:color w:val="auto"/>
              </w:rPr>
            </w:pPr>
            <w:r>
              <w:rPr>
                <w:rFonts w:ascii="Arial" w:cs="Arial" w:eastAsia="Arial" w:hAnsi="Arial"/>
                <w:sz w:val="17"/>
                <w:szCs w:val="17"/>
                <w:color w:val="auto"/>
              </w:rPr>
              <w:t>price, up to 3% of the shares of Class A common stock offered hereby to our directors,</w:t>
            </w:r>
          </w:p>
        </w:tc>
      </w:tr>
      <w:tr>
        <w:trPr>
          <w:trHeight w:val="187"/>
        </w:trPr>
        <w:tc>
          <w:tcPr>
            <w:tcW w:w="3440" w:type="dxa"/>
            <w:vAlign w:val="bottom"/>
          </w:tcPr>
          <w:p>
            <w:pPr>
              <w:spacing w:after="0"/>
              <w:rPr>
                <w:sz w:val="16"/>
                <w:szCs w:val="16"/>
                <w:color w:val="auto"/>
              </w:rPr>
            </w:pPr>
          </w:p>
        </w:tc>
        <w:tc>
          <w:tcPr>
            <w:tcW w:w="7480" w:type="dxa"/>
            <w:vAlign w:val="bottom"/>
          </w:tcPr>
          <w:p>
            <w:pPr>
              <w:ind w:left="740"/>
              <w:spacing w:after="0" w:line="187" w:lineRule="exact"/>
              <w:rPr>
                <w:sz w:val="20"/>
                <w:szCs w:val="20"/>
                <w:color w:val="auto"/>
              </w:rPr>
            </w:pPr>
            <w:r>
              <w:rPr>
                <w:rFonts w:ascii="Arial" w:cs="Arial" w:eastAsia="Arial" w:hAnsi="Arial"/>
                <w:sz w:val="17"/>
                <w:szCs w:val="17"/>
                <w:color w:val="auto"/>
              </w:rPr>
              <w:t>officers, employees, business associates and related persons through a directed share</w:t>
            </w:r>
          </w:p>
        </w:tc>
      </w:tr>
      <w:tr>
        <w:trPr>
          <w:trHeight w:val="203"/>
        </w:trPr>
        <w:tc>
          <w:tcPr>
            <w:tcW w:w="3440" w:type="dxa"/>
            <w:vAlign w:val="bottom"/>
          </w:tcPr>
          <w:p>
            <w:pPr>
              <w:spacing w:after="0"/>
              <w:rPr>
                <w:sz w:val="17"/>
                <w:szCs w:val="17"/>
                <w:color w:val="auto"/>
              </w:rPr>
            </w:pPr>
          </w:p>
        </w:tc>
        <w:tc>
          <w:tcPr>
            <w:tcW w:w="7480" w:type="dxa"/>
            <w:vAlign w:val="bottom"/>
          </w:tcPr>
          <w:p>
            <w:pPr>
              <w:ind w:left="740"/>
              <w:spacing w:after="0"/>
              <w:rPr>
                <w:sz w:val="20"/>
                <w:szCs w:val="20"/>
                <w:color w:val="auto"/>
              </w:rPr>
            </w:pPr>
            <w:r>
              <w:rPr>
                <w:rFonts w:ascii="Arial" w:cs="Arial" w:eastAsia="Arial" w:hAnsi="Arial"/>
                <w:sz w:val="17"/>
                <w:szCs w:val="17"/>
                <w:color w:val="auto"/>
              </w:rPr>
              <w:t>program.</w:t>
            </w:r>
          </w:p>
        </w:tc>
      </w:tr>
      <w:tr>
        <w:trPr>
          <w:trHeight w:val="228"/>
        </w:trPr>
        <w:tc>
          <w:tcPr>
            <w:tcW w:w="3440" w:type="dxa"/>
            <w:vAlign w:val="bottom"/>
            <w:tcBorders>
              <w:bottom w:val="single" w:sz="8" w:color="auto"/>
            </w:tcBorders>
          </w:tcPr>
          <w:p>
            <w:pPr>
              <w:spacing w:after="0"/>
              <w:rPr>
                <w:sz w:val="19"/>
                <w:szCs w:val="19"/>
                <w:color w:val="auto"/>
              </w:rPr>
            </w:pPr>
          </w:p>
        </w:tc>
        <w:tc>
          <w:tcPr>
            <w:tcW w:w="7480" w:type="dxa"/>
            <w:vAlign w:val="bottom"/>
            <w:tcBorders>
              <w:bottom w:val="single" w:sz="8" w:color="auto"/>
            </w:tcBorders>
          </w:tcPr>
          <w:p>
            <w:pPr>
              <w:spacing w:after="0"/>
              <w:rPr>
                <w:sz w:val="19"/>
                <w:szCs w:val="19"/>
                <w:color w:val="auto"/>
              </w:rPr>
            </w:pPr>
          </w:p>
        </w:tc>
      </w:tr>
      <w:tr>
        <w:trPr>
          <w:trHeight w:val="580"/>
        </w:trPr>
        <w:tc>
          <w:tcPr>
            <w:tcW w:w="3440" w:type="dxa"/>
            <w:vAlign w:val="bottom"/>
          </w:tcPr>
          <w:p>
            <w:pPr>
              <w:spacing w:after="0"/>
              <w:rPr>
                <w:sz w:val="24"/>
                <w:szCs w:val="24"/>
                <w:color w:val="auto"/>
              </w:rPr>
            </w:pPr>
          </w:p>
        </w:tc>
        <w:tc>
          <w:tcPr>
            <w:tcW w:w="7480" w:type="dxa"/>
            <w:vAlign w:val="bottom"/>
          </w:tcPr>
          <w:p>
            <w:pPr>
              <w:ind w:left="1980"/>
              <w:spacing w:after="0"/>
              <w:rPr>
                <w:sz w:val="20"/>
                <w:szCs w:val="20"/>
                <w:color w:val="auto"/>
              </w:rPr>
            </w:pPr>
            <w:r>
              <w:rPr>
                <w:rFonts w:ascii="Arial" w:cs="Arial" w:eastAsia="Arial" w:hAnsi="Arial"/>
                <w:sz w:val="16"/>
                <w:szCs w:val="16"/>
                <w:color w:val="auto"/>
              </w:rPr>
              <w:t>9</w:t>
            </w:r>
          </w:p>
        </w:tc>
      </w:tr>
    </w:tbl>
    <w:p>
      <w:pPr>
        <w:sectPr>
          <w:pgSz w:w="11900" w:h="16838" w:orient="portrait"/>
          <w:cols w:equalWidth="0" w:num="1">
            <w:col w:w="11080"/>
          </w:cols>
          <w:pgMar w:left="320" w:top="456" w:right="4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150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4200" cy="51504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340" w:right="140"/>
        <w:spacing w:after="0" w:line="247" w:lineRule="auto"/>
        <w:rPr>
          <w:sz w:val="20"/>
          <w:szCs w:val="20"/>
          <w:color w:val="auto"/>
        </w:rPr>
      </w:pPr>
      <w:r>
        <w:rPr>
          <w:rFonts w:ascii="Arial" w:cs="Arial" w:eastAsia="Arial" w:hAnsi="Arial"/>
          <w:sz w:val="16"/>
          <w:szCs w:val="16"/>
          <w:color w:val="auto"/>
        </w:rPr>
        <w:t>Shares purchased through the directed share program will not be subject to a lock-up restriction, except in the case of shares purchased by any of our directors or officers and certain of our employees and existing equity holders. The number of shares of Class A common stock available for sale to the general public will be reduced to the extent these individuals purchase such reserved shares. Any reserved shares not so purchased will be offered by the underwriters to the general public on the same basis as the other shares of Class A common stock offered by this prospectus. See the section titled “Underwriting—Directed Share Program” for additional information.</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Proposed Nasdaq Global Market trading symbol  </w:t>
      </w:r>
      <w:r>
        <w:rPr>
          <w:rFonts w:ascii="Arial" w:cs="Arial" w:eastAsia="Arial" w:hAnsi="Arial"/>
          <w:sz w:val="17"/>
          <w:szCs w:val="17"/>
          <w:color w:val="auto"/>
        </w:rPr>
        <w:t>“VERA”</w:t>
      </w:r>
    </w:p>
    <w:p>
      <w:pPr>
        <w:spacing w:after="0" w:line="239" w:lineRule="exact"/>
        <w:rPr>
          <w:sz w:val="20"/>
          <w:szCs w:val="20"/>
          <w:color w:val="auto"/>
        </w:rPr>
      </w:pPr>
    </w:p>
    <w:p>
      <w:pPr>
        <w:ind w:left="340" w:right="60"/>
        <w:spacing w:after="0" w:line="244" w:lineRule="auto"/>
        <w:rPr>
          <w:sz w:val="20"/>
          <w:szCs w:val="20"/>
          <w:color w:val="auto"/>
        </w:rPr>
      </w:pPr>
      <w:r>
        <w:rPr>
          <w:rFonts w:ascii="Arial" w:cs="Arial" w:eastAsia="Arial" w:hAnsi="Arial"/>
          <w:sz w:val="16"/>
          <w:szCs w:val="16"/>
          <w:color w:val="auto"/>
        </w:rPr>
        <w:t>The number of shares of our Class A common stock and Class B common stock to be outstanding after this offering is based on 16,129,310 shares of Class A common stock and no shares of Class B common stock outstanding as of December 31, 2020 (including (i) 15,774,014 shares issuable upon the conversion of all outstanding shares of our redeemable convertible preferred stock as of December 31, 2020 and</w:t>
      </w:r>
    </w:p>
    <w:p>
      <w:pPr>
        <w:spacing w:after="0" w:line="1" w:lineRule="exact"/>
        <w:rPr>
          <w:sz w:val="20"/>
          <w:szCs w:val="20"/>
          <w:color w:val="auto"/>
        </w:rPr>
      </w:pPr>
    </w:p>
    <w:p>
      <w:pPr>
        <w:ind w:left="580" w:hanging="232"/>
        <w:spacing w:after="0"/>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41,363 shares of unvested restricted common stock subject to repurchase as of such date), and excludes:</w:t>
      </w:r>
    </w:p>
    <w:p>
      <w:pPr>
        <w:spacing w:after="0" w:line="192" w:lineRule="exact"/>
        <w:rPr>
          <w:rFonts w:ascii="Arial" w:cs="Arial" w:eastAsia="Arial" w:hAnsi="Arial"/>
          <w:sz w:val="17"/>
          <w:szCs w:val="17"/>
          <w:color w:val="auto"/>
        </w:rPr>
      </w:pPr>
    </w:p>
    <w:p>
      <w:pPr>
        <w:ind w:left="1160" w:hanging="397"/>
        <w:spacing w:after="0" w:line="239" w:lineRule="auto"/>
        <w:tabs>
          <w:tab w:leader="none" w:pos="1160" w:val="left"/>
        </w:tabs>
        <w:numPr>
          <w:ilvl w:val="1"/>
          <w:numId w:val="7"/>
        </w:numPr>
        <w:rPr>
          <w:rFonts w:ascii="MS PGothic" w:cs="MS PGothic" w:eastAsia="MS PGothic" w:hAnsi="MS PGothic"/>
          <w:sz w:val="12"/>
          <w:szCs w:val="12"/>
          <w:color w:val="auto"/>
        </w:rPr>
      </w:pPr>
      <w:r>
        <w:rPr>
          <w:rFonts w:ascii="Arial" w:cs="Arial" w:eastAsia="Arial" w:hAnsi="Arial"/>
          <w:sz w:val="17"/>
          <w:szCs w:val="17"/>
          <w:color w:val="auto"/>
        </w:rPr>
        <w:t>1,855,507 shares of our Class A common stock issuable upon the exercise of outstanding stock options as of December 31, 2020 under our 2017 Equity Incentive Plan, as amended (2017 Plan), with a weighted-average exercise price of $2.99 per share;</w:t>
      </w:r>
    </w:p>
    <w:p>
      <w:pPr>
        <w:spacing w:after="0" w:line="25" w:lineRule="exact"/>
        <w:rPr>
          <w:rFonts w:ascii="MS PGothic" w:cs="MS PGothic" w:eastAsia="MS PGothic" w:hAnsi="MS PGothic"/>
          <w:sz w:val="12"/>
          <w:szCs w:val="12"/>
          <w:color w:val="auto"/>
        </w:rPr>
      </w:pPr>
    </w:p>
    <w:p>
      <w:pPr>
        <w:ind w:left="1160" w:right="360" w:hanging="397"/>
        <w:spacing w:after="0" w:line="239" w:lineRule="auto"/>
        <w:tabs>
          <w:tab w:leader="none" w:pos="1160" w:val="left"/>
        </w:tabs>
        <w:numPr>
          <w:ilvl w:val="1"/>
          <w:numId w:val="7"/>
        </w:numPr>
        <w:rPr>
          <w:rFonts w:ascii="MS PGothic" w:cs="MS PGothic" w:eastAsia="MS PGothic" w:hAnsi="MS PGothic"/>
          <w:sz w:val="12"/>
          <w:szCs w:val="12"/>
          <w:color w:val="auto"/>
        </w:rPr>
      </w:pPr>
      <w:r>
        <w:rPr>
          <w:rFonts w:ascii="Arial" w:cs="Arial" w:eastAsia="Arial" w:hAnsi="Arial"/>
          <w:sz w:val="17"/>
          <w:szCs w:val="17"/>
          <w:color w:val="auto"/>
        </w:rPr>
        <w:t>484,956 shares of our Class A common stock issuable upon the exercise of outstanding stock options granted subsequent to December 31, 2020 under our 2017 Plan, with a weighted-average exercise price of $3.93 per share;</w:t>
      </w:r>
    </w:p>
    <w:p>
      <w:pPr>
        <w:spacing w:after="0" w:line="25" w:lineRule="exact"/>
        <w:rPr>
          <w:rFonts w:ascii="MS PGothic" w:cs="MS PGothic" w:eastAsia="MS PGothic" w:hAnsi="MS PGothic"/>
          <w:sz w:val="12"/>
          <w:szCs w:val="12"/>
          <w:color w:val="auto"/>
        </w:rPr>
      </w:pPr>
    </w:p>
    <w:p>
      <w:pPr>
        <w:ind w:left="1160" w:right="100" w:hanging="397"/>
        <w:spacing w:after="0" w:line="233" w:lineRule="auto"/>
        <w:tabs>
          <w:tab w:leader="none" w:pos="1160" w:val="left"/>
        </w:tabs>
        <w:numPr>
          <w:ilvl w:val="1"/>
          <w:numId w:val="7"/>
        </w:numPr>
        <w:rPr>
          <w:rFonts w:ascii="MS PGothic" w:cs="MS PGothic" w:eastAsia="MS PGothic" w:hAnsi="MS PGothic"/>
          <w:sz w:val="12"/>
          <w:szCs w:val="12"/>
          <w:color w:val="auto"/>
        </w:rPr>
      </w:pPr>
      <w:r>
        <w:rPr>
          <w:rFonts w:ascii="Arial" w:cs="Arial" w:eastAsia="Arial" w:hAnsi="Arial"/>
          <w:sz w:val="17"/>
          <w:szCs w:val="17"/>
          <w:color w:val="auto"/>
        </w:rPr>
        <w:t>1,762,009 shares of our Class A common stock reserved for future issuance under our 2021 Equity Incentive Plan (2021 Plan), which will become effective once the registration statement of which this prospectus forms a part is declared effective, as well as any future automatic annual increases in the number of shares of Class A common stock reserved for issuance under our 2021 Plan and any shares of Class A common stock underlying outstanding stock awards granted under our 2017 Plan that expire or are repurchased, forfeited, cancelled or withheld, as more fully described in the section titled “Executive Compensation—Equity Benefit Plans”;</w:t>
      </w:r>
    </w:p>
    <w:p>
      <w:pPr>
        <w:spacing w:after="0" w:line="24" w:lineRule="exact"/>
        <w:rPr>
          <w:rFonts w:ascii="MS PGothic" w:cs="MS PGothic" w:eastAsia="MS PGothic" w:hAnsi="MS PGothic"/>
          <w:sz w:val="12"/>
          <w:szCs w:val="12"/>
          <w:color w:val="auto"/>
        </w:rPr>
      </w:pPr>
    </w:p>
    <w:p>
      <w:pPr>
        <w:ind w:left="1160" w:right="240" w:hanging="397"/>
        <w:spacing w:after="0" w:line="234" w:lineRule="auto"/>
        <w:tabs>
          <w:tab w:leader="none" w:pos="1160" w:val="left"/>
        </w:tabs>
        <w:numPr>
          <w:ilvl w:val="1"/>
          <w:numId w:val="7"/>
        </w:numPr>
        <w:rPr>
          <w:rFonts w:ascii="MS PGothic" w:cs="MS PGothic" w:eastAsia="MS PGothic" w:hAnsi="MS PGothic"/>
          <w:sz w:val="12"/>
          <w:szCs w:val="12"/>
          <w:color w:val="auto"/>
        </w:rPr>
      </w:pPr>
      <w:r>
        <w:rPr>
          <w:rFonts w:ascii="Arial" w:cs="Arial" w:eastAsia="Arial" w:hAnsi="Arial"/>
          <w:sz w:val="17"/>
          <w:szCs w:val="17"/>
          <w:color w:val="auto"/>
        </w:rPr>
        <w:t>220,251 shares of our Class A common stock reserved for issuance under our 2021 Employee Stock Purchase Plan (ESPP), which will become effective once the registration statement of which this prospectus forms a part is declared effective, and any future automatic annual increases in the number of shares of Class A common stock reserved for future issuance under our ESPP; and</w:t>
      </w:r>
    </w:p>
    <w:p>
      <w:pPr>
        <w:spacing w:after="0" w:line="26" w:lineRule="exact"/>
        <w:rPr>
          <w:rFonts w:ascii="MS PGothic" w:cs="MS PGothic" w:eastAsia="MS PGothic" w:hAnsi="MS PGothic"/>
          <w:sz w:val="12"/>
          <w:szCs w:val="12"/>
          <w:color w:val="auto"/>
        </w:rPr>
      </w:pPr>
    </w:p>
    <w:p>
      <w:pPr>
        <w:jc w:val="both"/>
        <w:ind w:left="1160" w:right="160" w:hanging="397"/>
        <w:spacing w:after="0" w:line="236" w:lineRule="auto"/>
        <w:tabs>
          <w:tab w:leader="none" w:pos="1160" w:val="left"/>
        </w:tabs>
        <w:numPr>
          <w:ilvl w:val="1"/>
          <w:numId w:val="7"/>
        </w:numPr>
        <w:rPr>
          <w:rFonts w:ascii="MS PGothic" w:cs="MS PGothic" w:eastAsia="MS PGothic" w:hAnsi="MS PGothic"/>
          <w:sz w:val="12"/>
          <w:szCs w:val="12"/>
          <w:color w:val="auto"/>
        </w:rPr>
      </w:pPr>
      <w:r>
        <w:rPr>
          <w:rFonts w:ascii="Arial" w:cs="Arial" w:eastAsia="Arial" w:hAnsi="Arial"/>
          <w:sz w:val="17"/>
          <w:szCs w:val="17"/>
          <w:color w:val="auto"/>
        </w:rPr>
        <w:t>450,326 shares of our Class A common stock issuable upon the exercise of options to purchase shares of our Class A common stock granted to certain of our officers, directors and employees under our 2021 Plan, which will become effective in connection with this offering, at an exercise price per share equal to the initial public offering price in this offering.</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otherwise indicated, this prospectus assumes or gives effect to:</w:t>
      </w:r>
    </w:p>
    <w:p>
      <w:pPr>
        <w:spacing w:after="0" w:line="192" w:lineRule="exact"/>
        <w:rPr>
          <w:sz w:val="20"/>
          <w:szCs w:val="20"/>
          <w:color w:val="auto"/>
        </w:rPr>
      </w:pPr>
    </w:p>
    <w:p>
      <w:pPr>
        <w:ind w:left="1160" w:hanging="397"/>
        <w:spacing w:after="0"/>
        <w:tabs>
          <w:tab w:leader="none" w:pos="1160" w:val="left"/>
        </w:tabs>
        <w:numPr>
          <w:ilvl w:val="0"/>
          <w:numId w:val="8"/>
        </w:numPr>
        <w:rPr>
          <w:rFonts w:ascii="MS PGothic" w:cs="MS PGothic" w:eastAsia="MS PGothic" w:hAnsi="MS PGothic"/>
          <w:sz w:val="12"/>
          <w:szCs w:val="12"/>
          <w:color w:val="auto"/>
        </w:rPr>
      </w:pPr>
      <w:r>
        <w:rPr>
          <w:rFonts w:ascii="Arial" w:cs="Arial" w:eastAsia="Arial" w:hAnsi="Arial"/>
          <w:sz w:val="17"/>
          <w:szCs w:val="17"/>
          <w:color w:val="auto"/>
        </w:rPr>
        <w:t>a 11.5869-for-one reverse stock split of our common stock effected on May 7, 2021;</w:t>
      </w:r>
    </w:p>
    <w:p>
      <w:pPr>
        <w:spacing w:after="0" w:line="72" w:lineRule="exact"/>
        <w:rPr>
          <w:rFonts w:ascii="MS PGothic" w:cs="MS PGothic" w:eastAsia="MS PGothic" w:hAnsi="MS PGothic"/>
          <w:sz w:val="12"/>
          <w:szCs w:val="12"/>
          <w:color w:val="auto"/>
        </w:rPr>
      </w:pPr>
    </w:p>
    <w:p>
      <w:pPr>
        <w:ind w:left="1160" w:right="200" w:hanging="397"/>
        <w:spacing w:after="0" w:line="239" w:lineRule="auto"/>
        <w:tabs>
          <w:tab w:leader="none" w:pos="1160" w:val="left"/>
        </w:tabs>
        <w:numPr>
          <w:ilvl w:val="0"/>
          <w:numId w:val="8"/>
        </w:numPr>
        <w:rPr>
          <w:rFonts w:ascii="MS PGothic" w:cs="MS PGothic" w:eastAsia="MS PGothic" w:hAnsi="MS PGothic"/>
          <w:sz w:val="12"/>
          <w:szCs w:val="12"/>
          <w:color w:val="auto"/>
        </w:rPr>
      </w:pPr>
      <w:r>
        <w:rPr>
          <w:rFonts w:ascii="Arial" w:cs="Arial" w:eastAsia="Arial" w:hAnsi="Arial"/>
          <w:sz w:val="17"/>
          <w:szCs w:val="17"/>
          <w:color w:val="auto"/>
        </w:rPr>
        <w:t>the automatic conversion of all outstanding shares of our redeemable convertible preferred stock as of December 31, 2020 into an aggregate of 15,774,014 shares of our Class A common stock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860"/>
          </w:cols>
          <w:pgMar w:left="320" w:top="456" w:right="7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13373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4200" cy="133731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160" w:hanging="397"/>
        <w:spacing w:after="0"/>
        <w:tabs>
          <w:tab w:leader="none" w:pos="1160" w:val="left"/>
        </w:tabs>
        <w:numPr>
          <w:ilvl w:val="0"/>
          <w:numId w:val="9"/>
        </w:numPr>
        <w:rPr>
          <w:rFonts w:ascii="MS PGothic" w:cs="MS PGothic" w:eastAsia="MS PGothic" w:hAnsi="MS PGothic"/>
          <w:sz w:val="12"/>
          <w:szCs w:val="12"/>
          <w:color w:val="auto"/>
        </w:rPr>
      </w:pPr>
      <w:r>
        <w:rPr>
          <w:rFonts w:ascii="Arial" w:cs="Arial" w:eastAsia="Arial" w:hAnsi="Arial"/>
          <w:sz w:val="17"/>
          <w:szCs w:val="17"/>
          <w:color w:val="auto"/>
        </w:rPr>
        <w:t>no exercise of the outstanding options described above;</w:t>
      </w:r>
    </w:p>
    <w:p>
      <w:pPr>
        <w:spacing w:after="0" w:line="31" w:lineRule="exact"/>
        <w:rPr>
          <w:rFonts w:ascii="MS PGothic" w:cs="MS PGothic" w:eastAsia="MS PGothic" w:hAnsi="MS PGothic"/>
          <w:sz w:val="12"/>
          <w:szCs w:val="12"/>
          <w:color w:val="auto"/>
        </w:rPr>
      </w:pPr>
    </w:p>
    <w:p>
      <w:pPr>
        <w:ind w:left="1160" w:right="240" w:hanging="397"/>
        <w:spacing w:after="0" w:line="239" w:lineRule="auto"/>
        <w:tabs>
          <w:tab w:leader="none" w:pos="1160" w:val="left"/>
        </w:tabs>
        <w:numPr>
          <w:ilvl w:val="0"/>
          <w:numId w:val="9"/>
        </w:numPr>
        <w:rPr>
          <w:rFonts w:ascii="MS PGothic" w:cs="MS PGothic" w:eastAsia="MS PGothic" w:hAnsi="MS PGothic"/>
          <w:sz w:val="12"/>
          <w:szCs w:val="12"/>
          <w:color w:val="auto"/>
        </w:rPr>
      </w:pPr>
      <w:r>
        <w:rPr>
          <w:rFonts w:ascii="Arial" w:cs="Arial" w:eastAsia="Arial" w:hAnsi="Arial"/>
          <w:sz w:val="17"/>
          <w:szCs w:val="17"/>
          <w:color w:val="auto"/>
        </w:rPr>
        <w:t>no exercise by the underwriters of their option to purchase 652,500 additional shares of Class A common stock from us in this offering;</w:t>
      </w:r>
    </w:p>
    <w:p>
      <w:pPr>
        <w:spacing w:after="0" w:line="25" w:lineRule="exact"/>
        <w:rPr>
          <w:rFonts w:ascii="MS PGothic" w:cs="MS PGothic" w:eastAsia="MS PGothic" w:hAnsi="MS PGothic"/>
          <w:sz w:val="12"/>
          <w:szCs w:val="12"/>
          <w:color w:val="auto"/>
        </w:rPr>
      </w:pPr>
    </w:p>
    <w:p>
      <w:pPr>
        <w:ind w:left="1160" w:hanging="397"/>
        <w:spacing w:after="0"/>
        <w:tabs>
          <w:tab w:leader="none" w:pos="1160" w:val="left"/>
        </w:tabs>
        <w:numPr>
          <w:ilvl w:val="0"/>
          <w:numId w:val="9"/>
        </w:numPr>
        <w:rPr>
          <w:rFonts w:ascii="MS PGothic" w:cs="MS PGothic" w:eastAsia="MS PGothic" w:hAnsi="MS PGothic"/>
          <w:sz w:val="12"/>
          <w:szCs w:val="12"/>
          <w:color w:val="auto"/>
        </w:rPr>
      </w:pPr>
      <w:r>
        <w:rPr>
          <w:rFonts w:ascii="Arial" w:cs="Arial" w:eastAsia="Arial" w:hAnsi="Arial"/>
          <w:sz w:val="17"/>
          <w:szCs w:val="17"/>
          <w:color w:val="auto"/>
        </w:rPr>
        <w:t>no issuance of shares of Class B common stock upon the conversion of our redeemable convertible preferred stock;</w:t>
      </w:r>
    </w:p>
    <w:p>
      <w:pPr>
        <w:spacing w:after="0" w:line="31" w:lineRule="exact"/>
        <w:rPr>
          <w:rFonts w:ascii="MS PGothic" w:cs="MS PGothic" w:eastAsia="MS PGothic" w:hAnsi="MS PGothic"/>
          <w:sz w:val="12"/>
          <w:szCs w:val="12"/>
          <w:color w:val="auto"/>
        </w:rPr>
      </w:pPr>
    </w:p>
    <w:p>
      <w:pPr>
        <w:ind w:left="1160" w:hanging="397"/>
        <w:spacing w:after="0" w:line="239" w:lineRule="auto"/>
        <w:tabs>
          <w:tab w:leader="none" w:pos="1160" w:val="left"/>
        </w:tabs>
        <w:numPr>
          <w:ilvl w:val="0"/>
          <w:numId w:val="9"/>
        </w:numPr>
        <w:rPr>
          <w:rFonts w:ascii="MS PGothic" w:cs="MS PGothic" w:eastAsia="MS PGothic" w:hAnsi="MS PGothic"/>
          <w:sz w:val="12"/>
          <w:szCs w:val="12"/>
          <w:color w:val="auto"/>
        </w:rPr>
      </w:pPr>
      <w:r>
        <w:rPr>
          <w:rFonts w:ascii="Arial" w:cs="Arial" w:eastAsia="Arial" w:hAnsi="Arial"/>
          <w:sz w:val="17"/>
          <w:szCs w:val="17"/>
          <w:color w:val="auto"/>
        </w:rPr>
        <w:t>an assumed initial public offering price of $15.00 per share of Class A common stock, which is the midpoint of the price range set forth on the cover page of this prospectus; and</w:t>
      </w:r>
    </w:p>
    <w:p>
      <w:pPr>
        <w:spacing w:after="0" w:line="25" w:lineRule="exact"/>
        <w:rPr>
          <w:rFonts w:ascii="MS PGothic" w:cs="MS PGothic" w:eastAsia="MS PGothic" w:hAnsi="MS PGothic"/>
          <w:sz w:val="12"/>
          <w:szCs w:val="12"/>
          <w:color w:val="auto"/>
        </w:rPr>
      </w:pPr>
    </w:p>
    <w:p>
      <w:pPr>
        <w:ind w:left="1160" w:right="100" w:hanging="397"/>
        <w:spacing w:after="0" w:line="239" w:lineRule="auto"/>
        <w:tabs>
          <w:tab w:leader="none" w:pos="1160" w:val="left"/>
        </w:tabs>
        <w:numPr>
          <w:ilvl w:val="0"/>
          <w:numId w:val="9"/>
        </w:numPr>
        <w:rPr>
          <w:rFonts w:ascii="MS PGothic" w:cs="MS PGothic" w:eastAsia="MS PGothic" w:hAnsi="MS PGothic"/>
          <w:sz w:val="12"/>
          <w:szCs w:val="12"/>
          <w:color w:val="auto"/>
        </w:rPr>
      </w:pPr>
      <w:r>
        <w:rPr>
          <w:rFonts w:ascii="Arial" w:cs="Arial" w:eastAsia="Arial" w:hAnsi="Arial"/>
          <w:sz w:val="17"/>
          <w:szCs w:val="17"/>
          <w:color w:val="auto"/>
        </w:rPr>
        <w:t>the filing and effectiveness of our amended and restated certificate of incorporation immediately after the closing of this offering, and the adoption of our amended and restated bylaws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800"/>
          </w:cols>
          <w:pgMar w:left="320" w:top="456" w:right="7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48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4200" cy="59486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FINANCIAL DATA</w:t>
      </w:r>
    </w:p>
    <w:p>
      <w:pPr>
        <w:spacing w:after="0" w:line="331" w:lineRule="exact"/>
        <w:rPr>
          <w:sz w:val="20"/>
          <w:szCs w:val="20"/>
          <w:color w:val="auto"/>
        </w:rPr>
      </w:pPr>
    </w:p>
    <w:p>
      <w:pPr>
        <w:ind w:left="340" w:right="20"/>
        <w:spacing w:after="0" w:line="232" w:lineRule="auto"/>
        <w:rPr>
          <w:sz w:val="20"/>
          <w:szCs w:val="20"/>
          <w:color w:val="auto"/>
        </w:rPr>
      </w:pPr>
      <w:r>
        <w:rPr>
          <w:rFonts w:ascii="Arial" w:cs="Arial" w:eastAsia="Arial" w:hAnsi="Arial"/>
          <w:sz w:val="17"/>
          <w:szCs w:val="17"/>
          <w:color w:val="auto"/>
        </w:rPr>
        <w:t>The following tables set forth a summary of our financial data as of, and for the periods ended on, the periods indicated. We have derived the summary statements of operations and comprehensive loss data for the years ended December 31, 2019 and 2020, and balance sheet data as of December 31, 2020, from our audited financial statements included elsewhere in this prospectus. Our historical results are not necessarily indicative of the results that may be expected for any period in the future. You should read the following summary financial data together with the section titled “Management’s Discussion and Analysis of Financial Condition and Results of Operations” and our financial statements and the related notes included elsewhere in this prospectus. The summary financial data included in this section are not intended to replace the financial statements and are qualified in their entirety by our financial statements and the related notes included elsewhere in this prospectus.</w:t>
      </w:r>
    </w:p>
    <w:p>
      <w:pPr>
        <w:spacing w:after="0" w:line="200" w:lineRule="exact"/>
        <w:rPr>
          <w:sz w:val="20"/>
          <w:szCs w:val="20"/>
          <w:color w:val="auto"/>
        </w:rPr>
      </w:pPr>
    </w:p>
    <w:p>
      <w:pPr>
        <w:spacing w:after="0" w:line="24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27"/>
              <w:spacing w:after="0" w:line="154"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09"/>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jc w:val="center"/>
              <w:ind w:right="9"/>
              <w:spacing w:after="0" w:line="141" w:lineRule="exact"/>
              <w:rPr>
                <w:sz w:val="20"/>
                <w:szCs w:val="20"/>
                <w:color w:val="auto"/>
              </w:rPr>
            </w:pPr>
            <w:r>
              <w:rPr>
                <w:rFonts w:ascii="Arial" w:cs="Arial" w:eastAsia="Arial" w:hAnsi="Arial"/>
                <w:sz w:val="14"/>
                <w:szCs w:val="14"/>
                <w:b w:val="1"/>
                <w:bCs w:val="1"/>
                <w:color w:val="auto"/>
              </w:rPr>
              <w:t>(in thousands, except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8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Operating expenses:</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860" w:type="dxa"/>
            <w:vAlign w:val="bottom"/>
          </w:tcPr>
          <w:p>
            <w:pPr>
              <w:ind w:left="220"/>
              <w:spacing w:after="0" w:line="187" w:lineRule="exact"/>
              <w:rPr>
                <w:sz w:val="20"/>
                <w:szCs w:val="20"/>
                <w:color w:val="auto"/>
              </w:rPr>
            </w:pPr>
            <w:r>
              <w:rPr>
                <w:rFonts w:ascii="Arial" w:cs="Arial" w:eastAsia="Arial" w:hAnsi="Arial"/>
                <w:sz w:val="17"/>
                <w:szCs w:val="17"/>
                <w:color w:val="auto"/>
              </w:rPr>
              <w:t>Research and development</w:t>
            </w:r>
          </w:p>
        </w:tc>
        <w:tc>
          <w:tcPr>
            <w:tcW w:w="54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300"/>
              <w:spacing w:after="0" w:line="187" w:lineRule="exact"/>
              <w:rPr>
                <w:sz w:val="20"/>
                <w:szCs w:val="20"/>
                <w:color w:val="auto"/>
              </w:rPr>
            </w:pPr>
            <w:r>
              <w:rPr>
                <w:rFonts w:ascii="Arial" w:cs="Arial" w:eastAsia="Arial" w:hAnsi="Arial"/>
                <w:sz w:val="17"/>
                <w:szCs w:val="17"/>
                <w:color w:val="auto"/>
              </w:rPr>
              <w:t>7,290</w:t>
            </w:r>
          </w:p>
        </w:tc>
        <w:tc>
          <w:tcPr>
            <w:tcW w:w="32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87" w:lineRule="exact"/>
              <w:rPr>
                <w:sz w:val="20"/>
                <w:szCs w:val="20"/>
                <w:color w:val="auto"/>
              </w:rPr>
            </w:pPr>
            <w:r>
              <w:rPr>
                <w:rFonts w:ascii="Arial" w:cs="Arial" w:eastAsia="Arial" w:hAnsi="Arial"/>
                <w:sz w:val="17"/>
                <w:szCs w:val="17"/>
                <w:color w:val="auto"/>
              </w:rPr>
              <w:t>45,206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860" w:type="dxa"/>
            <w:vAlign w:val="bottom"/>
            <w:shd w:val="clear" w:color="auto" w:fill="CCEEFF"/>
          </w:tcPr>
          <w:p>
            <w:pPr>
              <w:ind w:left="220"/>
              <w:spacing w:after="0" w:line="187" w:lineRule="exact"/>
              <w:rPr>
                <w:sz w:val="20"/>
                <w:szCs w:val="20"/>
                <w:color w:val="auto"/>
              </w:rPr>
            </w:pPr>
            <w:r>
              <w:rPr>
                <w:rFonts w:ascii="Arial" w:cs="Arial" w:eastAsia="Arial" w:hAnsi="Arial"/>
                <w:sz w:val="17"/>
                <w:szCs w:val="17"/>
                <w:color w:val="auto"/>
              </w:rPr>
              <w:t>General and administrative</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line="187" w:lineRule="exact"/>
              <w:rPr>
                <w:sz w:val="20"/>
                <w:szCs w:val="20"/>
                <w:color w:val="auto"/>
              </w:rPr>
            </w:pPr>
            <w:r>
              <w:rPr>
                <w:rFonts w:ascii="Arial" w:cs="Arial" w:eastAsia="Arial" w:hAnsi="Arial"/>
                <w:sz w:val="17"/>
                <w:szCs w:val="17"/>
                <w:color w:val="auto"/>
              </w:rPr>
              <w:t>4,410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4,039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60" w:type="dxa"/>
            <w:vAlign w:val="bottom"/>
          </w:tcPr>
          <w:p>
            <w:pPr>
              <w:ind w:left="220"/>
              <w:spacing w:after="0" w:line="187" w:lineRule="exact"/>
              <w:rPr>
                <w:sz w:val="20"/>
                <w:szCs w:val="20"/>
                <w:color w:val="auto"/>
              </w:rPr>
            </w:pPr>
            <w:r>
              <w:rPr>
                <w:rFonts w:ascii="Arial" w:cs="Arial" w:eastAsia="Arial" w:hAnsi="Arial"/>
                <w:sz w:val="17"/>
                <w:szCs w:val="17"/>
                <w:color w:val="auto"/>
              </w:rPr>
              <w:t>Restructuring costs</w:t>
            </w:r>
          </w:p>
        </w:tc>
        <w:tc>
          <w:tcPr>
            <w:tcW w:w="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261</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2,996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860" w:type="dxa"/>
            <w:vAlign w:val="bottom"/>
            <w:shd w:val="clear" w:color="auto" w:fill="CCEEFF"/>
          </w:tcPr>
          <w:p>
            <w:pPr>
              <w:ind w:left="480"/>
              <w:spacing w:after="0" w:line="187" w:lineRule="exact"/>
              <w:rPr>
                <w:sz w:val="20"/>
                <w:szCs w:val="20"/>
                <w:color w:val="auto"/>
              </w:rPr>
            </w:pPr>
            <w:r>
              <w:rPr>
                <w:rFonts w:ascii="Arial" w:cs="Arial" w:eastAsia="Arial" w:hAnsi="Arial"/>
                <w:sz w:val="17"/>
                <w:szCs w:val="17"/>
                <w:color w:val="auto"/>
              </w:rPr>
              <w:t>Total operating expenses</w:t>
            </w:r>
          </w:p>
        </w:tc>
        <w:tc>
          <w:tcPr>
            <w:tcW w:w="4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11,961</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52,241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880" w:type="dxa"/>
            <w:vAlign w:val="bottom"/>
            <w:gridSpan w:val="2"/>
          </w:tcPr>
          <w:p>
            <w:pPr>
              <w:spacing w:after="0" w:line="194" w:lineRule="exact"/>
              <w:rPr>
                <w:sz w:val="20"/>
                <w:szCs w:val="20"/>
                <w:color w:val="auto"/>
              </w:rPr>
            </w:pPr>
            <w:r>
              <w:rPr>
                <w:rFonts w:ascii="Arial" w:cs="Arial" w:eastAsia="Arial" w:hAnsi="Arial"/>
                <w:sz w:val="17"/>
                <w:szCs w:val="17"/>
                <w:color w:val="auto"/>
              </w:rPr>
              <w:t>Loss from operations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(11,961)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(52,241)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8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Other income (expense):</w:t>
            </w:r>
          </w:p>
        </w:tc>
        <w:tc>
          <w:tcPr>
            <w:tcW w:w="4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860" w:type="dxa"/>
            <w:vAlign w:val="bottom"/>
          </w:tcPr>
          <w:p>
            <w:pPr>
              <w:ind w:left="220"/>
              <w:spacing w:after="0" w:line="187" w:lineRule="exact"/>
              <w:rPr>
                <w:sz w:val="20"/>
                <w:szCs w:val="20"/>
                <w:color w:val="auto"/>
              </w:rPr>
            </w:pPr>
            <w:r>
              <w:rPr>
                <w:rFonts w:ascii="Arial" w:cs="Arial" w:eastAsia="Arial" w:hAnsi="Arial"/>
                <w:sz w:val="17"/>
                <w:szCs w:val="17"/>
                <w:color w:val="auto"/>
              </w:rPr>
              <w:t>Interest income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line="187" w:lineRule="exact"/>
              <w:rPr>
                <w:sz w:val="20"/>
                <w:szCs w:val="20"/>
                <w:color w:val="auto"/>
              </w:rPr>
            </w:pPr>
            <w:r>
              <w:rPr>
                <w:rFonts w:ascii="Arial" w:cs="Arial" w:eastAsia="Arial" w:hAnsi="Arial"/>
                <w:sz w:val="17"/>
                <w:szCs w:val="17"/>
                <w:color w:val="auto"/>
              </w:rPr>
              <w:t>159</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87" w:lineRule="exact"/>
              <w:rPr>
                <w:sz w:val="20"/>
                <w:szCs w:val="20"/>
                <w:color w:val="auto"/>
              </w:rPr>
            </w:pPr>
            <w:r>
              <w:rPr>
                <w:rFonts w:ascii="Arial" w:cs="Arial" w:eastAsia="Arial" w:hAnsi="Arial"/>
                <w:sz w:val="17"/>
                <w:szCs w:val="17"/>
                <w:color w:val="auto"/>
              </w:rPr>
              <w:t>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860" w:type="dxa"/>
            <w:vAlign w:val="bottom"/>
            <w:shd w:val="clear" w:color="auto" w:fill="CCEEFF"/>
          </w:tcPr>
          <w:p>
            <w:pPr>
              <w:ind w:left="220"/>
              <w:spacing w:after="0" w:line="187" w:lineRule="exact"/>
              <w:rPr>
                <w:sz w:val="20"/>
                <w:szCs w:val="20"/>
                <w:color w:val="auto"/>
              </w:rPr>
            </w:pPr>
            <w:r>
              <w:rPr>
                <w:rFonts w:ascii="Arial" w:cs="Arial" w:eastAsia="Arial" w:hAnsi="Arial"/>
                <w:sz w:val="17"/>
                <w:szCs w:val="17"/>
                <w:color w:val="auto"/>
              </w:rPr>
              <w:t>Interest expense</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line="187" w:lineRule="exact"/>
              <w:rPr>
                <w:sz w:val="20"/>
                <w:szCs w:val="20"/>
                <w:color w:val="auto"/>
              </w:rPr>
            </w:pPr>
            <w:r>
              <w:rPr>
                <w:rFonts w:ascii="Arial" w:cs="Arial" w:eastAsia="Arial" w:hAnsi="Arial"/>
                <w:sz w:val="17"/>
                <w:szCs w:val="17"/>
                <w:color w:val="auto"/>
              </w:rPr>
              <w:t>(51)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860" w:type="dxa"/>
            <w:vAlign w:val="bottom"/>
          </w:tcPr>
          <w:p>
            <w:pPr>
              <w:ind w:left="220"/>
              <w:spacing w:after="0" w:line="187" w:lineRule="exact"/>
              <w:rPr>
                <w:sz w:val="20"/>
                <w:szCs w:val="20"/>
                <w:color w:val="auto"/>
              </w:rPr>
            </w:pPr>
            <w:r>
              <w:rPr>
                <w:rFonts w:ascii="Arial" w:cs="Arial" w:eastAsia="Arial" w:hAnsi="Arial"/>
                <w:sz w:val="17"/>
                <w:szCs w:val="17"/>
                <w:color w:val="auto"/>
              </w:rPr>
              <w:t>Gain on the issuance of convertible notes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00"/>
              <w:spacing w:after="0" w:line="187"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87" w:lineRule="exact"/>
              <w:rPr>
                <w:sz w:val="20"/>
                <w:szCs w:val="20"/>
                <w:color w:val="auto"/>
              </w:rPr>
            </w:pPr>
            <w:r>
              <w:rPr>
                <w:rFonts w:ascii="Arial" w:cs="Arial" w:eastAsia="Arial" w:hAnsi="Arial"/>
                <w:sz w:val="17"/>
                <w:szCs w:val="17"/>
                <w:color w:val="auto"/>
              </w:rPr>
              <w:t>63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860" w:type="dxa"/>
            <w:vAlign w:val="bottom"/>
            <w:shd w:val="clear" w:color="auto" w:fill="CCEEFF"/>
          </w:tcPr>
          <w:p>
            <w:pPr>
              <w:ind w:left="220"/>
              <w:spacing w:after="0" w:line="187" w:lineRule="exact"/>
              <w:rPr>
                <w:sz w:val="20"/>
                <w:szCs w:val="20"/>
                <w:color w:val="auto"/>
              </w:rPr>
            </w:pPr>
            <w:r>
              <w:rPr>
                <w:rFonts w:ascii="Arial" w:cs="Arial" w:eastAsia="Arial" w:hAnsi="Arial"/>
                <w:sz w:val="17"/>
                <w:szCs w:val="17"/>
                <w:color w:val="auto"/>
              </w:rPr>
              <w:t>Change in fair value of convertible notes</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line="187"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480"/>
              <w:spacing w:after="0"/>
              <w:rPr>
                <w:sz w:val="20"/>
                <w:szCs w:val="20"/>
                <w:color w:val="auto"/>
              </w:rPr>
            </w:pPr>
            <w:r>
              <w:rPr>
                <w:rFonts w:ascii="Arial" w:cs="Arial" w:eastAsia="Arial" w:hAnsi="Arial"/>
                <w:sz w:val="17"/>
                <w:szCs w:val="17"/>
                <w:color w:val="auto"/>
              </w:rPr>
              <w:t>Total other income(expense), net</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8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108</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(1,171)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78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Loss before provision for income taxes</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line="187" w:lineRule="exact"/>
              <w:rPr>
                <w:sz w:val="20"/>
                <w:szCs w:val="20"/>
                <w:color w:val="auto"/>
              </w:rPr>
            </w:pPr>
            <w:r>
              <w:rPr>
                <w:rFonts w:ascii="Arial" w:cs="Arial" w:eastAsia="Arial" w:hAnsi="Arial"/>
                <w:sz w:val="17"/>
                <w:szCs w:val="17"/>
                <w:color w:val="auto"/>
              </w:rPr>
              <w:t>(11,853)</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(53,412)</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7"/>
                <w:szCs w:val="17"/>
                <w:color w:val="auto"/>
              </w:rPr>
              <w:t>Provision for income taxes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88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4967287"/>
        </w:trPr>
        <w:tc>
          <w:tcPr>
            <w:tcW w:w="20" w:type="dxa"/>
            <w:vAlign w:val="bottom"/>
            <w:vMerge w:val="continue"/>
          </w:tcPr>
          <w:p>
            <w:pPr>
              <w:spacing w:after="0" w:line="20" w:lineRule="exact"/>
              <w:rPr>
                <w:sz w:val="1"/>
                <w:szCs w:val="1"/>
                <w:color w:val="auto"/>
              </w:rPr>
            </w:pPr>
          </w:p>
        </w:tc>
        <w:tc>
          <w:tcPr>
            <w:tcW w:w="78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Net loss and comprehensive loss</w:t>
            </w: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(11,854)</w:t>
            </w: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(53,413)</w:t>
            </w: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7860" w:type="dxa"/>
            <w:vAlign w:val="bottom"/>
            <w:shd w:val="clear" w:color="auto" w:fill="CCEEFF"/>
          </w:tcPr>
          <w:p>
            <w:pPr>
              <w:ind w:left="2460"/>
              <w:spacing w:after="0"/>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line="37" w:lineRule="exact"/>
              <w:rPr>
                <w:sz w:val="20"/>
                <w:szCs w:val="20"/>
                <w:color w:val="auto"/>
              </w:rPr>
            </w:pPr>
            <w:r>
              <w:rPr>
                <w:rFonts w:ascii="Arial" w:cs="Arial" w:eastAsia="Arial" w:hAnsi="Arial"/>
                <w:sz w:val="4"/>
                <w:szCs w:val="4"/>
                <w:color w:val="auto"/>
              </w:rPr>
              <w:t>Net loss per common share, basic and diluted</w:t>
            </w:r>
          </w:p>
        </w:tc>
        <w:tc>
          <w:tcPr>
            <w:tcW w:w="5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
        </w:trPr>
        <w:tc>
          <w:tcPr>
            <w:tcW w:w="7880" w:type="dxa"/>
            <w:vAlign w:val="bottom"/>
            <w:gridSpan w:val="2"/>
            <w:vMerge w:val="continue"/>
          </w:tcPr>
          <w:p>
            <w:pPr>
              <w:spacing w:after="0" w:line="20" w:lineRule="exact"/>
              <w:rPr>
                <w:sz w:val="1"/>
                <w:szCs w:val="1"/>
                <w:color w:val="auto"/>
              </w:rPr>
            </w:pPr>
          </w:p>
        </w:tc>
        <w:tc>
          <w:tcPr>
            <w:tcW w:w="540" w:type="dxa"/>
            <w:vAlign w:val="bottom"/>
            <w:gridSpan w:val="2"/>
          </w:tcPr>
          <w:p>
            <w:pPr>
              <w:jc w:val="right"/>
              <w:spacing w:after="0"/>
              <w:rPr>
                <w:sz w:val="20"/>
                <w:szCs w:val="20"/>
                <w:color w:val="auto"/>
              </w:rPr>
            </w:pPr>
            <w:r>
              <w:rPr>
                <w:rFonts w:ascii="Arial" w:cs="Arial" w:eastAsia="Arial" w:hAnsi="Arial"/>
                <w:sz w:val="1"/>
                <w:szCs w:val="1"/>
                <w:color w:val="auto"/>
              </w:rPr>
              <w:t>$</w:t>
            </w:r>
          </w:p>
        </w:tc>
        <w:tc>
          <w:tcPr>
            <w:tcW w:w="920" w:type="dxa"/>
            <w:vAlign w:val="bottom"/>
            <w:gridSpan w:val="2"/>
            <w:shd w:val="clear" w:color="auto" w:fill="000000"/>
          </w:tcPr>
          <w:p>
            <w:pPr>
              <w:jc w:val="right"/>
              <w:ind w:right="240"/>
              <w:spacing w:after="0"/>
              <w:rPr>
                <w:sz w:val="20"/>
                <w:szCs w:val="20"/>
                <w:color w:val="auto"/>
              </w:rPr>
            </w:pPr>
            <w:r>
              <w:rPr>
                <w:rFonts w:ascii="Arial" w:cs="Arial" w:eastAsia="Arial" w:hAnsi="Arial"/>
                <w:sz w:val="1"/>
                <w:szCs w:val="1"/>
                <w:color w:val="auto"/>
              </w:rPr>
              <w:t>(40.14)</w:t>
            </w:r>
          </w:p>
        </w:tc>
        <w:tc>
          <w:tcPr>
            <w:tcW w:w="320" w:type="dxa"/>
            <w:vAlign w:val="bottom"/>
            <w:gridSpan w:val="2"/>
          </w:tcPr>
          <w:p>
            <w:pPr>
              <w:jc w:val="right"/>
              <w:spacing w:after="0"/>
              <w:rPr>
                <w:sz w:val="20"/>
                <w:szCs w:val="20"/>
                <w:color w:val="auto"/>
              </w:rPr>
            </w:pPr>
            <w:r>
              <w:rPr>
                <w:rFonts w:ascii="Arial" w:cs="Arial" w:eastAsia="Arial" w:hAnsi="Arial"/>
                <w:sz w:val="1"/>
                <w:szCs w:val="1"/>
                <w:color w:val="auto"/>
              </w:rPr>
              <w:t>$</w:t>
            </w:r>
          </w:p>
        </w:tc>
        <w:tc>
          <w:tcPr>
            <w:tcW w:w="880" w:type="dxa"/>
            <w:vAlign w:val="bottom"/>
            <w:gridSpan w:val="2"/>
            <w:shd w:val="clear" w:color="auto" w:fill="000000"/>
          </w:tcPr>
          <w:p>
            <w:pPr>
              <w:jc w:val="right"/>
              <w:ind w:right="60"/>
              <w:spacing w:after="0"/>
              <w:rPr>
                <w:sz w:val="20"/>
                <w:szCs w:val="20"/>
                <w:color w:val="auto"/>
              </w:rPr>
            </w:pPr>
            <w:r>
              <w:rPr>
                <w:rFonts w:ascii="Arial" w:cs="Arial" w:eastAsia="Arial" w:hAnsi="Arial"/>
                <w:sz w:val="1"/>
                <w:szCs w:val="1"/>
                <w:color w:val="auto"/>
              </w:rPr>
              <w:t>(166.93)</w:t>
            </w:r>
          </w:p>
        </w:tc>
        <w:tc>
          <w:tcPr>
            <w:tcW w:w="0" w:type="dxa"/>
            <w:vAlign w:val="bottom"/>
          </w:tcPr>
          <w:p>
            <w:pPr>
              <w:spacing w:after="0" w:line="20" w:lineRule="exact"/>
              <w:rPr>
                <w:sz w:val="1"/>
                <w:szCs w:val="1"/>
                <w:color w:val="auto"/>
              </w:rPr>
            </w:pPr>
          </w:p>
        </w:tc>
      </w:tr>
      <w:tr>
        <w:trPr>
          <w:trHeight w:val="178"/>
        </w:trPr>
        <w:tc>
          <w:tcPr>
            <w:tcW w:w="7880" w:type="dxa"/>
            <w:vAlign w:val="bottom"/>
            <w:gridSpan w:val="2"/>
          </w:tcPr>
          <w:p>
            <w:pPr>
              <w:ind w:left="3420"/>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Weighted-average shares used to compute net loss per common share, basic and diluted</w:t>
            </w:r>
            <w:r>
              <w:rPr>
                <w:rFonts w:ascii="Arial" w:cs="Arial" w:eastAsia="Arial" w:hAnsi="Arial"/>
                <w:sz w:val="14"/>
                <w:szCs w:val="14"/>
                <w:color w:val="auto"/>
              </w:rPr>
              <w:t>(1)</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line="186" w:lineRule="exact"/>
              <w:rPr>
                <w:sz w:val="20"/>
                <w:szCs w:val="20"/>
                <w:color w:val="auto"/>
              </w:rPr>
            </w:pPr>
            <w:r>
              <w:rPr>
                <w:rFonts w:ascii="Arial" w:cs="Arial" w:eastAsia="Arial" w:hAnsi="Arial"/>
                <w:sz w:val="17"/>
                <w:szCs w:val="17"/>
                <w:color w:val="auto"/>
                <w:w w:val="97"/>
              </w:rPr>
              <w:t>295,328</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319,963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line="37" w:lineRule="exact"/>
              <w:rPr>
                <w:sz w:val="20"/>
                <w:szCs w:val="20"/>
                <w:color w:val="auto"/>
              </w:rPr>
            </w:pPr>
            <w:r>
              <w:rPr>
                <w:rFonts w:ascii="Arial" w:cs="Arial" w:eastAsia="Arial" w:hAnsi="Arial"/>
                <w:sz w:val="4"/>
                <w:szCs w:val="4"/>
                <w:color w:val="auto"/>
              </w:rPr>
              <w:t>Pro forma net loss per common share, basic and diluted (unaudited)</w:t>
            </w: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
        </w:trPr>
        <w:tc>
          <w:tcPr>
            <w:tcW w:w="788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jc w:val="right"/>
              <w:spacing w:after="0"/>
              <w:rPr>
                <w:sz w:val="20"/>
                <w:szCs w:val="20"/>
                <w:color w:val="auto"/>
              </w:rPr>
            </w:pPr>
            <w:r>
              <w:rPr>
                <w:rFonts w:ascii="Arial" w:cs="Arial" w:eastAsia="Arial" w:hAnsi="Arial"/>
                <w:sz w:val="1"/>
                <w:szCs w:val="1"/>
                <w:color w:val="auto"/>
              </w:rPr>
              <w:t>$</w:t>
            </w:r>
          </w:p>
        </w:tc>
        <w:tc>
          <w:tcPr>
            <w:tcW w:w="880" w:type="dxa"/>
            <w:vAlign w:val="bottom"/>
            <w:gridSpan w:val="2"/>
            <w:shd w:val="clear" w:color="auto" w:fill="000000"/>
          </w:tcPr>
          <w:p>
            <w:pPr>
              <w:jc w:val="right"/>
              <w:ind w:right="60"/>
              <w:spacing w:after="0"/>
              <w:rPr>
                <w:sz w:val="20"/>
                <w:szCs w:val="20"/>
                <w:color w:val="auto"/>
              </w:rPr>
            </w:pPr>
            <w:r>
              <w:rPr>
                <w:rFonts w:ascii="Arial" w:cs="Arial" w:eastAsia="Arial" w:hAnsi="Arial"/>
                <w:sz w:val="1"/>
                <w:szCs w:val="1"/>
                <w:color w:val="auto"/>
              </w:rPr>
              <w:t>(13.10)</w:t>
            </w:r>
          </w:p>
        </w:tc>
        <w:tc>
          <w:tcPr>
            <w:tcW w:w="0" w:type="dxa"/>
            <w:vAlign w:val="bottom"/>
          </w:tcPr>
          <w:p>
            <w:pPr>
              <w:spacing w:after="0" w:line="20" w:lineRule="exact"/>
              <w:rPr>
                <w:sz w:val="1"/>
                <w:szCs w:val="1"/>
                <w:color w:val="auto"/>
              </w:rPr>
            </w:pPr>
          </w:p>
        </w:tc>
      </w:tr>
      <w:tr>
        <w:trPr>
          <w:trHeight w:val="178"/>
        </w:trPr>
        <w:tc>
          <w:tcPr>
            <w:tcW w:w="7880" w:type="dxa"/>
            <w:vAlign w:val="bottom"/>
            <w:gridSpan w:val="2"/>
          </w:tcPr>
          <w:p>
            <w:pPr>
              <w:ind w:left="5100"/>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786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Weighted-average shares used to compute pro forma net loss per common share, basic and diluted</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line="190" w:lineRule="exact"/>
              <w:rPr>
                <w:sz w:val="20"/>
                <w:szCs w:val="20"/>
                <w:color w:val="auto"/>
              </w:rPr>
            </w:pPr>
            <w:r>
              <w:rPr>
                <w:rFonts w:ascii="Arial" w:cs="Arial" w:eastAsia="Arial" w:hAnsi="Arial"/>
                <w:sz w:val="17"/>
                <w:szCs w:val="17"/>
                <w:color w:val="auto"/>
                <w:w w:val="97"/>
              </w:rPr>
              <w:t>4,076,345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20" w:type="dxa"/>
            <w:vAlign w:val="bottom"/>
          </w:tcPr>
          <w:p>
            <w:pPr>
              <w:spacing w:after="0" w:line="20" w:lineRule="exact"/>
              <w:rPr>
                <w:sz w:val="1"/>
                <w:szCs w:val="1"/>
                <w:color w:val="auto"/>
              </w:rPr>
            </w:pPr>
          </w:p>
        </w:tc>
        <w:tc>
          <w:tcPr>
            <w:tcW w:w="7860" w:type="dxa"/>
            <w:vAlign w:val="bottom"/>
            <w:shd w:val="clear" w:color="auto" w:fill="CCEEFF"/>
          </w:tcPr>
          <w:p>
            <w:pPr>
              <w:ind w:left="220"/>
              <w:spacing w:after="0" w:line="10" w:lineRule="exact"/>
              <w:rPr>
                <w:sz w:val="20"/>
                <w:szCs w:val="20"/>
                <w:color w:val="auto"/>
              </w:rPr>
            </w:pPr>
            <w:r>
              <w:rPr>
                <w:rFonts w:ascii="Arial" w:cs="Arial" w:eastAsia="Arial" w:hAnsi="Arial"/>
                <w:sz w:val="1"/>
                <w:szCs w:val="1"/>
                <w:color w:val="auto"/>
              </w:rPr>
              <w:t>(unaudited)</w:t>
            </w: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vMerge w:val="continue"/>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786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(2)</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740" w:right="720" w:hanging="232"/>
        <w:spacing w:after="0" w:line="181" w:lineRule="auto"/>
        <w:tabs>
          <w:tab w:leader="none" w:pos="740" w:val="left"/>
        </w:tabs>
        <w:numPr>
          <w:ilvl w:val="1"/>
          <w:numId w:val="10"/>
        </w:numPr>
        <w:rPr>
          <w:rFonts w:ascii="Arial" w:cs="Arial" w:eastAsia="Arial" w:hAnsi="Arial"/>
          <w:sz w:val="23"/>
          <w:szCs w:val="23"/>
          <w:color w:val="auto"/>
          <w:vertAlign w:val="superscript"/>
        </w:rPr>
      </w:pPr>
      <w:r>
        <w:rPr>
          <w:rFonts w:ascii="Arial" w:cs="Arial" w:eastAsia="Arial" w:hAnsi="Arial"/>
          <w:sz w:val="14"/>
          <w:szCs w:val="14"/>
          <w:color w:val="auto"/>
        </w:rPr>
        <w:t>See Note 2 to our financial statements included elsewhere in this prospectus for a description of how we compute basic and diluted net loss per share attributable to common stockholders.</w:t>
      </w:r>
    </w:p>
    <w:p>
      <w:pPr>
        <w:ind w:left="740" w:right="20" w:hanging="271"/>
        <w:spacing w:after="0" w:line="212" w:lineRule="auto"/>
        <w:tabs>
          <w:tab w:leader="none" w:pos="74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The unaudited pro forma net loss per common share for the year ended December 31, 2020 was computed using the weighted-average number of shares of common stock outstanding, including the pro forma effect of the conversion of all outstanding shares of redeemable convertible preferred stock into 15,774,014 shares of Class A common stock and no shares of Class B common stock, as if such conversion had occurred at the beginning of the period, or their issuance dates, if later. The unaudited pro forma net loss per common share does not include the shares expected to be sold in, and related proceeds to be received from, the Company’s initial public offering of Class A common stock.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00"/>
          </w:cols>
          <w:pgMar w:left="320" w:top="456"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783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4200" cy="378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5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41"/>
        </w:trPr>
        <w:tc>
          <w:tcPr>
            <w:tcW w:w="5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left="103"/>
              <w:spacing w:after="0" w:line="141"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PRO</w:t>
            </w:r>
          </w:p>
        </w:tc>
        <w:tc>
          <w:tcPr>
            <w:tcW w:w="1240" w:type="dxa"/>
            <w:vAlign w:val="bottom"/>
            <w:gridSpan w:val="2"/>
          </w:tcPr>
          <w:p>
            <w:pPr>
              <w:jc w:val="center"/>
              <w:ind w:left="3"/>
              <w:spacing w:after="0" w:line="157"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50"/>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spacing w:after="0"/>
              <w:rPr>
                <w:sz w:val="13"/>
                <w:szCs w:val="13"/>
                <w:color w:val="auto"/>
              </w:rPr>
            </w:pPr>
          </w:p>
        </w:tc>
        <w:tc>
          <w:tcPr>
            <w:tcW w:w="960" w:type="dxa"/>
            <w:vAlign w:val="bottom"/>
            <w:gridSpan w:val="2"/>
            <w:vMerge w:val="restart"/>
          </w:tcPr>
          <w:p>
            <w:pPr>
              <w:jc w:val="right"/>
              <w:ind w:right="217"/>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40" w:type="dxa"/>
            <w:vAlign w:val="bottom"/>
            <w:gridSpan w:val="2"/>
          </w:tcPr>
          <w:p>
            <w:pPr>
              <w:jc w:val="center"/>
              <w:spacing w:after="0" w:line="150" w:lineRule="exact"/>
              <w:rPr>
                <w:sz w:val="20"/>
                <w:szCs w:val="20"/>
                <w:color w:val="auto"/>
              </w:rPr>
            </w:pPr>
            <w:r>
              <w:rPr>
                <w:rFonts w:ascii="Arial" w:cs="Arial" w:eastAsia="Arial" w:hAnsi="Arial"/>
                <w:sz w:val="11"/>
                <w:szCs w:val="11"/>
                <w:b w:val="1"/>
                <w:bCs w:val="1"/>
                <w:color w:val="auto"/>
              </w:rPr>
              <w:t xml:space="preserve">ADJUSTED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160"/>
        </w:trPr>
        <w:tc>
          <w:tcPr>
            <w:tcW w:w="5100" w:type="dxa"/>
            <w:vAlign w:val="bottom"/>
            <w:tcBorders>
              <w:bottom w:val="single" w:sz="8" w:color="CCEEFF"/>
            </w:tcBorders>
            <w:vMerge w:val="continue"/>
          </w:tcPr>
          <w:p>
            <w:pPr>
              <w:spacing w:after="0"/>
              <w:rPr>
                <w:sz w:val="13"/>
                <w:szCs w:val="13"/>
                <w:color w:val="auto"/>
              </w:rPr>
            </w:pPr>
          </w:p>
        </w:tc>
        <w:tc>
          <w:tcPr>
            <w:tcW w:w="21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2"/>
            <w:vMerge w:val="continue"/>
          </w:tcPr>
          <w:p>
            <w:pPr>
              <w:spacing w:after="0"/>
              <w:rPr>
                <w:sz w:val="13"/>
                <w:szCs w:val="13"/>
                <w:color w:val="auto"/>
              </w:rPr>
            </w:pPr>
          </w:p>
        </w:tc>
        <w:tc>
          <w:tcPr>
            <w:tcW w:w="1120" w:type="dxa"/>
            <w:vAlign w:val="bottom"/>
            <w:tcBorders>
              <w:bottom w:val="single" w:sz="8" w:color="auto"/>
            </w:tcBorders>
            <w:gridSpan w:val="2"/>
          </w:tcPr>
          <w:p>
            <w:pPr>
              <w:ind w:left="180"/>
              <w:spacing w:after="0" w:line="161" w:lineRule="exact"/>
              <w:rPr>
                <w:sz w:val="20"/>
                <w:szCs w:val="20"/>
                <w:color w:val="auto"/>
              </w:rPr>
            </w:pPr>
            <w:r>
              <w:rPr>
                <w:rFonts w:ascii="Arial" w:cs="Arial" w:eastAsia="Arial" w:hAnsi="Arial"/>
                <w:sz w:val="11"/>
                <w:szCs w:val="11"/>
                <w:b w:val="1"/>
                <w:bCs w:val="1"/>
                <w:color w:val="auto"/>
              </w:rPr>
              <w:t xml:space="preserve">FORMA </w:t>
            </w:r>
            <w:r>
              <w:rPr>
                <w:rFonts w:ascii="Arial" w:cs="Arial" w:eastAsia="Arial" w:hAnsi="Arial"/>
                <w:sz w:val="18"/>
                <w:szCs w:val="18"/>
                <w:b w:val="1"/>
                <w:bCs w:val="1"/>
                <w:color w:val="auto"/>
                <w:vertAlign w:val="superscript"/>
              </w:rPr>
              <w:t>(1)</w:t>
            </w:r>
          </w:p>
        </w:tc>
        <w:tc>
          <w:tcPr>
            <w:tcW w:w="1120" w:type="dxa"/>
            <w:vAlign w:val="bottom"/>
            <w:tcBorders>
              <w:bottom w:val="single" w:sz="8" w:color="auto"/>
            </w:tcBorders>
          </w:tcPr>
          <w:p>
            <w:pPr>
              <w:jc w:val="center"/>
              <w:ind w:left="103"/>
              <w:spacing w:after="0"/>
              <w:rPr>
                <w:sz w:val="20"/>
                <w:szCs w:val="20"/>
                <w:color w:val="auto"/>
              </w:rPr>
            </w:pPr>
            <w:r>
              <w:rPr>
                <w:rFonts w:ascii="Arial" w:cs="Arial" w:eastAsia="Arial" w:hAnsi="Arial"/>
                <w:sz w:val="12"/>
                <w:szCs w:val="12"/>
                <w:b w:val="1"/>
                <w:bCs w:val="1"/>
                <w:color w:val="auto"/>
                <w:w w:val="95"/>
              </w:rPr>
              <w:t>(3)</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100" w:type="dxa"/>
            <w:vAlign w:val="bottom"/>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Balance Sheet Data:</w:t>
            </w:r>
          </w:p>
        </w:tc>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line="187" w:lineRule="exact"/>
              <w:rPr>
                <w:sz w:val="20"/>
                <w:szCs w:val="20"/>
                <w:color w:val="auto"/>
              </w:rPr>
            </w:pPr>
            <w:r>
              <w:rPr>
                <w:rFonts w:ascii="Arial" w:cs="Arial" w:eastAsia="Arial" w:hAnsi="Arial"/>
                <w:sz w:val="17"/>
                <w:szCs w:val="17"/>
                <w:color w:val="auto"/>
              </w:rPr>
              <w:t>Cash and cash equivalents</w:t>
            </w:r>
          </w:p>
        </w:tc>
        <w:tc>
          <w:tcPr>
            <w:tcW w:w="222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w:t>
            </w:r>
          </w:p>
        </w:tc>
        <w:tc>
          <w:tcPr>
            <w:tcW w:w="860" w:type="dxa"/>
            <w:vAlign w:val="bottom"/>
          </w:tcPr>
          <w:p>
            <w:pPr>
              <w:jc w:val="right"/>
              <w:ind w:right="157"/>
              <w:spacing w:after="0" w:line="187" w:lineRule="exact"/>
              <w:rPr>
                <w:sz w:val="20"/>
                <w:szCs w:val="20"/>
                <w:color w:val="auto"/>
              </w:rPr>
            </w:pPr>
            <w:r>
              <w:rPr>
                <w:rFonts w:ascii="Arial" w:cs="Arial" w:eastAsia="Arial" w:hAnsi="Arial"/>
                <w:sz w:val="17"/>
                <w:szCs w:val="17"/>
                <w:color w:val="auto"/>
              </w:rPr>
              <w:t>53,654</w:t>
            </w:r>
          </w:p>
        </w:tc>
        <w:tc>
          <w:tcPr>
            <w:tcW w:w="280" w:type="dxa"/>
            <w:vAlign w:val="bottom"/>
          </w:tcPr>
          <w:p>
            <w:pPr>
              <w:ind w:left="180"/>
              <w:spacing w:after="0" w:line="187" w:lineRule="exact"/>
              <w:rPr>
                <w:sz w:val="20"/>
                <w:szCs w:val="20"/>
                <w:color w:val="auto"/>
              </w:rPr>
            </w:pPr>
            <w:r>
              <w:rPr>
                <w:rFonts w:ascii="Arial" w:cs="Arial" w:eastAsia="Arial" w:hAnsi="Arial"/>
                <w:sz w:val="17"/>
                <w:szCs w:val="17"/>
                <w:color w:val="auto"/>
                <w:w w:val="84"/>
              </w:rPr>
              <w:t>$</w:t>
            </w:r>
          </w:p>
        </w:tc>
        <w:tc>
          <w:tcPr>
            <w:tcW w:w="840" w:type="dxa"/>
            <w:vAlign w:val="bottom"/>
          </w:tcPr>
          <w:p>
            <w:pPr>
              <w:jc w:val="right"/>
              <w:ind w:right="157"/>
              <w:spacing w:after="0" w:line="187" w:lineRule="exact"/>
              <w:rPr>
                <w:sz w:val="20"/>
                <w:szCs w:val="20"/>
                <w:color w:val="auto"/>
              </w:rPr>
            </w:pPr>
            <w:r>
              <w:rPr>
                <w:rFonts w:ascii="Arial" w:cs="Arial" w:eastAsia="Arial" w:hAnsi="Arial"/>
                <w:sz w:val="17"/>
                <w:szCs w:val="17"/>
                <w:color w:val="auto"/>
              </w:rPr>
              <w:t>53,654</w:t>
            </w:r>
          </w:p>
        </w:tc>
        <w:tc>
          <w:tcPr>
            <w:tcW w:w="1120" w:type="dxa"/>
            <w:vAlign w:val="bottom"/>
          </w:tcPr>
          <w:p>
            <w:pPr>
              <w:jc w:val="right"/>
              <w:spacing w:after="0" w:line="187" w:lineRule="exact"/>
              <w:rPr>
                <w:sz w:val="20"/>
                <w:szCs w:val="20"/>
                <w:color w:val="auto"/>
              </w:rPr>
            </w:pPr>
            <w:r>
              <w:rPr>
                <w:rFonts w:ascii="Arial" w:cs="Arial" w:eastAsia="Arial" w:hAnsi="Arial"/>
                <w:sz w:val="17"/>
                <w:szCs w:val="17"/>
                <w:color w:val="auto"/>
              </w:rPr>
              <w:t>114,336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 xml:space="preserve">Working capital </w:t>
            </w:r>
            <w:r>
              <w:rPr>
                <w:rFonts w:ascii="Arial" w:cs="Arial" w:eastAsia="Arial" w:hAnsi="Arial"/>
                <w:sz w:val="14"/>
                <w:szCs w:val="14"/>
                <w:color w:val="auto"/>
              </w:rPr>
              <w:t>(4)</w:t>
            </w:r>
          </w:p>
        </w:tc>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57"/>
              <w:spacing w:after="0" w:line="187" w:lineRule="exact"/>
              <w:rPr>
                <w:sz w:val="20"/>
                <w:szCs w:val="20"/>
                <w:color w:val="auto"/>
              </w:rPr>
            </w:pPr>
            <w:r>
              <w:rPr>
                <w:rFonts w:ascii="Arial" w:cs="Arial" w:eastAsia="Arial" w:hAnsi="Arial"/>
                <w:sz w:val="17"/>
                <w:szCs w:val="17"/>
                <w:color w:val="auto"/>
              </w:rPr>
              <w:t>51,855</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57"/>
              <w:spacing w:after="0" w:line="187" w:lineRule="exact"/>
              <w:rPr>
                <w:sz w:val="20"/>
                <w:szCs w:val="20"/>
                <w:color w:val="auto"/>
              </w:rPr>
            </w:pPr>
            <w:r>
              <w:rPr>
                <w:rFonts w:ascii="Arial" w:cs="Arial" w:eastAsia="Arial" w:hAnsi="Arial"/>
                <w:sz w:val="17"/>
                <w:szCs w:val="17"/>
                <w:color w:val="auto"/>
              </w:rPr>
              <w:t>51,855</w:t>
            </w:r>
          </w:p>
        </w:tc>
        <w:tc>
          <w:tcPr>
            <w:tcW w:w="11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112,537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line="187" w:lineRule="exact"/>
              <w:rPr>
                <w:sz w:val="20"/>
                <w:szCs w:val="20"/>
                <w:color w:val="auto"/>
              </w:rPr>
            </w:pPr>
            <w:r>
              <w:rPr>
                <w:rFonts w:ascii="Arial" w:cs="Arial" w:eastAsia="Arial" w:hAnsi="Arial"/>
                <w:sz w:val="17"/>
                <w:szCs w:val="17"/>
                <w:color w:val="auto"/>
              </w:rPr>
              <w:t>Total assets</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57"/>
              <w:spacing w:after="0" w:line="187" w:lineRule="exact"/>
              <w:rPr>
                <w:sz w:val="20"/>
                <w:szCs w:val="20"/>
                <w:color w:val="auto"/>
              </w:rPr>
            </w:pPr>
            <w:r>
              <w:rPr>
                <w:rFonts w:ascii="Arial" w:cs="Arial" w:eastAsia="Arial" w:hAnsi="Arial"/>
                <w:sz w:val="17"/>
                <w:szCs w:val="17"/>
                <w:color w:val="auto"/>
              </w:rPr>
              <w:t>54,554</w:t>
            </w:r>
          </w:p>
        </w:tc>
        <w:tc>
          <w:tcPr>
            <w:tcW w:w="280" w:type="dxa"/>
            <w:vAlign w:val="bottom"/>
          </w:tcPr>
          <w:p>
            <w:pPr>
              <w:spacing w:after="0"/>
              <w:rPr>
                <w:sz w:val="16"/>
                <w:szCs w:val="16"/>
                <w:color w:val="auto"/>
              </w:rPr>
            </w:pPr>
          </w:p>
        </w:tc>
        <w:tc>
          <w:tcPr>
            <w:tcW w:w="840" w:type="dxa"/>
            <w:vAlign w:val="bottom"/>
          </w:tcPr>
          <w:p>
            <w:pPr>
              <w:jc w:val="right"/>
              <w:ind w:right="157"/>
              <w:spacing w:after="0" w:line="187" w:lineRule="exact"/>
              <w:rPr>
                <w:sz w:val="20"/>
                <w:szCs w:val="20"/>
                <w:color w:val="auto"/>
              </w:rPr>
            </w:pPr>
            <w:r>
              <w:rPr>
                <w:rFonts w:ascii="Arial" w:cs="Arial" w:eastAsia="Arial" w:hAnsi="Arial"/>
                <w:sz w:val="17"/>
                <w:szCs w:val="17"/>
                <w:color w:val="auto"/>
              </w:rPr>
              <w:t>54,554</w:t>
            </w:r>
          </w:p>
        </w:tc>
        <w:tc>
          <w:tcPr>
            <w:tcW w:w="1120" w:type="dxa"/>
            <w:vAlign w:val="bottom"/>
          </w:tcPr>
          <w:p>
            <w:pPr>
              <w:jc w:val="right"/>
              <w:spacing w:after="0" w:line="187" w:lineRule="exact"/>
              <w:rPr>
                <w:sz w:val="20"/>
                <w:szCs w:val="20"/>
                <w:color w:val="auto"/>
              </w:rPr>
            </w:pPr>
            <w:r>
              <w:rPr>
                <w:rFonts w:ascii="Arial" w:cs="Arial" w:eastAsia="Arial" w:hAnsi="Arial"/>
                <w:sz w:val="17"/>
                <w:szCs w:val="17"/>
                <w:color w:val="auto"/>
              </w:rPr>
              <w:t>115,236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Total liabilities</w:t>
            </w:r>
          </w:p>
        </w:tc>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57"/>
              <w:spacing w:after="0" w:line="187" w:lineRule="exact"/>
              <w:rPr>
                <w:sz w:val="20"/>
                <w:szCs w:val="20"/>
                <w:color w:val="auto"/>
              </w:rPr>
            </w:pPr>
            <w:r>
              <w:rPr>
                <w:rFonts w:ascii="Arial" w:cs="Arial" w:eastAsia="Arial" w:hAnsi="Arial"/>
                <w:sz w:val="17"/>
                <w:szCs w:val="17"/>
                <w:color w:val="auto"/>
              </w:rPr>
              <w:t>4,326</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57"/>
              <w:spacing w:after="0" w:line="187" w:lineRule="exact"/>
              <w:rPr>
                <w:sz w:val="20"/>
                <w:szCs w:val="20"/>
                <w:color w:val="auto"/>
              </w:rPr>
            </w:pPr>
            <w:r>
              <w:rPr>
                <w:rFonts w:ascii="Arial" w:cs="Arial" w:eastAsia="Arial" w:hAnsi="Arial"/>
                <w:sz w:val="17"/>
                <w:szCs w:val="17"/>
                <w:color w:val="auto"/>
              </w:rPr>
              <w:t>4,326</w:t>
            </w:r>
          </w:p>
        </w:tc>
        <w:tc>
          <w:tcPr>
            <w:tcW w:w="11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4,326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line="187" w:lineRule="exact"/>
              <w:rPr>
                <w:sz w:val="20"/>
                <w:szCs w:val="20"/>
                <w:color w:val="auto"/>
              </w:rPr>
            </w:pPr>
            <w:r>
              <w:rPr>
                <w:rFonts w:ascii="Arial" w:cs="Arial" w:eastAsia="Arial" w:hAnsi="Arial"/>
                <w:sz w:val="17"/>
                <w:szCs w:val="17"/>
                <w:color w:val="auto"/>
              </w:rPr>
              <w:t>Redeemable convertible preferred stock</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57"/>
              <w:spacing w:after="0" w:line="187" w:lineRule="exact"/>
              <w:rPr>
                <w:sz w:val="20"/>
                <w:szCs w:val="20"/>
                <w:color w:val="auto"/>
              </w:rPr>
            </w:pPr>
            <w:r>
              <w:rPr>
                <w:rFonts w:ascii="Arial" w:cs="Arial" w:eastAsia="Arial" w:hAnsi="Arial"/>
                <w:sz w:val="17"/>
                <w:szCs w:val="17"/>
                <w:color w:val="auto"/>
                <w:w w:val="97"/>
              </w:rPr>
              <w:t>139,576</w:t>
            </w:r>
          </w:p>
        </w:tc>
        <w:tc>
          <w:tcPr>
            <w:tcW w:w="280" w:type="dxa"/>
            <w:vAlign w:val="bottom"/>
          </w:tcPr>
          <w:p>
            <w:pPr>
              <w:spacing w:after="0"/>
              <w:rPr>
                <w:sz w:val="16"/>
                <w:szCs w:val="16"/>
                <w:color w:val="auto"/>
              </w:rPr>
            </w:pPr>
          </w:p>
        </w:tc>
        <w:tc>
          <w:tcPr>
            <w:tcW w:w="840" w:type="dxa"/>
            <w:vAlign w:val="bottom"/>
          </w:tcPr>
          <w:p>
            <w:pPr>
              <w:jc w:val="right"/>
              <w:ind w:right="157"/>
              <w:spacing w:after="0" w:line="187"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51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Accumulated deficit</w:t>
            </w:r>
          </w:p>
        </w:tc>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7"/>
              <w:spacing w:after="0" w:line="187" w:lineRule="exact"/>
              <w:rPr>
                <w:sz w:val="20"/>
                <w:szCs w:val="20"/>
                <w:color w:val="auto"/>
              </w:rPr>
            </w:pPr>
            <w:r>
              <w:rPr>
                <w:rFonts w:ascii="Arial" w:cs="Arial" w:eastAsia="Arial" w:hAnsi="Arial"/>
                <w:sz w:val="17"/>
                <w:szCs w:val="17"/>
                <w:color w:val="auto"/>
              </w:rPr>
              <w:t>(91,447)</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7"/>
              <w:spacing w:after="0" w:line="187" w:lineRule="exact"/>
              <w:rPr>
                <w:sz w:val="20"/>
                <w:szCs w:val="20"/>
                <w:color w:val="auto"/>
              </w:rPr>
            </w:pPr>
            <w:r>
              <w:rPr>
                <w:rFonts w:ascii="Arial" w:cs="Arial" w:eastAsia="Arial" w:hAnsi="Arial"/>
                <w:sz w:val="17"/>
                <w:szCs w:val="17"/>
                <w:color w:val="auto"/>
              </w:rPr>
              <w:t>(91,447)</w:t>
            </w:r>
          </w:p>
        </w:tc>
        <w:tc>
          <w:tcPr>
            <w:tcW w:w="124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(91,447)</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7"/>
                <w:szCs w:val="17"/>
                <w:color w:val="auto"/>
              </w:rPr>
              <w:t>Total stockholders’ equity (deficit)</w:t>
            </w:r>
          </w:p>
        </w:tc>
        <w:tc>
          <w:tcPr>
            <w:tcW w:w="2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(89,348)</w:t>
            </w:r>
          </w:p>
        </w:tc>
        <w:tc>
          <w:tcPr>
            <w:tcW w:w="280" w:type="dxa"/>
            <w:vAlign w:val="bottom"/>
          </w:tcPr>
          <w:p>
            <w:pPr>
              <w:ind w:left="180"/>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57"/>
              <w:spacing w:after="0"/>
              <w:rPr>
                <w:sz w:val="20"/>
                <w:szCs w:val="20"/>
                <w:color w:val="auto"/>
              </w:rPr>
            </w:pPr>
            <w:r>
              <w:rPr>
                <w:rFonts w:ascii="Arial" w:cs="Arial" w:eastAsia="Arial" w:hAnsi="Arial"/>
                <w:sz w:val="17"/>
                <w:szCs w:val="17"/>
                <w:color w:val="auto"/>
              </w:rPr>
              <w:t>50,228</w:t>
            </w:r>
          </w:p>
        </w:tc>
        <w:tc>
          <w:tcPr>
            <w:tcW w:w="1120" w:type="dxa"/>
            <w:vAlign w:val="bottom"/>
          </w:tcPr>
          <w:p>
            <w:pPr>
              <w:jc w:val="right"/>
              <w:spacing w:after="0"/>
              <w:rPr>
                <w:sz w:val="20"/>
                <w:szCs w:val="20"/>
                <w:color w:val="auto"/>
              </w:rPr>
            </w:pPr>
            <w:r>
              <w:rPr>
                <w:rFonts w:ascii="Arial" w:cs="Arial" w:eastAsia="Arial" w:hAnsi="Arial"/>
                <w:sz w:val="17"/>
                <w:szCs w:val="17"/>
                <w:color w:val="auto"/>
              </w:rPr>
              <w:t>110,910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740" w:right="20" w:hanging="232"/>
        <w:spacing w:after="0" w:line="193" w:lineRule="auto"/>
        <w:tabs>
          <w:tab w:leader="none" w:pos="74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The pro forma column in the balance sheet data gives effect to (i) the automatic conversion of all outstanding shares of our redeemable convertible preferred stock into an aggregate of 15,774,014 shares of Class A common stock and no shares of Class B common stock which will occur upon the closing of this offering and the related reclassification of the carrying value of our redeemable convertible preferred stock to permanent equity upon the closing of this offering, and</w:t>
      </w:r>
    </w:p>
    <w:p>
      <w:pPr>
        <w:ind w:left="740"/>
        <w:spacing w:after="0"/>
        <w:rPr>
          <w:rFonts w:ascii="Arial" w:cs="Arial" w:eastAsia="Arial" w:hAnsi="Arial"/>
          <w:sz w:val="24"/>
          <w:szCs w:val="24"/>
          <w:color w:val="auto"/>
          <w:vertAlign w:val="superscript"/>
        </w:rPr>
      </w:pPr>
      <w:r>
        <w:rPr>
          <w:rFonts w:ascii="Arial" w:cs="Arial" w:eastAsia="Arial" w:hAnsi="Arial"/>
          <w:sz w:val="14"/>
          <w:szCs w:val="14"/>
          <w:color w:val="auto"/>
        </w:rPr>
        <w:t>(ii) the filing and effectiveness of our amended and restated certificate of incorporation that will be in effect immediately after the closing of this offering.</w:t>
      </w:r>
    </w:p>
    <w:p>
      <w:pPr>
        <w:spacing w:after="0" w:line="39" w:lineRule="exact"/>
        <w:rPr>
          <w:rFonts w:ascii="Arial" w:cs="Arial" w:eastAsia="Arial" w:hAnsi="Arial"/>
          <w:sz w:val="24"/>
          <w:szCs w:val="24"/>
          <w:color w:val="auto"/>
          <w:vertAlign w:val="superscript"/>
        </w:rPr>
      </w:pPr>
    </w:p>
    <w:p>
      <w:pPr>
        <w:ind w:left="740" w:right="500" w:hanging="232"/>
        <w:spacing w:after="0" w:line="197" w:lineRule="auto"/>
        <w:tabs>
          <w:tab w:leader="none" w:pos="74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The pro forma as adjusted column in the balance sheet data gives effect to (i) the items described in footnote (1) above and (ii) the issuance and sale of 4,350,000 shares of our Class A common stock in this offering at the assumed initial public offering price of $15.00 per share after deducting underwriting discounts and commissions and estimated offering expenses payable by us.</w:t>
      </w:r>
    </w:p>
    <w:p>
      <w:pPr>
        <w:spacing w:after="0" w:line="30" w:lineRule="exact"/>
        <w:rPr>
          <w:rFonts w:ascii="Arial" w:cs="Arial" w:eastAsia="Arial" w:hAnsi="Arial"/>
          <w:sz w:val="24"/>
          <w:szCs w:val="24"/>
          <w:color w:val="auto"/>
          <w:vertAlign w:val="superscript"/>
        </w:rPr>
      </w:pPr>
    </w:p>
    <w:p>
      <w:pPr>
        <w:ind w:left="740" w:right="20" w:hanging="232"/>
        <w:spacing w:after="0" w:line="213" w:lineRule="auto"/>
        <w:tabs>
          <w:tab w:leader="none" w:pos="74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The pro forma as adjusted information is illustrative only and will depend on the actual initial public offering price and other terms of this offering determined at pricing. Each $1.00 increase or decrease in the assumed initial public offering price of $15.00 per share would increase or decrease, as applicable, each of cash and cash equivalents, working capital, total assets and total stockholders’ equity (deficit) by $4.0 million, assuming that the number of shares of Class A common stock offered by us, as set forth on the cover page of this prospectus, remains the same, after deducting underwriting discounts and commissions and estimated offering expenses payable by us. Similarly, each increase or decrease of 1.0 million shares in the number of shares of Class A common stock offered by us would increase or decrease, as applicable, each of cash and cash equivalents, working capital, total assets, and total stockholders’ equity (deficit) by</w:t>
      </w:r>
    </w:p>
    <w:p>
      <w:pPr>
        <w:spacing w:after="0" w:line="3" w:lineRule="exact"/>
        <w:rPr>
          <w:rFonts w:ascii="Arial" w:cs="Arial" w:eastAsia="Arial" w:hAnsi="Arial"/>
          <w:sz w:val="24"/>
          <w:szCs w:val="24"/>
          <w:color w:val="auto"/>
          <w:vertAlign w:val="superscript"/>
        </w:rPr>
      </w:pPr>
    </w:p>
    <w:p>
      <w:pPr>
        <w:ind w:left="740"/>
        <w:spacing w:after="0"/>
        <w:rPr>
          <w:rFonts w:ascii="Arial" w:cs="Arial" w:eastAsia="Arial" w:hAnsi="Arial"/>
          <w:sz w:val="24"/>
          <w:szCs w:val="24"/>
          <w:color w:val="auto"/>
          <w:vertAlign w:val="superscript"/>
        </w:rPr>
      </w:pPr>
      <w:r>
        <w:rPr>
          <w:rFonts w:ascii="Arial" w:cs="Arial" w:eastAsia="Arial" w:hAnsi="Arial"/>
          <w:sz w:val="14"/>
          <w:szCs w:val="14"/>
          <w:color w:val="auto"/>
        </w:rPr>
        <w:t>$14.0 million, and after deducting underwriting discounts and commissions and estimated offering expenses payable by us.</w:t>
      </w:r>
    </w:p>
    <w:p>
      <w:pPr>
        <w:spacing w:after="0" w:line="39" w:lineRule="exact"/>
        <w:rPr>
          <w:rFonts w:ascii="Arial" w:cs="Arial" w:eastAsia="Arial" w:hAnsi="Arial"/>
          <w:sz w:val="24"/>
          <w:szCs w:val="24"/>
          <w:color w:val="auto"/>
          <w:vertAlign w:val="superscript"/>
        </w:rPr>
      </w:pPr>
    </w:p>
    <w:p>
      <w:pPr>
        <w:ind w:left="740" w:right="420" w:hanging="232"/>
        <w:spacing w:after="0" w:line="182" w:lineRule="auto"/>
        <w:tabs>
          <w:tab w:leader="none" w:pos="74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00"/>
          </w:cols>
          <w:pgMar w:left="320" w:top="456" w:right="6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313" w:lineRule="exact"/>
        <w:rPr>
          <w:sz w:val="20"/>
          <w:szCs w:val="20"/>
          <w:color w:val="auto"/>
        </w:rPr>
      </w:pPr>
    </w:p>
    <w:p>
      <w:pPr>
        <w:ind w:left="160" w:right="20"/>
        <w:spacing w:after="0" w:line="236"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risks described below, as well as the other information in this prospectus, including our financial statements and the related notes and the section titled “Management’s Discussion and Analysis of Financial Condition and Results of Operations” before deciding whether to invest in our securities. The occurrence of any of the events or developments described below could harm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deem immaterial also may impair our business operations.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71" w:lineRule="exact"/>
        <w:rPr>
          <w:sz w:val="20"/>
          <w:szCs w:val="20"/>
          <w:color w:val="auto"/>
        </w:rPr>
      </w:pPr>
    </w:p>
    <w:p>
      <w:pPr>
        <w:ind w:left="160" w:right="360"/>
        <w:spacing w:after="0" w:line="258" w:lineRule="auto"/>
        <w:rPr>
          <w:sz w:val="20"/>
          <w:szCs w:val="20"/>
          <w:color w:val="auto"/>
        </w:rPr>
      </w:pPr>
      <w:r>
        <w:rPr>
          <w:rFonts w:ascii="Arial" w:cs="Arial" w:eastAsia="Arial" w:hAnsi="Arial"/>
          <w:sz w:val="17"/>
          <w:szCs w:val="17"/>
          <w:b w:val="1"/>
          <w:bCs w:val="1"/>
          <w:i w:val="1"/>
          <w:iCs w:val="1"/>
          <w:color w:val="auto"/>
        </w:rPr>
        <w:t>We have not completed any clinical trials for our lead product candidate, atacicept, and have no products approved for commercial sale, which may make it difficult for you to evaluate our current business and predict our future success and viability.</w:t>
      </w:r>
    </w:p>
    <w:p>
      <w:pPr>
        <w:spacing w:after="0" w:line="1" w:lineRule="exact"/>
        <w:rPr>
          <w:sz w:val="20"/>
          <w:szCs w:val="20"/>
          <w:color w:val="auto"/>
        </w:rPr>
      </w:pPr>
    </w:p>
    <w:p>
      <w:pPr>
        <w:ind w:left="160" w:right="120"/>
        <w:spacing w:after="0" w:line="232" w:lineRule="auto"/>
        <w:rPr>
          <w:sz w:val="20"/>
          <w:szCs w:val="20"/>
          <w:color w:val="auto"/>
        </w:rPr>
      </w:pPr>
      <w:r>
        <w:rPr>
          <w:rFonts w:ascii="Arial" w:cs="Arial" w:eastAsia="Arial" w:hAnsi="Arial"/>
          <w:sz w:val="17"/>
          <w:szCs w:val="17"/>
          <w:color w:val="auto"/>
        </w:rPr>
        <w:t>We are a clinical-stage biotechnology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acquiring, developing and securing our lead technology and product candidate, atacicept, and initiating a Phase 2b study to further evaluate atacicept in patients with IgAN. We have not yet demonstrated our ability to successfully complete any clinical trials with respect to atacicept,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spacing w:after="0" w:line="147"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In addition, we may encounter unforeseen expenses, difficulties, complications, delays and other known and unknown factors and risks frequently experienced by clinical-stage biotechnology companies in rapidly evolving fields. We may face difficulty transitioning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spacing w:after="0" w:line="48" w:lineRule="exact"/>
        <w:rPr>
          <w:sz w:val="20"/>
          <w:szCs w:val="20"/>
          <w:color w:val="auto"/>
        </w:rPr>
      </w:pPr>
    </w:p>
    <w:p>
      <w:pPr>
        <w:jc w:val="both"/>
        <w:ind w:left="160" w:right="20"/>
        <w:spacing w:after="0" w:line="246"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7"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Developing treatments for immunological and inflammatory diseases,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continue to conduct clinical trials of, and seek marketing approval for, atacicept. With only one product candidate in development, we anticipate incurring significant costs associated with the development of atacicept. Our expenses could increase beyond expectations if we are required by the FDA, or any comparable foreign regulatory authority to perform clinical trials or nonclinical studies in addition to those that we currently anticipate. Other unanticipated costs may also arise. In addition, if we obtain marketing approval for atacicept,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Following this offering, we also expect to incur additional costs associated with operating as a public company. Accordingly, we will need to obtain substantial additional funding in order to maintain our continuing operations.</w:t>
      </w:r>
    </w:p>
    <w:p>
      <w:pPr>
        <w:spacing w:after="0" w:line="150" w:lineRule="exact"/>
        <w:rPr>
          <w:sz w:val="20"/>
          <w:szCs w:val="20"/>
          <w:color w:val="auto"/>
        </w:rPr>
      </w:pPr>
    </w:p>
    <w:p>
      <w:pPr>
        <w:ind w:left="160" w:right="440"/>
        <w:spacing w:after="0" w:line="239" w:lineRule="auto"/>
        <w:rPr>
          <w:sz w:val="20"/>
          <w:szCs w:val="20"/>
          <w:color w:val="auto"/>
        </w:rPr>
      </w:pPr>
      <w:r>
        <w:rPr>
          <w:rFonts w:ascii="Arial" w:cs="Arial" w:eastAsia="Arial" w:hAnsi="Arial"/>
          <w:sz w:val="17"/>
          <w:szCs w:val="17"/>
          <w:color w:val="auto"/>
        </w:rPr>
        <w:t>As of December 31, 2020, we had $53.7 million in cash and cash equivalents. Based on our current operating plans, we believe that the net proceeds from this offering, together with our existing cash and cash equivalents, will</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60"/>
          </w:cols>
          <w:pgMar w:left="320" w:top="456"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be sufficient to fund our operating expenses and capital expenditures requirements for at least the next 18 months. Our estimate as to how long we expect the net proceeds from this offering, together with our existing cash and cash equivalents,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Moreover, it is particularly difficult to estimate with certainty our future expenses given the dynamic nature of our business, the ongoing COVID-19 pandemic and the macro-economic environment generally. We anticipate that our expenses will increase substantially if, and as, we:</w:t>
      </w:r>
    </w:p>
    <w:p>
      <w:pPr>
        <w:spacing w:after="0" w:line="189" w:lineRule="exact"/>
        <w:rPr>
          <w:sz w:val="20"/>
          <w:szCs w:val="20"/>
          <w:color w:val="auto"/>
        </w:rPr>
      </w:pPr>
    </w:p>
    <w:p>
      <w:pPr>
        <w:ind w:left="1020" w:hanging="425"/>
        <w:spacing w:after="0"/>
        <w:tabs>
          <w:tab w:leader="none" w:pos="102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continue our ongoing and planned research and development of our product candidate, atacicept, for the treatment of IgAN and LN;</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initiate nonclinical studies and clinical trials for atacicept and any additional product candidates that we may pursue in the future;</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seek to discover and develop additional product candidates and further expand our clinical product pipeline;</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seek regulatory approvals for any product candidates that successfully complete clinical trials;</w:t>
      </w:r>
    </w:p>
    <w:p>
      <w:pPr>
        <w:spacing w:after="0" w:line="31" w:lineRule="exact"/>
        <w:rPr>
          <w:rFonts w:ascii="MS PGothic" w:cs="MS PGothic" w:eastAsia="MS PGothic" w:hAnsi="MS PGothic"/>
          <w:sz w:val="12"/>
          <w:szCs w:val="12"/>
          <w:color w:val="auto"/>
        </w:rPr>
      </w:pPr>
    </w:p>
    <w:p>
      <w:pPr>
        <w:ind w:left="1020" w:right="160" w:hanging="425"/>
        <w:spacing w:after="0" w:line="239" w:lineRule="auto"/>
        <w:tabs>
          <w:tab w:leader="none" w:pos="102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continue to scale up external manufacturing capacity with the aim of securing sufficient quantities to meet our capacity requirements for clinical trials and potential commercialization;</w:t>
      </w:r>
    </w:p>
    <w:p>
      <w:pPr>
        <w:spacing w:after="0" w:line="25" w:lineRule="exact"/>
        <w:rPr>
          <w:rFonts w:ascii="MS PGothic" w:cs="MS PGothic" w:eastAsia="MS PGothic" w:hAnsi="MS PGothic"/>
          <w:sz w:val="12"/>
          <w:szCs w:val="12"/>
          <w:color w:val="auto"/>
        </w:rPr>
      </w:pPr>
    </w:p>
    <w:p>
      <w:pPr>
        <w:ind w:left="1020" w:right="160" w:hanging="425"/>
        <w:spacing w:after="0" w:line="239" w:lineRule="auto"/>
        <w:tabs>
          <w:tab w:leader="none" w:pos="102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establish a sales, marketing and distribution infrastructure to commercialize any approved product candidates and related additional commercial manufacturing costs;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develop, maintain, expand, protect and enforce our intellectual property portfolio, including patents, trade secrets, and know how;</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acquire, develop or in-license other product candidates and technologies;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attract, hire and retain additional clinical, scientific, quality control, and manufacturing management and administrative personnel;</w:t>
      </w:r>
    </w:p>
    <w:p>
      <w:pPr>
        <w:spacing w:after="0" w:line="31" w:lineRule="exact"/>
        <w:rPr>
          <w:rFonts w:ascii="MS PGothic" w:cs="MS PGothic" w:eastAsia="MS PGothic" w:hAnsi="MS PGothic"/>
          <w:sz w:val="12"/>
          <w:szCs w:val="12"/>
          <w:color w:val="auto"/>
        </w:rPr>
      </w:pPr>
    </w:p>
    <w:p>
      <w:pPr>
        <w:ind w:left="1020" w:right="240" w:hanging="425"/>
        <w:spacing w:after="0" w:line="239" w:lineRule="auto"/>
        <w:tabs>
          <w:tab w:leader="none" w:pos="102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add clinical, operational, financial and management information systems and personnel, including personnel to support our product development and planned future commercialization efforts; and</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3"/>
        </w:numPr>
        <w:rPr>
          <w:rFonts w:ascii="MS PGothic" w:cs="MS PGothic" w:eastAsia="MS PGothic" w:hAnsi="MS PGothic"/>
          <w:sz w:val="12"/>
          <w:szCs w:val="12"/>
          <w:color w:val="auto"/>
        </w:rPr>
      </w:pPr>
      <w:r>
        <w:rPr>
          <w:rFonts w:ascii="Arial" w:cs="Arial" w:eastAsia="Arial" w:hAnsi="Arial"/>
          <w:sz w:val="17"/>
          <w:szCs w:val="17"/>
          <w:color w:val="auto"/>
        </w:rPr>
        <w:t>incur additional legal, accounting, investor relations and other expenses associated with operating as a public company.</w:t>
      </w:r>
    </w:p>
    <w:p>
      <w:pPr>
        <w:spacing w:after="0" w:line="152"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We plan to use the net proceeds from this offering to advance and expand our clinical and nonclinical development programs and for working capital and other general corporate purposes. Advancing the development of atacicept and any future product candidates we may develop will require a significant amount of capital. The net proceeds from this offering and our existing cash and cash equivalents will not be sufficient to fund all of the activities that are necessary to complete the development of atacicept.</w:t>
      </w:r>
    </w:p>
    <w:p>
      <w:pPr>
        <w:spacing w:after="0" w:line="147"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We will be required to obtain further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Market volatility, including as a result of the COVID-19 pandemic, could also adversely impact our ability to access capital as and when needed.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45" w:lineRule="exact"/>
        <w:rPr>
          <w:sz w:val="20"/>
          <w:szCs w:val="20"/>
          <w:color w:val="auto"/>
        </w:rPr>
      </w:pPr>
    </w:p>
    <w:p>
      <w:pPr>
        <w:ind w:left="160" w:right="200"/>
        <w:spacing w:after="0" w:line="258" w:lineRule="auto"/>
        <w:rPr>
          <w:sz w:val="20"/>
          <w:szCs w:val="20"/>
          <w:color w:val="auto"/>
        </w:rPr>
      </w:pPr>
      <w:r>
        <w:rPr>
          <w:rFonts w:ascii="Arial" w:cs="Arial" w:eastAsia="Arial" w:hAnsi="Arial"/>
          <w:sz w:val="17"/>
          <w:szCs w:val="17"/>
          <w:b w:val="1"/>
          <w:bCs w:val="1"/>
          <w:i w:val="1"/>
          <w:iCs w:val="1"/>
          <w:color w:val="auto"/>
        </w:rPr>
        <w:t>We have incurred net losses since inception, and we expect to continue to incur net losses for the foreseeable future. In addition, we may be unable to continue as a going concern over the long-term.</w:t>
      </w:r>
    </w:p>
    <w:p>
      <w:pPr>
        <w:spacing w:after="0" w:line="1" w:lineRule="exact"/>
        <w:rPr>
          <w:sz w:val="20"/>
          <w:szCs w:val="20"/>
          <w:color w:val="auto"/>
        </w:rPr>
      </w:pPr>
    </w:p>
    <w:p>
      <w:pPr>
        <w:ind w:left="160" w:right="100"/>
        <w:spacing w:after="0" w:line="229" w:lineRule="auto"/>
        <w:rPr>
          <w:sz w:val="20"/>
          <w:szCs w:val="20"/>
          <w:color w:val="auto"/>
        </w:rPr>
      </w:pPr>
      <w:r>
        <w:rPr>
          <w:rFonts w:ascii="Arial" w:cs="Arial" w:eastAsia="Arial" w:hAnsi="Arial"/>
          <w:sz w:val="17"/>
          <w:szCs w:val="17"/>
          <w:color w:val="auto"/>
        </w:rPr>
        <w:t>We have incurred net losses in each reporting period since the commencement of our operations, have not generated any revenue from product sales to date and have financed our operations principally through private financings. We have incurred net losses of $11.9 million and</w:t>
      </w:r>
    </w:p>
    <w:p>
      <w:pPr>
        <w:spacing w:after="0" w:line="1" w:lineRule="exact"/>
        <w:rPr>
          <w:sz w:val="20"/>
          <w:szCs w:val="20"/>
          <w:color w:val="auto"/>
        </w:rPr>
      </w:pPr>
    </w:p>
    <w:p>
      <w:pPr>
        <w:ind w:left="160" w:right="100"/>
        <w:spacing w:after="0" w:line="236" w:lineRule="auto"/>
        <w:rPr>
          <w:sz w:val="20"/>
          <w:szCs w:val="20"/>
          <w:color w:val="auto"/>
        </w:rPr>
      </w:pPr>
      <w:r>
        <w:rPr>
          <w:rFonts w:ascii="Arial" w:cs="Arial" w:eastAsia="Arial" w:hAnsi="Arial"/>
          <w:sz w:val="17"/>
          <w:szCs w:val="17"/>
          <w:color w:val="auto"/>
        </w:rPr>
        <w:t>$53.4 million for the years ended December 31, 2020 and 2019. We had an accumulated deficit of $91.4 million as of December 31, 2020. Our losses have resulted principally from expenses incurred in research and development and from management and administrative costs and other expenses that we have incurred while building our business infrastructure, a significant portion of which were incurred</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40"/>
          </w:cols>
          <w:pgMar w:left="320" w:top="456" w:right="5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resulting from our efforts to develop gamma-PNA chemistry and triplex gene editing for therapeutic use, which we discontinued in September 2020. Our only product candidate, atacicept, is in early-stage clinical trials. As a result, we expect that it will be several years, if ever, before we have a commercialized product and generate revenue from product sales. Even if we succeed in receiving marketing approval for and commercializing atacicept in one of our lead indications, we expect that we will continue to incur substantial research and development and other expenses as we continue the clinical development programs for atacicept in other indications.</w:t>
      </w:r>
    </w:p>
    <w:p>
      <w:pPr>
        <w:spacing w:after="0" w:line="148"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We expect to continue to incur increased expenses and operating losses for the foreseeable future as we continue our research and development efforts and seek to obtain regulatory approval for atacicept.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spacing w:after="0" w:line="145"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In addition, our audited financial statements for the year ended December 31, 2020 included elsewhere in this prospectus have been prepared assuming we will continue as a going concern. However, we have incurred losses and negative cash flows from operations. As a development stage company, we expect to incur significant and increasing losses until regulatory approval is granted for atacicept. Regulatory approval is not guaranteed and may never be obtained. As a result, these conditions raise substantial doubt about our ability to continue as a going concern over the long-term.</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have never generated revenue from product sales and may never be profitable.</w:t>
      </w:r>
    </w:p>
    <w:p>
      <w:pPr>
        <w:spacing w:after="0" w:line="39" w:lineRule="exact"/>
        <w:rPr>
          <w:sz w:val="20"/>
          <w:szCs w:val="20"/>
          <w:color w:val="auto"/>
        </w:rPr>
      </w:pPr>
    </w:p>
    <w:p>
      <w:pPr>
        <w:ind w:left="160" w:right="360"/>
        <w:spacing w:after="0" w:line="234" w:lineRule="auto"/>
        <w:rPr>
          <w:sz w:val="20"/>
          <w:szCs w:val="20"/>
          <w:color w:val="auto"/>
        </w:rPr>
      </w:pPr>
      <w:r>
        <w:rPr>
          <w:rFonts w:ascii="Arial" w:cs="Arial" w:eastAsia="Arial" w:hAnsi="Arial"/>
          <w:sz w:val="17"/>
          <w:szCs w:val="17"/>
          <w:color w:val="auto"/>
        </w:rPr>
        <w:t>Our ability to generate revenue from product sales and achieve profitability depends on our ability, alone or with our collaboration partners, to successfully complete the development of, and obtain the regulatory approvals necessary to commercialize, atacicept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spacing w:after="0" w:line="187" w:lineRule="exact"/>
        <w:rPr>
          <w:sz w:val="20"/>
          <w:szCs w:val="20"/>
          <w:color w:val="auto"/>
        </w:rPr>
      </w:pPr>
    </w:p>
    <w:p>
      <w:pPr>
        <w:ind w:left="1020" w:hanging="425"/>
        <w:spacing w:after="0"/>
        <w:tabs>
          <w:tab w:leader="none" w:pos="102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completing clinical development of product candidates and programs and identifying and developing new product candidates;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seeking and obtaining marketing approvals for any product candidates that we develop;</w:t>
      </w:r>
    </w:p>
    <w:p>
      <w:pPr>
        <w:spacing w:after="0" w:line="31" w:lineRule="exact"/>
        <w:rPr>
          <w:rFonts w:ascii="MS PGothic" w:cs="MS PGothic" w:eastAsia="MS PGothic" w:hAnsi="MS PGothic"/>
          <w:sz w:val="12"/>
          <w:szCs w:val="12"/>
          <w:color w:val="auto"/>
        </w:rPr>
      </w:pPr>
    </w:p>
    <w:p>
      <w:pPr>
        <w:ind w:left="1020" w:right="200" w:hanging="425"/>
        <w:spacing w:after="0" w:line="239" w:lineRule="auto"/>
        <w:tabs>
          <w:tab w:leader="none" w:pos="102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achieving adequate access and reimbursement by government and third-party payors for product candidates that we develop;</w:t>
      </w:r>
    </w:p>
    <w:p>
      <w:pPr>
        <w:spacing w:after="0" w:line="31" w:lineRule="exact"/>
        <w:rPr>
          <w:rFonts w:ascii="MS PGothic" w:cs="MS PGothic" w:eastAsia="MS PGothic" w:hAnsi="MS PGothic"/>
          <w:sz w:val="12"/>
          <w:szCs w:val="12"/>
          <w:color w:val="auto"/>
        </w:rPr>
      </w:pPr>
    </w:p>
    <w:p>
      <w:pPr>
        <w:ind w:left="1020" w:right="100" w:hanging="425"/>
        <w:spacing w:after="0" w:line="236" w:lineRule="auto"/>
        <w:tabs>
          <w:tab w:leader="none" w:pos="102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obtaining market acceptance of product candidates that we develop as viable treatment options;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addressing any competing technological and market developments;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maintaining our rights under our existing license agreement with Ares and any similar agreements we may enter into in the future;</w:t>
      </w:r>
    </w:p>
    <w:p>
      <w:pPr>
        <w:spacing w:after="0" w:line="31" w:lineRule="exact"/>
        <w:rPr>
          <w:rFonts w:ascii="MS PGothic" w:cs="MS PGothic" w:eastAsia="MS PGothic" w:hAnsi="MS PGothic"/>
          <w:sz w:val="12"/>
          <w:szCs w:val="12"/>
          <w:color w:val="auto"/>
        </w:rPr>
      </w:pPr>
    </w:p>
    <w:p>
      <w:pPr>
        <w:ind w:left="1020" w:right="680" w:hanging="425"/>
        <w:spacing w:after="0" w:line="239" w:lineRule="auto"/>
        <w:tabs>
          <w:tab w:leader="none" w:pos="102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negotiating favorable terms in any collaboration, licensing or other arrangements into which we may enter and performing our obligations in such collaborations;</w:t>
      </w:r>
    </w:p>
    <w:p>
      <w:pPr>
        <w:spacing w:after="0" w:line="25" w:lineRule="exact"/>
        <w:rPr>
          <w:rFonts w:ascii="MS PGothic" w:cs="MS PGothic" w:eastAsia="MS PGothic" w:hAnsi="MS PGothic"/>
          <w:sz w:val="12"/>
          <w:szCs w:val="12"/>
          <w:color w:val="auto"/>
        </w:rPr>
      </w:pPr>
    </w:p>
    <w:p>
      <w:pPr>
        <w:ind w:left="1020" w:right="520" w:hanging="425"/>
        <w:spacing w:after="0" w:line="239" w:lineRule="auto"/>
        <w:tabs>
          <w:tab w:leader="none" w:pos="102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maintaining, protecting, enforcing and expanding our portfolio of intellectual property rights, including patents, trade secrets and know-how;</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defending against third-party interference, infringement or other intellectual property-related claims, if any; and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4"/>
        </w:numPr>
        <w:rPr>
          <w:rFonts w:ascii="MS PGothic" w:cs="MS PGothic" w:eastAsia="MS PGothic" w:hAnsi="MS PGothic"/>
          <w:sz w:val="12"/>
          <w:szCs w:val="12"/>
          <w:color w:val="auto"/>
        </w:rPr>
      </w:pPr>
      <w:r>
        <w:rPr>
          <w:rFonts w:ascii="Arial" w:cs="Arial" w:eastAsia="Arial" w:hAnsi="Arial"/>
          <w:sz w:val="17"/>
          <w:szCs w:val="17"/>
          <w:color w:val="auto"/>
        </w:rPr>
        <w:t>attracting, hiring and retaining qualified personnel.</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060"/>
          </w:cols>
          <w:pgMar w:left="320" w:top="456"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220"/>
        <w:spacing w:after="0" w:line="233" w:lineRule="auto"/>
        <w:rPr>
          <w:sz w:val="20"/>
          <w:szCs w:val="20"/>
          <w:color w:val="auto"/>
        </w:rPr>
      </w:pPr>
      <w:r>
        <w:rPr>
          <w:rFonts w:ascii="Arial" w:cs="Arial" w:eastAsia="Arial" w:hAnsi="Arial"/>
          <w:sz w:val="17"/>
          <w:szCs w:val="17"/>
          <w:color w:val="auto"/>
        </w:rPr>
        <w:t>Even if atacicept or any future product candidate that we may develop is approved for commercial sale, we anticipate incurring significant costs associated with commercializing any approved product candidate. Our expenses could increase beyond expectations if we are required by the FDA or comparable foreign regulatory authorities to perform clinical trials or nonclinical studies in addition to those that we currently anticipate. Even if we are able to generate revenue from the sale of any approved products, we may not be able to reach or sustain profitability, and may need to obtain additional funding to continue operations.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w:t>
      </w:r>
    </w:p>
    <w:p>
      <w:pPr>
        <w:spacing w:after="0" w:line="71" w:lineRule="exact"/>
        <w:rPr>
          <w:sz w:val="20"/>
          <w:szCs w:val="20"/>
          <w:color w:val="auto"/>
        </w:rPr>
      </w:pPr>
    </w:p>
    <w:p>
      <w:pPr>
        <w:ind w:left="160" w:right="160"/>
        <w:spacing w:after="0" w:line="241" w:lineRule="auto"/>
        <w:rPr>
          <w:sz w:val="20"/>
          <w:szCs w:val="20"/>
          <w:color w:val="auto"/>
        </w:rPr>
      </w:pPr>
      <w:r>
        <w:rPr>
          <w:rFonts w:ascii="Arial" w:cs="Arial" w:eastAsia="Arial" w:hAnsi="Arial"/>
          <w:sz w:val="17"/>
          <w:szCs w:val="17"/>
          <w:b w:val="1"/>
          <w:bCs w:val="1"/>
          <w:i w:val="1"/>
          <w:iCs w:val="1"/>
          <w:color w:val="auto"/>
        </w:rPr>
        <w:t>We are substantially dependent on the success of our only product candidate, atacicept, which is currently in the early stages of clinical development. If we are unable to complete development of, obtain regulatory approval for and commercialize atacicept in one or more indications and in a timely manner, our business, financial condition, results of operations and prospects will be significantly harmed.</w:t>
      </w:r>
    </w:p>
    <w:p>
      <w:pPr>
        <w:spacing w:after="0" w:line="11" w:lineRule="exact"/>
        <w:rPr>
          <w:sz w:val="20"/>
          <w:szCs w:val="20"/>
          <w:color w:val="auto"/>
        </w:rPr>
      </w:pPr>
    </w:p>
    <w:p>
      <w:pPr>
        <w:ind w:left="160" w:right="60"/>
        <w:spacing w:after="0" w:line="246" w:lineRule="auto"/>
        <w:rPr>
          <w:sz w:val="20"/>
          <w:szCs w:val="20"/>
          <w:color w:val="auto"/>
        </w:rPr>
      </w:pPr>
      <w:r>
        <w:rPr>
          <w:rFonts w:ascii="Arial" w:cs="Arial" w:eastAsia="Arial" w:hAnsi="Arial"/>
          <w:sz w:val="16"/>
          <w:szCs w:val="16"/>
          <w:color w:val="auto"/>
        </w:rPr>
        <w:t>Our future success is heavily dependent on our ability to timely complete clinical trials, obtain marketing approval for and successfully commercialize atacicept, our only product candidate. We expect that a substantial portion of our efforts and expenses over the next several years will be devoted to the development of atacicept in our ongoing clinical trials in patients with IgAN, as well as our efforts to evaluate atacicept in LN. We are investing significant efforts and financial resources in the research and development of atacicept, which will require additional clinical development, evaluation of clinical, nonclinical and manufacturing activities, marketing approval from government regulators, and significant marketing efforts before we can generate any revenues from product sales. We are not permitted to market or promote atacicept before we receive marketing approval from the FDA and comparable foreign regulatory authorities, and we may never receive such marketing approvals. Should our planned clinical development of atacicept in patients with IgAN fail to be completed in a timely manner or at all, we will need to rely on clinical development of atacicept in additional indications, which will require more time and resources to obtain regulatory approval and proceed with commercialization, and may ultimately be unsuccessful. We cannot assure you that our planned clinical development programs for atacicept will be completed in a timely manner, or at all, or that we will be able to obtain approval for atacicept from the FDA or comparable foreign regulatory authorities. If we are unable to complete development of, obtain regulatory approval for and commercialize atacicept in one or more indications and in a timely manner, our business, financial condition, results of operations and prospects will be significantly harmed.</w:t>
      </w:r>
    </w:p>
    <w:p>
      <w:pPr>
        <w:spacing w:after="0" w:line="43" w:lineRule="exact"/>
        <w:rPr>
          <w:sz w:val="20"/>
          <w:szCs w:val="20"/>
          <w:color w:val="auto"/>
        </w:rPr>
      </w:pPr>
    </w:p>
    <w:p>
      <w:pPr>
        <w:ind w:left="160"/>
        <w:spacing w:after="0" w:line="238" w:lineRule="auto"/>
        <w:rPr>
          <w:sz w:val="20"/>
          <w:szCs w:val="20"/>
          <w:color w:val="auto"/>
        </w:rPr>
      </w:pPr>
      <w:r>
        <w:rPr>
          <w:rFonts w:ascii="Arial" w:cs="Arial" w:eastAsia="Arial" w:hAnsi="Arial"/>
          <w:sz w:val="17"/>
          <w:szCs w:val="17"/>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 We have never completed a clinical trial for atacicept or submitted a Biologics License Application (BLA) to the FDA or similar drug approval filings to comparable foreign authorities. If we are ultimately unable to obtain regulatory approval for atacicept, we will be unable to generate product revenue and our business, financial condition, results of operations and prospects will be significantly harmed.</w:t>
      </w:r>
    </w:p>
    <w:p>
      <w:pPr>
        <w:spacing w:after="0" w:line="14"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nonclinical studies and early clinical trials of atacicept and any future product candidates we may develop may not be predictive of the results of subsequent clinical trials. We have a limited operating history and to date have not demonstrated our ability to complete large scale clinical trials.</w:t>
      </w:r>
    </w:p>
    <w:p>
      <w:pPr>
        <w:spacing w:after="0" w:line="147"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Product candidates in later stages of clinical trials may fail to show the desired safety and efficacy traits despite having progressed through nonclinical studies and initial clinical trials. For example, atacicept has been the subject of clinical trials by prior sponsors, including a Phase 2 trial in SLE, that missed its primary endpoint in the overall study population. In the future, clinical trial failures may result from a multitude of factors including flaws in trial design, dose selection, placebo effect and patient enrollment criteria. A number of companies in the biotechnology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 Any future delays or abandonment could harm our business, financial condition, results of operations and prospects.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80"/>
          </w:cols>
          <w:pgMar w:left="320" w:top="45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Even if our clinical trials are completed as planned, we cannot be certain that their results will support our proposed indications.</w:t>
      </w:r>
    </w:p>
    <w:p>
      <w:pPr>
        <w:spacing w:after="0" w:line="152"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atacicept or product candidates we may develop in the future may also be undergoing surgical, radiation and chemotherapy treatments and may be using other approved products or investigational new drugs, which can cause side effects or adverse events that are unrelated to atacicept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atacicept or any future product candidates we may develop.</w:t>
      </w:r>
    </w:p>
    <w:p>
      <w:pPr>
        <w:spacing w:after="0" w:line="150" w:lineRule="exact"/>
        <w:rPr>
          <w:sz w:val="20"/>
          <w:szCs w:val="20"/>
          <w:color w:val="auto"/>
        </w:rPr>
      </w:pPr>
    </w:p>
    <w:p>
      <w:pPr>
        <w:ind w:left="160" w:right="140"/>
        <w:spacing w:after="0" w:line="234" w:lineRule="auto"/>
        <w:rPr>
          <w:sz w:val="20"/>
          <w:szCs w:val="20"/>
          <w:color w:val="auto"/>
        </w:rPr>
      </w:pPr>
      <w:r>
        <w:rPr>
          <w:rFonts w:ascii="Arial" w:cs="Arial" w:eastAsia="Arial" w:hAnsi="Arial"/>
          <w:sz w:val="17"/>
          <w:szCs w:val="17"/>
          <w:color w:val="auto"/>
        </w:rPr>
        <w:t>We do not know whether our current clinical trial of atacicept or any future clinical trials we may conduct will demonstrate consistent or adequate efficacy and safety to obtain regulatory approval to market atacicept or any future product candidates we may develop. Most product candidates that begin clinical trials are never approved by regulatory authorities for commercialization. If we are unable to bring atacicept or any future product candidates to market, our ability to create long-term shareholder value will be limited.</w:t>
      </w:r>
    </w:p>
    <w:p>
      <w:pPr>
        <w:spacing w:after="0" w:line="147" w:lineRule="exact"/>
        <w:rPr>
          <w:sz w:val="20"/>
          <w:szCs w:val="20"/>
          <w:color w:val="auto"/>
        </w:rPr>
      </w:pPr>
    </w:p>
    <w:p>
      <w:pPr>
        <w:ind w:left="160" w:right="100"/>
        <w:spacing w:after="0" w:line="233" w:lineRule="auto"/>
        <w:rPr>
          <w:sz w:val="20"/>
          <w:szCs w:val="20"/>
          <w:color w:val="auto"/>
        </w:rPr>
      </w:pPr>
      <w:r>
        <w:rPr>
          <w:rFonts w:ascii="Arial" w:cs="Arial" w:eastAsia="Arial" w:hAnsi="Arial"/>
          <w:sz w:val="17"/>
          <w:szCs w:val="17"/>
          <w:color w:val="auto"/>
        </w:rPr>
        <w:t>In addition, we may rely in part on nonclinical, clinical and quality data generated by contract research organizations (CROs) and other third parties for regulatory submissions for atacicept.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spacing w:after="0" w:line="148"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or comparable foreign regulatory authority approval. We cannot guarantee that the FDA or foreign regulatory authorities will interpret trial results as we do, and more trials could be required before we are able to submit an application seeking approval of atacicept or any future product candidates we may develop.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atacicept or any future product candidates we may develop. Even if regulatory approval is secured for atacicept, the terms of such approval may limit the scope and use of atacicept, which may also limit its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atacicept, including and any other indication we are seeking for approval under atacicept.</w:t>
      </w:r>
    </w:p>
    <w:p>
      <w:pPr>
        <w:spacing w:after="0" w:line="50" w:lineRule="exact"/>
        <w:rPr>
          <w:sz w:val="20"/>
          <w:szCs w:val="20"/>
          <w:color w:val="auto"/>
        </w:rPr>
      </w:pPr>
    </w:p>
    <w:p>
      <w:pPr>
        <w:ind w:left="160" w:right="20"/>
        <w:spacing w:after="0" w:line="258" w:lineRule="auto"/>
        <w:rPr>
          <w:sz w:val="20"/>
          <w:szCs w:val="20"/>
          <w:color w:val="auto"/>
        </w:rPr>
      </w:pPr>
      <w:r>
        <w:rPr>
          <w:rFonts w:ascii="Arial" w:cs="Arial" w:eastAsia="Arial" w:hAnsi="Arial"/>
          <w:sz w:val="17"/>
          <w:szCs w:val="17"/>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 w:lineRule="exact"/>
        <w:rPr>
          <w:sz w:val="20"/>
          <w:szCs w:val="20"/>
          <w:color w:val="auto"/>
        </w:rPr>
      </w:pPr>
    </w:p>
    <w:p>
      <w:pPr>
        <w:jc w:val="both"/>
        <w:ind w:left="160"/>
        <w:spacing w:after="0" w:line="236" w:lineRule="auto"/>
        <w:rPr>
          <w:sz w:val="20"/>
          <w:szCs w:val="20"/>
          <w:color w:val="auto"/>
        </w:rPr>
      </w:pPr>
      <w:r>
        <w:rPr>
          <w:rFonts w:ascii="Arial" w:cs="Arial" w:eastAsia="Arial" w:hAnsi="Arial"/>
          <w:sz w:val="17"/>
          <w:szCs w:val="17"/>
          <w:color w:val="auto"/>
        </w:rPr>
        <w:t>We may experience delays in clinical trials of atacicept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spacing w:after="0" w:line="186" w:lineRule="exact"/>
        <w:rPr>
          <w:sz w:val="20"/>
          <w:szCs w:val="20"/>
          <w:color w:val="auto"/>
        </w:rPr>
      </w:pPr>
    </w:p>
    <w:p>
      <w:pPr>
        <w:ind w:left="1020" w:hanging="425"/>
        <w:spacing w:after="0"/>
        <w:tabs>
          <w:tab w:leader="none" w:pos="1020" w:val="left"/>
        </w:tabs>
        <w:numPr>
          <w:ilvl w:val="0"/>
          <w:numId w:val="15"/>
        </w:numPr>
        <w:rPr>
          <w:rFonts w:ascii="MS PGothic" w:cs="MS PGothic" w:eastAsia="MS PGothic" w:hAnsi="MS PGothic"/>
          <w:sz w:val="12"/>
          <w:szCs w:val="12"/>
          <w:color w:val="auto"/>
        </w:rPr>
      </w:pPr>
      <w:r>
        <w:rPr>
          <w:rFonts w:ascii="Arial" w:cs="Arial" w:eastAsia="Arial" w:hAnsi="Arial"/>
          <w:sz w:val="17"/>
          <w:szCs w:val="17"/>
          <w:color w:val="auto"/>
        </w:rPr>
        <w:t>the FDA or comparable foreign regulatory authorities disagreeing as to the design or implementation of our clinical trials;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5"/>
        </w:numPr>
        <w:rPr>
          <w:rFonts w:ascii="MS PGothic" w:cs="MS PGothic" w:eastAsia="MS PGothic" w:hAnsi="MS PGothic"/>
          <w:sz w:val="12"/>
          <w:szCs w:val="12"/>
          <w:color w:val="auto"/>
        </w:rPr>
      </w:pPr>
      <w:r>
        <w:rPr>
          <w:rFonts w:ascii="Arial" w:cs="Arial" w:eastAsia="Arial" w:hAnsi="Arial"/>
          <w:sz w:val="17"/>
          <w:szCs w:val="17"/>
          <w:color w:val="auto"/>
        </w:rPr>
        <w:t>obtaining regulatory authorizations to commence a trial or reaching a consensus with regulatory authorities on trial design;</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080"/>
          </w:cols>
          <w:pgMar w:left="320" w:top="45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020" w:right="620" w:hanging="425"/>
        <w:spacing w:after="0" w:line="239" w:lineRule="auto"/>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any failure or delay in reaching an agreement with CROs and clinical trial sites, the terms of which can be subject to extensive negotiation and may vary significantly among different CROs and trial sites;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obtaining approval from one or more institutional review boards (IRBs);</w:t>
      </w:r>
    </w:p>
    <w:p>
      <w:pPr>
        <w:spacing w:after="0" w:line="31" w:lineRule="exact"/>
        <w:rPr>
          <w:rFonts w:ascii="MS PGothic" w:cs="MS PGothic" w:eastAsia="MS PGothic" w:hAnsi="MS PGothic"/>
          <w:sz w:val="12"/>
          <w:szCs w:val="12"/>
          <w:color w:val="auto"/>
        </w:rPr>
      </w:pPr>
    </w:p>
    <w:p>
      <w:pPr>
        <w:ind w:left="1020" w:right="100" w:hanging="425"/>
        <w:spacing w:after="0" w:line="239" w:lineRule="auto"/>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IRBs refusing to approve, suspending or terminating the trial at an investigational site, precluding enrollment of additional subjects, or withdrawing their approval of the trial;</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changes to clinical trial protocol;</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clinical sites deviating from trial protocol or dropping out of a trial;</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study conduct issues, which could confound the clinical endpoints and/or data;</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manufacturing sufficient quantities of clinical trial material to supply the clinical trials;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subjects failing to enroll or remain in our trial at the rate we expect, or failing to return for post- treatment follow-up;</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delays in enrollment due to low prevalence or incidence rates of subjects with the applicable disease;</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delays in enrollment by subjects, or completion of the trial by subjects, due to the COVID-19 pandemic;</w:t>
      </w:r>
    </w:p>
    <w:p>
      <w:pPr>
        <w:spacing w:after="0" w:line="31" w:lineRule="exact"/>
        <w:rPr>
          <w:rFonts w:ascii="MS PGothic" w:cs="MS PGothic" w:eastAsia="MS PGothic" w:hAnsi="MS PGothic"/>
          <w:sz w:val="12"/>
          <w:szCs w:val="12"/>
          <w:color w:val="auto"/>
        </w:rPr>
      </w:pPr>
    </w:p>
    <w:p>
      <w:pPr>
        <w:ind w:left="1020" w:right="500" w:hanging="425"/>
        <w:spacing w:after="0" w:line="239" w:lineRule="auto"/>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subjects choosing an alternative treatment for the indication for which we are developing atacicept, or participating in competing clinical trials;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lack of adequate funding to continue the clinical trial;</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subjects experiencing severe or unexpected drug-related adverse effects;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regulatory authorities imposing a clinical hold;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occurrence of serious adverse events in trials of the same class of agents conducted by other companies;</w:t>
      </w:r>
    </w:p>
    <w:p>
      <w:pPr>
        <w:spacing w:after="0" w:line="31" w:lineRule="exact"/>
        <w:rPr>
          <w:rFonts w:ascii="MS PGothic" w:cs="MS PGothic" w:eastAsia="MS PGothic" w:hAnsi="MS PGothic"/>
          <w:sz w:val="12"/>
          <w:szCs w:val="12"/>
          <w:color w:val="auto"/>
        </w:rPr>
      </w:pPr>
    </w:p>
    <w:p>
      <w:pPr>
        <w:ind w:left="1020" w:right="80" w:hanging="425"/>
        <w:spacing w:after="0" w:line="236" w:lineRule="auto"/>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shutdowns, either temporarily or permanently, of any facility manufacturing atacicept or any future product candidate we may develop or any of their components, including by order from the FDA or comparable foreign regulatory authorities due to violations of current good manufacturing practice (cGMP), regulations or other applicable requirements;</w:t>
      </w:r>
    </w:p>
    <w:p>
      <w:pPr>
        <w:spacing w:after="0" w:line="25" w:lineRule="exact"/>
        <w:rPr>
          <w:rFonts w:ascii="MS PGothic" w:cs="MS PGothic" w:eastAsia="MS PGothic" w:hAnsi="MS PGothic"/>
          <w:sz w:val="12"/>
          <w:szCs w:val="12"/>
          <w:color w:val="auto"/>
        </w:rPr>
      </w:pPr>
    </w:p>
    <w:p>
      <w:pPr>
        <w:ind w:left="1020" w:right="20" w:hanging="425"/>
        <w:spacing w:after="0" w:line="259" w:lineRule="auto"/>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6"/>
          <w:szCs w:val="16"/>
          <w:color w:val="auto"/>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17"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third-party contractors not performing data collection or analysis in a timely or accurate manner; or</w:t>
      </w:r>
    </w:p>
    <w:p>
      <w:pPr>
        <w:spacing w:after="0" w:line="31" w:lineRule="exact"/>
        <w:rPr>
          <w:rFonts w:ascii="MS PGothic" w:cs="MS PGothic" w:eastAsia="MS PGothic" w:hAnsi="MS PGothic"/>
          <w:sz w:val="12"/>
          <w:szCs w:val="12"/>
          <w:color w:val="auto"/>
        </w:rPr>
      </w:pPr>
    </w:p>
    <w:p>
      <w:pPr>
        <w:ind w:left="1020" w:right="340" w:hanging="425"/>
        <w:spacing w:after="0" w:line="236" w:lineRule="auto"/>
        <w:tabs>
          <w:tab w:leader="none" w:pos="1020" w:val="left"/>
        </w:tabs>
        <w:numPr>
          <w:ilvl w:val="0"/>
          <w:numId w:val="16"/>
        </w:numPr>
        <w:rPr>
          <w:rFonts w:ascii="MS PGothic" w:cs="MS PGothic" w:eastAsia="MS PGothic" w:hAnsi="MS PGothic"/>
          <w:sz w:val="12"/>
          <w:szCs w:val="12"/>
          <w:color w:val="auto"/>
        </w:rPr>
      </w:pPr>
      <w:r>
        <w:rPr>
          <w:rFonts w:ascii="Arial" w:cs="Arial" w:eastAsia="Arial" w:hAnsi="Arial"/>
          <w:sz w:val="17"/>
          <w:szCs w:val="17"/>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46"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In addition, disruptions caused by the COVID-19 pandemic may increase the likelihood that we encounter such difficulties or delays in initiating, enrolling, conducting or completing our planned and ongoing clinical trials. For example, in 2020 some hospitals delayed initiating clinical trials due to their focus on treating COVID-19 patients. Manufacturing timelines for drug product could be delayed, for example, due to a global shortage of syringes.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50" w:lineRule="exact"/>
        <w:rPr>
          <w:sz w:val="20"/>
          <w:szCs w:val="20"/>
          <w:color w:val="auto"/>
        </w:rPr>
      </w:pPr>
    </w:p>
    <w:p>
      <w:pPr>
        <w:ind w:left="160" w:right="80"/>
        <w:spacing w:after="0" w:line="236" w:lineRule="auto"/>
        <w:rPr>
          <w:sz w:val="20"/>
          <w:szCs w:val="20"/>
          <w:color w:val="auto"/>
        </w:rPr>
      </w:pPr>
      <w:r>
        <w:rPr>
          <w:rFonts w:ascii="Arial" w:cs="Arial" w:eastAsia="Arial" w:hAnsi="Arial"/>
          <w:sz w:val="17"/>
          <w:szCs w:val="17"/>
          <w:color w:val="auto"/>
        </w:rPr>
        <w:t>Further, conducting clinical trials in foreign countries, as we may do for atacicept or product candidates we may develop in the future, presents additional risks that may delay completion of our clinical trials. These risks include the failure of enrolled patients in foreign countries to adhere to clinical protocol as a result of differences in</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60"/>
          </w:cols>
          <w:pgMar w:left="320" w:top="456"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500"/>
        <w:spacing w:after="0" w:line="239" w:lineRule="auto"/>
        <w:rPr>
          <w:sz w:val="20"/>
          <w:szCs w:val="20"/>
          <w:color w:val="auto"/>
        </w:rPr>
      </w:pPr>
      <w:r>
        <w:rPr>
          <w:rFonts w:ascii="Arial" w:cs="Arial" w:eastAsia="Arial" w:hAnsi="Arial"/>
          <w:sz w:val="17"/>
          <w:szCs w:val="17"/>
          <w:color w:val="auto"/>
        </w:rPr>
        <w:t>healthcare services or cultural customs, managing additional administrative burdens associated with foreign regulatory schemes, as well as political and economic risks relevant to such foreign countries.</w:t>
      </w:r>
    </w:p>
    <w:p>
      <w:pPr>
        <w:spacing w:after="0" w:line="146" w:lineRule="exact"/>
        <w:rPr>
          <w:sz w:val="20"/>
          <w:szCs w:val="20"/>
          <w:color w:val="auto"/>
        </w:rPr>
      </w:pPr>
    </w:p>
    <w:p>
      <w:pPr>
        <w:ind w:left="160" w:right="100"/>
        <w:spacing w:after="0" w:line="233" w:lineRule="auto"/>
        <w:rPr>
          <w:sz w:val="20"/>
          <w:szCs w:val="20"/>
          <w:color w:val="auto"/>
        </w:rPr>
      </w:pPr>
      <w:r>
        <w:rPr>
          <w:rFonts w:ascii="Arial" w:cs="Arial" w:eastAsia="Arial" w:hAnsi="Arial"/>
          <w:sz w:val="17"/>
          <w:szCs w:val="17"/>
          <w:color w:val="auto"/>
        </w:rPr>
        <w:t>If we experience delays in the completion of, or termination of, any clinical trial of atacicept or any product candidates we may develop in the future, the commercial prospects of atacicept or any product candidates we may develop in the future will be harmed, and our ability to generate product revenues from atacicept or any product candidates we may develop in the future will be delayed. Moreover, any delays in completing our clinical trials will increase our costs, slow down atacicept’s or any product candidates we may develop in the future’s development and approval process and jeopardize our ability to commence product sales and generate revenues.</w:t>
      </w:r>
    </w:p>
    <w:p>
      <w:pPr>
        <w:spacing w:after="0" w:line="148"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In addition, many of the factors that cause, or lead to, termination or suspension of, or a delay in the commencement or completion of, clinical trials may also ultimately lead to the denial of regulatory approval of atacicept or any product candidates we may develop in the future. Any delays in our clinical trials that occur as a result could shorten any period during which we may have the exclusive right to commercialize atacicept or any product candidates we may develop in the future and our competitors may be able to bring products to market before we do, and the commercial viability of atacicept or any product candidates we may develop in the future could be significantly reduced. Any of these occurrences may significantly harm our business, financial condition, results of operations and prospects.</w:t>
      </w:r>
    </w:p>
    <w:p>
      <w:pPr>
        <w:spacing w:after="0" w:line="45" w:lineRule="exact"/>
        <w:rPr>
          <w:sz w:val="20"/>
          <w:szCs w:val="20"/>
          <w:color w:val="auto"/>
        </w:rPr>
      </w:pPr>
    </w:p>
    <w:p>
      <w:pPr>
        <w:ind w:left="160" w:right="120"/>
        <w:spacing w:after="0" w:line="246" w:lineRule="auto"/>
        <w:rPr>
          <w:sz w:val="20"/>
          <w:szCs w:val="20"/>
          <w:color w:val="auto"/>
        </w:rPr>
      </w:pPr>
      <w:r>
        <w:rPr>
          <w:rFonts w:ascii="Arial" w:cs="Arial" w:eastAsia="Arial" w:hAnsi="Arial"/>
          <w:sz w:val="17"/>
          <w:szCs w:val="17"/>
          <w:b w:val="1"/>
          <w:bCs w:val="1"/>
          <w:i w:val="1"/>
          <w:iCs w:val="1"/>
          <w:color w:val="auto"/>
        </w:rPr>
        <w:t>Enrollment and retention of patients in clinical trials is an expensive and time-consuming process and could be made more difficult or rendered impossible by multiple factors outside our control, including difficulties in identifying patients with IgAN and significant competition for recruiting such patients in clinical trials.</w:t>
      </w:r>
    </w:p>
    <w:p>
      <w:pPr>
        <w:spacing w:after="0" w:line="7" w:lineRule="exact"/>
        <w:rPr>
          <w:sz w:val="20"/>
          <w:szCs w:val="20"/>
          <w:color w:val="auto"/>
        </w:rPr>
      </w:pPr>
    </w:p>
    <w:p>
      <w:pPr>
        <w:ind w:left="160" w:right="160"/>
        <w:spacing w:after="0" w:line="232" w:lineRule="auto"/>
        <w:rPr>
          <w:sz w:val="20"/>
          <w:szCs w:val="20"/>
          <w:color w:val="auto"/>
        </w:rPr>
      </w:pPr>
      <w:r>
        <w:rPr>
          <w:rFonts w:ascii="Arial" w:cs="Arial" w:eastAsia="Arial" w:hAnsi="Arial"/>
          <w:sz w:val="17"/>
          <w:szCs w:val="17"/>
          <w:color w:val="auto"/>
        </w:rPr>
        <w:t>Identifying and qualifying patients to participate in our clinical trials is critical to our success. We may encounter delays in enrolling, or be unable to enroll, a sufficient number of patients to complete any of our clinical trials, and even once enrolled we may be unable to retain a sufficient number of patients to complete any of our trials. In particular, as a result of the inherent difficulties in diagnosing IgAN and the significant competition for recruiting patients with IgAN in clinical trials, there may be delays in enrolling the patients we need to complete clinical trials on a timely basis, or at all. Although we have engaged certain third-party investigators to assist with patient enrollment for our Phase 2b clinical trial, there can be no assurance that we will be able to maintain our relationships with such third parties or that such third parties will be successful in helping us identify patients.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Factors that may generally affect patient enrollment include:</w:t>
      </w:r>
    </w:p>
    <w:p>
      <w:pPr>
        <w:spacing w:after="0" w:line="192" w:lineRule="exact"/>
        <w:rPr>
          <w:sz w:val="20"/>
          <w:szCs w:val="20"/>
          <w:color w:val="auto"/>
        </w:rPr>
      </w:pPr>
    </w:p>
    <w:p>
      <w:pPr>
        <w:ind w:left="1020" w:hanging="425"/>
        <w:spacing w:after="0"/>
        <w:tabs>
          <w:tab w:leader="none" w:pos="102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the size and nature of the patient population;</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the number and location of clinical sites we enroll;</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competition with other companies for clinical sites or patients;</w:t>
      </w:r>
    </w:p>
    <w:p>
      <w:pPr>
        <w:spacing w:after="0" w:line="31" w:lineRule="exact"/>
        <w:rPr>
          <w:rFonts w:ascii="MS PGothic" w:cs="MS PGothic" w:eastAsia="MS PGothic" w:hAnsi="MS PGothic"/>
          <w:sz w:val="12"/>
          <w:szCs w:val="12"/>
          <w:color w:val="auto"/>
        </w:rPr>
      </w:pPr>
    </w:p>
    <w:p>
      <w:pPr>
        <w:ind w:left="1020" w:right="600" w:hanging="425"/>
        <w:spacing w:after="0" w:line="239" w:lineRule="auto"/>
        <w:tabs>
          <w:tab w:leader="none" w:pos="102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the drug background and clinical experience (e.g., safety profile, risk/benefit assessment, mechanism of action, known proof of concept);</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the eligibility and exclusion criteria for the trial;</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the design of the clinical trial;</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inability to obtain and maintain patient consents;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risk that enrolled participants will drop out before completion; and</w:t>
      </w:r>
    </w:p>
    <w:p>
      <w:pPr>
        <w:spacing w:after="0" w:line="31" w:lineRule="exact"/>
        <w:rPr>
          <w:rFonts w:ascii="MS PGothic" w:cs="MS PGothic" w:eastAsia="MS PGothic" w:hAnsi="MS PGothic"/>
          <w:sz w:val="12"/>
          <w:szCs w:val="12"/>
          <w:color w:val="auto"/>
        </w:rPr>
      </w:pPr>
    </w:p>
    <w:p>
      <w:pPr>
        <w:ind w:left="1020" w:right="100" w:hanging="425"/>
        <w:spacing w:after="0" w:line="239" w:lineRule="auto"/>
        <w:tabs>
          <w:tab w:leader="none" w:pos="1020" w:val="left"/>
        </w:tabs>
        <w:numPr>
          <w:ilvl w:val="0"/>
          <w:numId w:val="17"/>
        </w:numPr>
        <w:rPr>
          <w:rFonts w:ascii="MS PGothic" w:cs="MS PGothic" w:eastAsia="MS PGothic" w:hAnsi="MS PGothic"/>
          <w:sz w:val="12"/>
          <w:szCs w:val="12"/>
          <w:color w:val="auto"/>
        </w:rPr>
      </w:pPr>
      <w:r>
        <w:rPr>
          <w:rFonts w:ascii="Arial" w:cs="Arial" w:eastAsia="Arial" w:hAnsi="Arial"/>
          <w:sz w:val="17"/>
          <w:szCs w:val="17"/>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46" w:lineRule="exact"/>
        <w:rPr>
          <w:sz w:val="20"/>
          <w:szCs w:val="20"/>
          <w:color w:val="auto"/>
        </w:rPr>
      </w:pPr>
    </w:p>
    <w:p>
      <w:pPr>
        <w:ind w:left="160" w:right="120"/>
        <w:spacing w:after="0" w:line="233" w:lineRule="auto"/>
        <w:rPr>
          <w:sz w:val="20"/>
          <w:szCs w:val="20"/>
          <w:color w:val="auto"/>
        </w:rPr>
      </w:pPr>
      <w:r>
        <w:rPr>
          <w:rFonts w:ascii="Arial" w:cs="Arial" w:eastAsia="Arial" w:hAnsi="Arial"/>
          <w:sz w:val="17"/>
          <w:szCs w:val="17"/>
          <w:color w:val="auto"/>
        </w:rPr>
        <w:t>In addition, if any significant adverse events or other side effects are observed in any of our future clinical trials or other sponsor development programs of similar mechanism of action that may result in a drug class effect, it may make it more difficult for us to recruit patients to our clinical trials and patients may drop out of our trials, or we may be required to abandon the trials or our development efforts of one or more product candidates altogether. Our inability to enroll a sufficient number of patients for our clinical trials would result in significant delays, which would increase our costs and have an adverse effect on our company.</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080"/>
          </w:cols>
          <w:pgMar w:left="320" w:top="45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right="660"/>
        <w:spacing w:after="0" w:line="263" w:lineRule="auto"/>
        <w:rPr>
          <w:sz w:val="20"/>
          <w:szCs w:val="20"/>
          <w:color w:val="auto"/>
        </w:rPr>
      </w:pPr>
      <w:r>
        <w:rPr>
          <w:rFonts w:ascii="Arial" w:cs="Arial" w:eastAsia="Arial" w:hAnsi="Arial"/>
          <w:sz w:val="17"/>
          <w:szCs w:val="17"/>
          <w:b w:val="1"/>
          <w:bCs w:val="1"/>
          <w:i w:val="1"/>
          <w:iCs w:val="1"/>
          <w:color w:val="auto"/>
        </w:rPr>
        <w:t>We may develop atacicept, and potentially future product candidates, in combination with other therapies, which exposes us to additional risks.</w:t>
      </w:r>
    </w:p>
    <w:p>
      <w:pPr>
        <w:spacing w:after="0" w:line="6"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We may develop atacicept and future product candidates in combination with one or more currently approved therapies. Even if atacicept, or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w:t>
      </w:r>
    </w:p>
    <w:p>
      <w:pPr>
        <w:spacing w:after="0" w:line="148"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We may also evaluate atacicept or any other future product candidates in combination with one or more other therapies that have not yet been approved for marketing by the FDA or similar regulatory authorities outside of the United States. We will not be able to market and sell atacicept or any product candidate we develop in combination with any such unapproved therapies that do not ultimately obtain marketing approval. If the FDA or similar regulatory authorities outside of the United States do not approve these other drugs or revoke their approval of, or if safety, efficacy, manufacturing, or supply issues arise with, the drugs we choose to evaluate in combination with atacicept or any other product candidate we develop, we may be unable to obtain approval of or market atacicept or any other product candidate we develop.</w:t>
      </w:r>
    </w:p>
    <w:p>
      <w:pPr>
        <w:spacing w:after="0" w:line="32" w:lineRule="exact"/>
        <w:rPr>
          <w:sz w:val="20"/>
          <w:szCs w:val="20"/>
          <w:color w:val="auto"/>
        </w:rPr>
      </w:pPr>
    </w:p>
    <w:p>
      <w:pPr>
        <w:ind w:left="160" w:right="20"/>
        <w:spacing w:after="0" w:line="241"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atacicept in specific indications are based on estimates and third-party sources. If the market opportunities for atacicept,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24" w:lineRule="exact"/>
        <w:rPr>
          <w:sz w:val="20"/>
          <w:szCs w:val="20"/>
          <w:color w:val="auto"/>
        </w:rPr>
      </w:pPr>
    </w:p>
    <w:p>
      <w:pPr>
        <w:ind w:left="160" w:right="320"/>
        <w:spacing w:after="0" w:line="236" w:lineRule="auto"/>
        <w:rPr>
          <w:sz w:val="20"/>
          <w:szCs w:val="20"/>
          <w:color w:val="auto"/>
        </w:rPr>
      </w:pPr>
      <w:r>
        <w:rPr>
          <w:rFonts w:ascii="Arial" w:cs="Arial" w:eastAsia="Arial" w:hAnsi="Arial"/>
          <w:sz w:val="17"/>
          <w:szCs w:val="17"/>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146" w:lineRule="exact"/>
        <w:rPr>
          <w:sz w:val="20"/>
          <w:szCs w:val="20"/>
          <w:color w:val="auto"/>
        </w:rPr>
      </w:pPr>
    </w:p>
    <w:p>
      <w:pPr>
        <w:ind w:left="160" w:right="140"/>
        <w:spacing w:after="0" w:line="232" w:lineRule="auto"/>
        <w:rPr>
          <w:sz w:val="20"/>
          <w:szCs w:val="20"/>
          <w:color w:val="auto"/>
        </w:rPr>
      </w:pPr>
      <w:r>
        <w:rPr>
          <w:rFonts w:ascii="Arial" w:cs="Arial" w:eastAsia="Arial" w:hAnsi="Arial"/>
          <w:sz w:val="17"/>
          <w:szCs w:val="17"/>
          <w:color w:val="auto"/>
        </w:rPr>
        <w:t>The incidence and prevalence for target patient populations of atacicept in specific indications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atacicept, or any future product candidate we may develop, if and when approved, are smaller than we estimate or if any approval that we obtain is based on a narrower definition of the patient population, our revenue and ability to achieve and sustain profitability might be materially and adversely affected.</w:t>
      </w:r>
    </w:p>
    <w:p>
      <w:pPr>
        <w:spacing w:after="0" w:line="35" w:lineRule="exact"/>
        <w:rPr>
          <w:sz w:val="20"/>
          <w:szCs w:val="20"/>
          <w:color w:val="auto"/>
        </w:rPr>
      </w:pPr>
    </w:p>
    <w:p>
      <w:pPr>
        <w:jc w:val="both"/>
        <w:ind w:left="160" w:right="320"/>
        <w:spacing w:after="0" w:line="246" w:lineRule="auto"/>
        <w:rPr>
          <w:sz w:val="20"/>
          <w:szCs w:val="20"/>
          <w:color w:val="auto"/>
        </w:rPr>
      </w:pPr>
      <w:r>
        <w:rPr>
          <w:rFonts w:ascii="Arial" w:cs="Arial" w:eastAsia="Arial" w:hAnsi="Arial"/>
          <w:sz w:val="17"/>
          <w:szCs w:val="17"/>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1"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47" w:lineRule="exact"/>
        <w:rPr>
          <w:sz w:val="20"/>
          <w:szCs w:val="20"/>
          <w:color w:val="auto"/>
        </w:rPr>
      </w:pPr>
    </w:p>
    <w:p>
      <w:pPr>
        <w:ind w:left="160" w:right="220"/>
        <w:spacing w:after="0" w:line="239" w:lineRule="auto"/>
        <w:rPr>
          <w:sz w:val="20"/>
          <w:szCs w:val="20"/>
          <w:color w:val="auto"/>
        </w:rPr>
      </w:pPr>
      <w:r>
        <w:rPr>
          <w:rFonts w:ascii="Arial" w:cs="Arial" w:eastAsia="Arial" w:hAnsi="Arial"/>
          <w:sz w:val="17"/>
          <w:szCs w:val="17"/>
          <w:color w:val="auto"/>
        </w:rPr>
        <w:t>From time to time, we may also disclose interim data from our clinical trials. Interim data from clinical trials that we may complete are subject to the risk that one or more of the clinical outcomes may materially change as patient</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60"/>
          </w:cols>
          <w:pgMar w:left="320" w:top="456"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160" w:right="300"/>
        <w:spacing w:after="0" w:line="236" w:lineRule="auto"/>
        <w:rPr>
          <w:sz w:val="20"/>
          <w:szCs w:val="20"/>
          <w:color w:val="auto"/>
        </w:rPr>
      </w:pPr>
      <w:r>
        <w:rPr>
          <w:rFonts w:ascii="Arial" w:cs="Arial" w:eastAsia="Arial" w:hAnsi="Arial"/>
          <w:sz w:val="17"/>
          <w:szCs w:val="17"/>
          <w:color w:val="auto"/>
        </w:rPr>
        <w:t>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 after this offering.</w:t>
      </w:r>
    </w:p>
    <w:p>
      <w:pPr>
        <w:spacing w:after="0" w:line="146"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48" w:lineRule="exact"/>
        <w:rPr>
          <w:sz w:val="20"/>
          <w:szCs w:val="20"/>
          <w:color w:val="auto"/>
        </w:rPr>
      </w:pPr>
    </w:p>
    <w:p>
      <w:pPr>
        <w:jc w:val="both"/>
        <w:ind w:left="160" w:right="220"/>
        <w:spacing w:after="0" w:line="236" w:lineRule="auto"/>
        <w:rPr>
          <w:sz w:val="20"/>
          <w:szCs w:val="20"/>
          <w:color w:val="auto"/>
        </w:rPr>
      </w:pPr>
      <w:r>
        <w:rPr>
          <w:rFonts w:ascii="Arial" w:cs="Arial" w:eastAsia="Arial" w:hAnsi="Arial"/>
          <w:sz w:val="17"/>
          <w:szCs w:val="17"/>
          <w:color w:val="auto"/>
        </w:rPr>
        <w:t>If the interim, top-line, or preliminary data that we report differ from actual results, or if others, including regulatory authorities, disagree with the conclusions reached, our ability to obtain approval for, and commercialize, atacicept or any future product candidates we may develop may be harmed, which could significantly harm our business, financial condition, results of operations and prospects.</w:t>
      </w:r>
    </w:p>
    <w:p>
      <w:pPr>
        <w:spacing w:after="0" w:line="45" w:lineRule="exact"/>
        <w:rPr>
          <w:sz w:val="20"/>
          <w:szCs w:val="20"/>
          <w:color w:val="auto"/>
        </w:rPr>
      </w:pPr>
    </w:p>
    <w:p>
      <w:pPr>
        <w:ind w:left="160" w:right="540"/>
        <w:spacing w:after="0" w:line="258" w:lineRule="auto"/>
        <w:rPr>
          <w:sz w:val="20"/>
          <w:szCs w:val="20"/>
          <w:color w:val="auto"/>
        </w:rPr>
      </w:pPr>
      <w:r>
        <w:rPr>
          <w:rFonts w:ascii="Arial" w:cs="Arial" w:eastAsia="Arial" w:hAnsi="Arial"/>
          <w:sz w:val="17"/>
          <w:szCs w:val="17"/>
          <w:b w:val="1"/>
          <w:bCs w:val="1"/>
          <w:i w:val="1"/>
          <w:iCs w:val="1"/>
          <w:color w:val="auto"/>
        </w:rPr>
        <w:t>We face significant competition, which may result in others discovering, developing or commercializing products before or more successfully than us.</w:t>
      </w:r>
    </w:p>
    <w:p>
      <w:pPr>
        <w:spacing w:after="0" w:line="1" w:lineRule="exact"/>
        <w:rPr>
          <w:sz w:val="20"/>
          <w:szCs w:val="20"/>
          <w:color w:val="auto"/>
        </w:rPr>
      </w:pPr>
    </w:p>
    <w:p>
      <w:pPr>
        <w:ind w:left="160" w:right="60"/>
        <w:spacing w:after="0" w:line="231" w:lineRule="auto"/>
        <w:rPr>
          <w:sz w:val="20"/>
          <w:szCs w:val="20"/>
          <w:color w:val="auto"/>
        </w:rPr>
      </w:pPr>
      <w:r>
        <w:rPr>
          <w:rFonts w:ascii="Arial" w:cs="Arial" w:eastAsia="Arial" w:hAnsi="Arial"/>
          <w:sz w:val="17"/>
          <w:szCs w:val="17"/>
          <w:color w:val="auto"/>
        </w:rPr>
        <w:t>The biotechnology industry is intensely competitive and subject to rapid and significant technological change. Our competitors include multinational pharmaceutical companies, specialized biotechnology companies and universities and other research institutions. There are currently no approved therapies for IgAN and current standard-of-care consists of treatment with renin-angiotensin-aldosterone system inhibitors, including angiotensin-converting enzyme inhibitors or angiotensin II receptor blockers, to control blood pressure, or steroids with or without other immunosuppressive agents to non-specifically reduce inflammation. We do not expect to compete directly with these non-specific approaches, but rather atacicept may be an appropriate option where these therapies are not well tolerated and/or where a patient’s disease progression remains uncontrolled despite these approaches. Among emerging therapies, we consider our most direct competitors with respect to atacicept in IgAN to be the programs in Phase 3 clinical development: Calliditas Therapeutics AB, Novartis Pharmaceuticals Corporation (Novartis), Omeros Corporation, Travere Therapeutics, Inc., and Chinook Therapeutics Inc., and the following companies with programs in Phase 2 of clinical development: Chinook Therapeutics Inc., Alnylam Pharmaceuticals Inc., Apellis Pharmaceuticals, Inc., Reata Pharmaceuticals, Inc., RemeGen Co., Ltd., Visterra, Inc., Ionis Pharmaceuticals, Inc., Alexion Pharmaceuticals Inc. (Alexion), and DiaMedica Therapeutics, Inc. There is also a potential that SGLT2 inhibitors, including AstraZeneca plc’s (AstraZeneca) farxiga, which has completed Phase 3 clinical development, and C.H. Boehringer Sohn AG &amp; Ko. KG’s (Boehringer) jardiance, which is undergoing Phase 3 clinical development, will be approved broadly for chronic kidney disease and used in IgAN.</w:t>
      </w:r>
    </w:p>
    <w:p>
      <w:pPr>
        <w:spacing w:after="0" w:line="148"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In LN, prior to December 2020, there had been no approved therapies, and the standard-of-care has consisted of a number of non-specific therapies, including MMF, steroids, CYC, rituxumab, calcineurin inhibitors, AZA, and HCQ, dependent on class of disease and whether a patient was cycling through the induction or maintenance phase of therapy. We expect that these paradigms will evolve with the recent FDA approvals of GlaxoSmithKline plc’s Benlysta (belimumab) and Aurinia Pharmaceuticals Inc.’s Lupkynis (voclosporin), both of which we consider to be direct competitors. Our competitors include the following companies with programs in Phase 3 clinical development: Roche Holding AG and Novartis, and the following companies with programs in Phase 2 clinical development: BeiGene Ltd., Janssen Pharmaceuticals, Inc., AstraZeneca, Alexion, Omeros Corporation, Kezar Life Science Inc., Bristol Myers Squibb, Boehringer, and Novartis.</w:t>
      </w:r>
    </w:p>
    <w:p>
      <w:pPr>
        <w:spacing w:after="0" w:line="148"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Many of our competitors have significantly greater financial, technical, human and other resources than we do and may be better equipped to develop, manufacture and market technologically superior products. In addition, many of these competitors have significantly greater experience than we have in undertaking nonclinical studies and human clinical trials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Mergers and acquisitions in the pharmaceutical and biotechnology industries may result in even more</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60"/>
          </w:cols>
          <w:pgMar w:left="320" w:top="456"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340"/>
        <w:spacing w:after="0" w:line="239" w:lineRule="auto"/>
        <w:rPr>
          <w:sz w:val="20"/>
          <w:szCs w:val="20"/>
          <w:color w:val="auto"/>
        </w:rPr>
      </w:pPr>
      <w:r>
        <w:rPr>
          <w:rFonts w:ascii="Arial" w:cs="Arial" w:eastAsia="Arial" w:hAnsi="Arial"/>
          <w:sz w:val="17"/>
          <w:szCs w:val="17"/>
          <w:color w:val="auto"/>
        </w:rPr>
        <w:t>resources being concentrated among a smaller number of our competitors. Smaller or early stage companies may also prove to be significant competitors, particularly through collaborative arrangements with large and established companies.</w:t>
      </w:r>
    </w:p>
    <w:p>
      <w:pPr>
        <w:spacing w:after="0" w:line="146"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Our competitors may obtain regulatory approval of their products more rapidly than we do or may obtain patent protection or other intellectual property rights that limit our ability to develop or commercialize our product candidate or any future product candidates. Our competitors may also develop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 or any future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Changes in methods of atacicept manufacturing or formulation may result in additional costs or delays.</w:t>
      </w:r>
    </w:p>
    <w:p>
      <w:pPr>
        <w:spacing w:after="0" w:line="39"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As atacicept progresses through preclinical to late-stage clinical trials to marketing approval and commercialization, it is common that various aspects of the development program, such as manufacturing methods and formulation, and manufacturing sites are altered along the way in an effort to optimize yield, manufacturing batch size, minimize costs and achieve consistent quality and results. Such changes carry the risk that they will not achieve these intended objectives. Any of these changes could cause atacicept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atacicept and jeopardize our ability to commercialize atacicept, if approved, and generate revenue.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71" w:lineRule="exact"/>
        <w:rPr>
          <w:sz w:val="20"/>
          <w:szCs w:val="20"/>
          <w:color w:val="auto"/>
        </w:rPr>
      </w:pPr>
    </w:p>
    <w:p>
      <w:pPr>
        <w:ind w:left="160" w:right="460"/>
        <w:spacing w:after="0" w:line="246"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authorities are lengthy, time consuming and inherently unpredictable, and if we are ultimately unable to obtain regulatory approval for atacicept or any future product candidates we may develop, our business, financial condition, results of operations and prospects will be significantly harmed.</w:t>
      </w:r>
    </w:p>
    <w:p>
      <w:pPr>
        <w:spacing w:after="0" w:line="7" w:lineRule="exact"/>
        <w:rPr>
          <w:sz w:val="20"/>
          <w:szCs w:val="20"/>
          <w:color w:val="auto"/>
        </w:rPr>
      </w:pPr>
    </w:p>
    <w:p>
      <w:pPr>
        <w:ind w:left="160" w:right="60"/>
        <w:spacing w:after="0" w:line="236" w:lineRule="auto"/>
        <w:rPr>
          <w:sz w:val="20"/>
          <w:szCs w:val="20"/>
          <w:color w:val="auto"/>
        </w:rPr>
      </w:pPr>
      <w:r>
        <w:rPr>
          <w:rFonts w:ascii="Arial" w:cs="Arial" w:eastAsia="Arial" w:hAnsi="Arial"/>
          <w:sz w:val="17"/>
          <w:szCs w:val="17"/>
          <w:color w:val="auto"/>
        </w:rPr>
        <w:t>The time required to obtain approval by the FDA and comparable foreign authorities typically takes many years following the commencement of clinical trials. In addition, approval policies, regulations, or the type and amount of clinical data necessary to gain approval may change during the course of a product candidate’s clinical development and may vary among jurisdictions.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Applications for atacicept could fail to receive regulatory approval for many reasons, including the following:</w:t>
      </w:r>
    </w:p>
    <w:p>
      <w:pPr>
        <w:spacing w:after="0" w:line="192" w:lineRule="exact"/>
        <w:rPr>
          <w:sz w:val="20"/>
          <w:szCs w:val="20"/>
          <w:color w:val="auto"/>
        </w:rPr>
      </w:pPr>
    </w:p>
    <w:p>
      <w:pPr>
        <w:ind w:left="1020" w:hanging="425"/>
        <w:spacing w:after="0"/>
        <w:tabs>
          <w:tab w:leader="none" w:pos="102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the FDA or comparable foreign regulatory authorities may disagree with the design, implementation or results of our clinical trials;</w:t>
      </w:r>
    </w:p>
    <w:p>
      <w:pPr>
        <w:spacing w:after="0" w:line="31" w:lineRule="exact"/>
        <w:rPr>
          <w:rFonts w:ascii="MS PGothic" w:cs="MS PGothic" w:eastAsia="MS PGothic" w:hAnsi="MS PGothic"/>
          <w:sz w:val="12"/>
          <w:szCs w:val="12"/>
          <w:color w:val="auto"/>
        </w:rPr>
      </w:pPr>
    </w:p>
    <w:p>
      <w:pPr>
        <w:ind w:left="1020" w:right="100" w:hanging="425"/>
        <w:spacing w:after="0" w:line="236" w:lineRule="auto"/>
        <w:tabs>
          <w:tab w:leader="none" w:pos="102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the FDA or comparable foreign regulatory authorities may determine that atacicept is not safe and effective, only moderately effective or have undesirable or unintended side effects, toxicities or other characteristics that preclude our obtaining marketing approval or prevent or limit commercial use;</w:t>
      </w:r>
    </w:p>
    <w:p>
      <w:pPr>
        <w:spacing w:after="0" w:line="25" w:lineRule="exact"/>
        <w:rPr>
          <w:rFonts w:ascii="MS PGothic" w:cs="MS PGothic" w:eastAsia="MS PGothic" w:hAnsi="MS PGothic"/>
          <w:sz w:val="12"/>
          <w:szCs w:val="12"/>
          <w:color w:val="auto"/>
        </w:rPr>
      </w:pPr>
    </w:p>
    <w:p>
      <w:pPr>
        <w:ind w:left="1020" w:right="640" w:hanging="425"/>
        <w:spacing w:after="0" w:line="239" w:lineRule="auto"/>
        <w:tabs>
          <w:tab w:leader="none" w:pos="102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the population studied in the clinical trial may not be sufficiently broad or representative to assure efficacy and safety in the full population for which we seek approval, resulting in a restrictive label and limiting commercial use;</w:t>
      </w:r>
    </w:p>
    <w:p>
      <w:pPr>
        <w:spacing w:after="0" w:line="25" w:lineRule="exact"/>
        <w:rPr>
          <w:rFonts w:ascii="MS PGothic" w:cs="MS PGothic" w:eastAsia="MS PGothic" w:hAnsi="MS PGothic"/>
          <w:sz w:val="12"/>
          <w:szCs w:val="12"/>
          <w:color w:val="auto"/>
        </w:rPr>
      </w:pPr>
    </w:p>
    <w:p>
      <w:pPr>
        <w:ind w:left="1020" w:right="260" w:hanging="425"/>
        <w:spacing w:after="0" w:line="239" w:lineRule="auto"/>
        <w:tabs>
          <w:tab w:leader="none" w:pos="102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the FDA or comparable foreign regulatory authorities may disagree with our interpretation of data from nonclinical studies or clinical trials;</w:t>
      </w:r>
    </w:p>
    <w:p>
      <w:pPr>
        <w:spacing w:after="0" w:line="25" w:lineRule="exact"/>
        <w:rPr>
          <w:rFonts w:ascii="MS PGothic" w:cs="MS PGothic" w:eastAsia="MS PGothic" w:hAnsi="MS PGothic"/>
          <w:sz w:val="12"/>
          <w:szCs w:val="12"/>
          <w:color w:val="auto"/>
        </w:rPr>
      </w:pPr>
    </w:p>
    <w:p>
      <w:pPr>
        <w:ind w:left="1020" w:right="240" w:hanging="425"/>
        <w:spacing w:after="0" w:line="239" w:lineRule="auto"/>
        <w:tabs>
          <w:tab w:leader="none" w:pos="102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the data collected from clinical trials of atacicept may not be sufficient to support the submission of a BLA, or other submission or to obtain regulatory approval in the United States or elsewhere;</w:t>
      </w:r>
    </w:p>
    <w:p>
      <w:pPr>
        <w:spacing w:after="0" w:line="25" w:lineRule="exact"/>
        <w:rPr>
          <w:rFonts w:ascii="MS PGothic" w:cs="MS PGothic" w:eastAsia="MS PGothic" w:hAnsi="MS PGothic"/>
          <w:sz w:val="12"/>
          <w:szCs w:val="12"/>
          <w:color w:val="auto"/>
        </w:rPr>
      </w:pPr>
    </w:p>
    <w:p>
      <w:pPr>
        <w:ind w:left="1020" w:right="440" w:hanging="425"/>
        <w:spacing w:after="0" w:line="239" w:lineRule="auto"/>
        <w:tabs>
          <w:tab w:leader="none" w:pos="1020" w:val="left"/>
        </w:tabs>
        <w:numPr>
          <w:ilvl w:val="0"/>
          <w:numId w:val="18"/>
        </w:numPr>
        <w:rPr>
          <w:rFonts w:ascii="MS PGothic" w:cs="MS PGothic" w:eastAsia="MS PGothic" w:hAnsi="MS PGothic"/>
          <w:sz w:val="12"/>
          <w:szCs w:val="12"/>
          <w:color w:val="auto"/>
        </w:rPr>
      </w:pPr>
      <w:r>
        <w:rPr>
          <w:rFonts w:ascii="Arial" w:cs="Arial" w:eastAsia="Arial" w:hAnsi="Arial"/>
          <w:sz w:val="17"/>
          <w:szCs w:val="17"/>
          <w:color w:val="auto"/>
        </w:rPr>
        <w:t>we may be unable to demonstrate to the FDA or comparable foreign regulatory authorities that atacicept’s risk-benefit ratio for its proposed indication is acceptable;</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080"/>
          </w:cols>
          <w:pgMar w:left="320" w:top="456"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020" w:right="820" w:hanging="425"/>
        <w:spacing w:after="0" w:line="239" w:lineRule="auto"/>
        <w:tabs>
          <w:tab w:leader="none" w:pos="1020" w:val="left"/>
        </w:tabs>
        <w:numPr>
          <w:ilvl w:val="0"/>
          <w:numId w:val="19"/>
        </w:numPr>
        <w:rPr>
          <w:rFonts w:ascii="MS PGothic" w:cs="MS PGothic" w:eastAsia="MS PGothic" w:hAnsi="MS PGothic"/>
          <w:sz w:val="12"/>
          <w:szCs w:val="12"/>
          <w:color w:val="auto"/>
        </w:rPr>
      </w:pPr>
      <w:r>
        <w:rPr>
          <w:rFonts w:ascii="Arial" w:cs="Arial" w:eastAsia="Arial" w:hAnsi="Arial"/>
          <w:sz w:val="17"/>
          <w:szCs w:val="17"/>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25" w:lineRule="exact"/>
        <w:rPr>
          <w:rFonts w:ascii="MS PGothic" w:cs="MS PGothic" w:eastAsia="MS PGothic" w:hAnsi="MS PGothic"/>
          <w:sz w:val="12"/>
          <w:szCs w:val="12"/>
          <w:color w:val="auto"/>
        </w:rPr>
      </w:pPr>
    </w:p>
    <w:p>
      <w:pPr>
        <w:ind w:left="1020" w:right="440" w:hanging="425"/>
        <w:spacing w:after="0" w:line="239" w:lineRule="auto"/>
        <w:tabs>
          <w:tab w:leader="none" w:pos="1020" w:val="left"/>
        </w:tabs>
        <w:numPr>
          <w:ilvl w:val="0"/>
          <w:numId w:val="19"/>
        </w:numPr>
        <w:rPr>
          <w:rFonts w:ascii="MS PGothic" w:cs="MS PGothic" w:eastAsia="MS PGothic" w:hAnsi="MS PGothic"/>
          <w:sz w:val="12"/>
          <w:szCs w:val="12"/>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6" w:lineRule="exact"/>
        <w:rPr>
          <w:sz w:val="20"/>
          <w:szCs w:val="20"/>
          <w:color w:val="auto"/>
        </w:rPr>
      </w:pPr>
    </w:p>
    <w:p>
      <w:pPr>
        <w:ind w:left="160" w:right="180"/>
        <w:spacing w:after="0" w:line="239" w:lineRule="auto"/>
        <w:rPr>
          <w:sz w:val="20"/>
          <w:szCs w:val="20"/>
          <w:color w:val="auto"/>
        </w:rPr>
      </w:pPr>
      <w:r>
        <w:rPr>
          <w:rFonts w:ascii="Arial" w:cs="Arial" w:eastAsia="Arial" w:hAnsi="Arial"/>
          <w:sz w:val="17"/>
          <w:szCs w:val="17"/>
          <w:color w:val="auto"/>
        </w:rPr>
        <w:t>This lengthy approval process, as well as the unpredictability of the results of clinical trials, may result in our failing to obtain regulatory approval to market atacicept, which would significantly harm our business, financial condition, results of operations and prospects.</w:t>
      </w:r>
    </w:p>
    <w:p>
      <w:pPr>
        <w:spacing w:after="0" w:line="146" w:lineRule="exact"/>
        <w:rPr>
          <w:sz w:val="20"/>
          <w:szCs w:val="20"/>
          <w:color w:val="auto"/>
        </w:rPr>
      </w:pPr>
    </w:p>
    <w:p>
      <w:pPr>
        <w:ind w:left="160" w:right="260"/>
        <w:spacing w:after="0" w:line="233" w:lineRule="auto"/>
        <w:rPr>
          <w:sz w:val="20"/>
          <w:szCs w:val="20"/>
          <w:color w:val="auto"/>
        </w:rPr>
      </w:pPr>
      <w:r>
        <w:rPr>
          <w:rFonts w:ascii="Arial" w:cs="Arial" w:eastAsia="Arial" w:hAnsi="Arial"/>
          <w:sz w:val="17"/>
          <w:szCs w:val="17"/>
          <w:color w:val="auto"/>
        </w:rPr>
        <w:t>In addition, even if we obtain approval of atacicept for a lead indication, regulatory authorities may not approve atacicept for other indications, may impose significant limitations in the form of narrow indications, warnings, or a Risk Evaluation and Mitigation Strategy (REMS). Certain regulatory authorities may grant approval contingent on the performance of costly post-marketing clinical trials or may approve atacicept with a label that does not include the labeling claims necessary or desirable for successful commercialization of our product candidates. In addition, if we are unable to obtain regulatory approval of atacicept, or if regulatory approval results in a limited label, our business, financial condition, results of operation and prospects will be significantly harmed.</w:t>
      </w:r>
    </w:p>
    <w:p>
      <w:pPr>
        <w:spacing w:after="0" w:line="45" w:lineRule="exact"/>
        <w:rPr>
          <w:sz w:val="20"/>
          <w:szCs w:val="20"/>
          <w:color w:val="auto"/>
        </w:rPr>
      </w:pPr>
    </w:p>
    <w:p>
      <w:pPr>
        <w:ind w:left="160" w:right="80"/>
        <w:spacing w:after="0" w:line="258" w:lineRule="auto"/>
        <w:rPr>
          <w:sz w:val="20"/>
          <w:szCs w:val="20"/>
          <w:color w:val="auto"/>
        </w:rPr>
      </w:pPr>
      <w:r>
        <w:rPr>
          <w:rFonts w:ascii="Arial" w:cs="Arial" w:eastAsia="Arial" w:hAnsi="Arial"/>
          <w:sz w:val="17"/>
          <w:szCs w:val="17"/>
          <w:b w:val="1"/>
          <w:bCs w:val="1"/>
          <w:i w:val="1"/>
          <w:iCs w:val="1"/>
          <w:color w:val="auto"/>
        </w:rPr>
        <w:t>Even if approved, atacicept may not achieve adequate market acceptance among physicians, patients, healthcare payors and others in the medical community necessary for commercial success.</w:t>
      </w:r>
    </w:p>
    <w:p>
      <w:pPr>
        <w:spacing w:after="0" w:line="1" w:lineRule="exact"/>
        <w:rPr>
          <w:sz w:val="20"/>
          <w:szCs w:val="20"/>
          <w:color w:val="auto"/>
        </w:rPr>
      </w:pPr>
    </w:p>
    <w:p>
      <w:pPr>
        <w:ind w:left="160" w:right="220"/>
        <w:spacing w:after="0" w:line="239" w:lineRule="auto"/>
        <w:rPr>
          <w:sz w:val="20"/>
          <w:szCs w:val="20"/>
          <w:color w:val="auto"/>
        </w:rPr>
      </w:pPr>
      <w:r>
        <w:rPr>
          <w:rFonts w:ascii="Arial" w:cs="Arial" w:eastAsia="Arial" w:hAnsi="Arial"/>
          <w:sz w:val="17"/>
          <w:szCs w:val="17"/>
          <w:color w:val="auto"/>
        </w:rPr>
        <w:t>Even if atacicept receives regulatory approval, it may not gain adequate market acceptance among physicians, patients, healthcare payors and others in the medical community. The degree of market acceptance would depend on a number of factors, including:</w:t>
      </w:r>
    </w:p>
    <w:p>
      <w:pPr>
        <w:spacing w:after="0" w:line="186" w:lineRule="exact"/>
        <w:rPr>
          <w:sz w:val="20"/>
          <w:szCs w:val="20"/>
          <w:color w:val="auto"/>
        </w:rPr>
      </w:pPr>
    </w:p>
    <w:p>
      <w:pPr>
        <w:ind w:left="1020" w:hanging="425"/>
        <w:spacing w:after="0"/>
        <w:tabs>
          <w:tab w:leader="none" w:pos="102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the efficacy and safety profile as demonstrated in clinical trials compared to alternative treatments;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the timing of market introduction of the product candidate as well as competitive products;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the clinical indications for which the product candidate is approved;</w:t>
      </w:r>
    </w:p>
    <w:p>
      <w:pPr>
        <w:spacing w:after="0" w:line="31" w:lineRule="exact"/>
        <w:rPr>
          <w:rFonts w:ascii="MS PGothic" w:cs="MS PGothic" w:eastAsia="MS PGothic" w:hAnsi="MS PGothic"/>
          <w:sz w:val="12"/>
          <w:szCs w:val="12"/>
          <w:color w:val="auto"/>
        </w:rPr>
      </w:pPr>
    </w:p>
    <w:p>
      <w:pPr>
        <w:ind w:left="1020" w:right="440" w:hanging="425"/>
        <w:spacing w:after="0" w:line="239" w:lineRule="auto"/>
        <w:tabs>
          <w:tab w:leader="none" w:pos="102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restrictions on the use of atacicept, such as boxed warnings or contraindications in labeling, or a REMS, if any, which may not be required of alternative treatments and competitor products;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the potential and perceived advantages of product candidates over alternative treatments;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the cost of treatment in relation to alternative treatments;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our pricing and the availability of coverage and adequate reimbursement by third-party payors, including government authorities;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the availability of atacicept for use as a combination therapy;</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relative convenience and ease of administration;</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the effectiveness of sales and marketing efforts;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inclusion or exclusion of atacicept from treatment guidelines established by various physician groups;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unfavorable publicity relating to atacicept or similar approved products or product candidates in development by third parties; and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0"/>
        </w:numPr>
        <w:rPr>
          <w:rFonts w:ascii="MS PGothic" w:cs="MS PGothic" w:eastAsia="MS PGothic" w:hAnsi="MS PGothic"/>
          <w:sz w:val="12"/>
          <w:szCs w:val="12"/>
          <w:color w:val="auto"/>
        </w:rPr>
      </w:pPr>
      <w:r>
        <w:rPr>
          <w:rFonts w:ascii="Arial" w:cs="Arial" w:eastAsia="Arial" w:hAnsi="Arial"/>
          <w:sz w:val="17"/>
          <w:szCs w:val="17"/>
          <w:color w:val="auto"/>
        </w:rPr>
        <w:t>the approval of other new therapies for the same indications.</w:t>
      </w:r>
    </w:p>
    <w:p>
      <w:pPr>
        <w:spacing w:after="0" w:line="152"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Sales of medical products also depend on the willingness of physicians to prescribe the treatment, which is likely to be based on a determination by these physicians that the products are safe, therapeutically effective and accessible to patients.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 If any product candidate is approved but does not achieve an adequate level of acceptance by such parties, we may not generate or derive sufficient revenue from such product candidate and may not be able to achieve or sustain profitability.</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080"/>
          </w:cols>
          <w:pgMar w:left="320" w:top="456"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right="320"/>
        <w:spacing w:after="0" w:line="263" w:lineRule="auto"/>
        <w:rPr>
          <w:sz w:val="20"/>
          <w:szCs w:val="20"/>
          <w:color w:val="auto"/>
        </w:rPr>
      </w:pPr>
      <w:r>
        <w:rPr>
          <w:rFonts w:ascii="Arial" w:cs="Arial" w:eastAsia="Arial" w:hAnsi="Arial"/>
          <w:sz w:val="17"/>
          <w:szCs w:val="17"/>
          <w:b w:val="1"/>
          <w:bCs w:val="1"/>
          <w:i w:val="1"/>
          <w:iCs w:val="1"/>
          <w:color w:val="auto"/>
        </w:rPr>
        <w:t>Our business entails a significant risk of product liability and if we are unable to obtain sufficient insurance coverage, such inability could significantly harm our business, financial condition, results of operations and prospects.</w:t>
      </w:r>
    </w:p>
    <w:p>
      <w:pPr>
        <w:spacing w:after="0" w:line="6"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 our manufacturing processes and facilities or our marketing programs. FDA or other regulatory authority investigations could potentially lead to a recall of our product or more serious enforcement action, limitations on the approved indications for which it may be used or suspension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atacicept,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spacing w:after="0" w:line="36" w:lineRule="exact"/>
        <w:rPr>
          <w:sz w:val="20"/>
          <w:szCs w:val="20"/>
          <w:color w:val="auto"/>
        </w:rPr>
      </w:pPr>
    </w:p>
    <w:p>
      <w:pPr>
        <w:ind w:left="160" w:right="20"/>
        <w:spacing w:after="0" w:line="241" w:lineRule="auto"/>
        <w:rPr>
          <w:sz w:val="20"/>
          <w:szCs w:val="20"/>
          <w:color w:val="auto"/>
        </w:rPr>
      </w:pPr>
      <w:r>
        <w:rPr>
          <w:rFonts w:ascii="Arial" w:cs="Arial" w:eastAsia="Arial" w:hAnsi="Arial"/>
          <w:sz w:val="17"/>
          <w:szCs w:val="17"/>
          <w:b w:val="1"/>
          <w:bCs w:val="1"/>
          <w:i w:val="1"/>
          <w:iCs w:val="1"/>
          <w:color w:val="auto"/>
        </w:rPr>
        <w:t>Atacicept,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4"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As is the case with pharmaceuticals generally, it is likely that there may be side effects and adverse events associated with the use of atacicept or any future product candidates we may develop. Results of our clinical trials could reveal a high and unacceptable severity and prevalence of side effects or unexpected characteristics. Undesirable side effects caused by atacicept or any future product candidates we may develop could cause us or regulatory authorities to interrupt, delay or halt clinical trials and could result in a more restrictive label or the delay or denial of regulatory approval by the FDA or comparable foreign regulatory authorities. For example, Merck KGaA, Darmstadt, Germany previously conducted APRIL-LN, a study aimed to evaluate the efficacy and safety of atacicept in patients with active LN, receiving newly initiated corticosteroids (CS) and mycophenolate mofetil (MMF). Two weeks before the initiation of atacicept, significant decreases in IgG levels began unexpectedly with initiation of MMF and high-dose CS, and persisted upon initiation of atacicept, which led to trial termination.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51"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If atacicept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spacing w:after="0" w:line="148" w:lineRule="exact"/>
        <w:rPr>
          <w:sz w:val="20"/>
          <w:szCs w:val="20"/>
          <w:color w:val="auto"/>
        </w:rPr>
      </w:pPr>
    </w:p>
    <w:p>
      <w:pPr>
        <w:ind w:left="160" w:right="120"/>
        <w:spacing w:after="0" w:line="233" w:lineRule="auto"/>
        <w:rPr>
          <w:sz w:val="20"/>
          <w:szCs w:val="20"/>
          <w:color w:val="auto"/>
        </w:rPr>
      </w:pPr>
      <w:r>
        <w:rPr>
          <w:rFonts w:ascii="Arial" w:cs="Arial" w:eastAsia="Arial" w:hAnsi="Arial"/>
          <w:sz w:val="17"/>
          <w:szCs w:val="17"/>
          <w:color w:val="auto"/>
        </w:rPr>
        <w:t>Patients in our ongoing and planned clinical trials may in the future suffer significant adverse events or other side effects not observed in our nonclinical studies or previous clinical trials. atacicept or any future product candidates we may develop, may be used as chronic therapies or be used in pediatric populations, for which safety concerns may be particularly scrutinized by regulatory agencies. In addition, if atacicept or any future product candidates we may develop, are used in combination with other therapies, atacicept or any future product candidates we may develop may exacerbate adverse events associated with the therapy and it may not be possible to determine whether it was caused by our product or the one with which it was combined. Patients treated with atacicept or any future</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080"/>
          </w:cols>
          <w:pgMar w:left="320" w:top="456"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220"/>
        <w:spacing w:after="0" w:line="234" w:lineRule="auto"/>
        <w:rPr>
          <w:sz w:val="20"/>
          <w:szCs w:val="20"/>
          <w:color w:val="auto"/>
        </w:rPr>
      </w:pPr>
      <w:r>
        <w:rPr>
          <w:rFonts w:ascii="Arial" w:cs="Arial" w:eastAsia="Arial" w:hAnsi="Arial"/>
          <w:sz w:val="17"/>
          <w:szCs w:val="17"/>
          <w:color w:val="auto"/>
        </w:rPr>
        <w:t>candidates we may develop, may also be undergoing surgical, radiation. chemotherapy or other treatments, which can cause side effects or adverse events that are unrelated to atacicept or any future product candidates we may develop, but may still impact the success of our clinical trials. The inclusion of patients with advanced disease in our clinical trials may result in deaths or other adverse medical events due to other therapies or medications that such patients may be using or due to the gravity of such patients’ illnesses.</w:t>
      </w:r>
    </w:p>
    <w:p>
      <w:pPr>
        <w:spacing w:after="0" w:line="147" w:lineRule="exact"/>
        <w:rPr>
          <w:sz w:val="20"/>
          <w:szCs w:val="20"/>
          <w:color w:val="auto"/>
        </w:rPr>
      </w:pPr>
    </w:p>
    <w:p>
      <w:pPr>
        <w:ind w:left="160" w:right="180"/>
        <w:spacing w:after="0" w:line="247" w:lineRule="auto"/>
        <w:rPr>
          <w:sz w:val="20"/>
          <w:szCs w:val="20"/>
          <w:color w:val="auto"/>
        </w:rPr>
      </w:pPr>
      <w:r>
        <w:rPr>
          <w:rFonts w:ascii="Arial" w:cs="Arial" w:eastAsia="Arial" w:hAnsi="Arial"/>
          <w:sz w:val="16"/>
          <w:szCs w:val="16"/>
          <w:color w:val="auto"/>
        </w:rPr>
        <w:t>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w:t>
      </w:r>
    </w:p>
    <w:p>
      <w:pPr>
        <w:spacing w:after="0" w:line="144"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Further, if atacicept obtains marketing approval, toxicities associated with atacicept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atacicept will cause toxicities in humans that would preclude or lead to the revocation of regulatory approval based on nonclinical studies or early-stage clinical trials.</w:t>
      </w:r>
    </w:p>
    <w:p>
      <w:pPr>
        <w:spacing w:after="0" w:line="48" w:lineRule="exact"/>
        <w:rPr>
          <w:sz w:val="20"/>
          <w:szCs w:val="20"/>
          <w:color w:val="auto"/>
        </w:rPr>
      </w:pPr>
    </w:p>
    <w:p>
      <w:pPr>
        <w:jc w:val="both"/>
        <w:ind w:left="160" w:right="60"/>
        <w:spacing w:after="0" w:line="246" w:lineRule="auto"/>
        <w:rPr>
          <w:sz w:val="20"/>
          <w:szCs w:val="20"/>
          <w:color w:val="auto"/>
        </w:rPr>
      </w:pPr>
      <w:r>
        <w:rPr>
          <w:rFonts w:ascii="Arial" w:cs="Arial" w:eastAsia="Arial" w:hAnsi="Arial"/>
          <w:sz w:val="17"/>
          <w:szCs w:val="17"/>
          <w:b w:val="1"/>
          <w:bCs w:val="1"/>
          <w:i w:val="1"/>
          <w:iCs w:val="1"/>
          <w:color w:val="auto"/>
        </w:rPr>
        <w:t>Obtaining and maintaining regulatory approval of atacicept, or any product candidate we develop in the future, in one jurisdiction does not mean that we will be successful in obtaining regulatory approval of atacicept, or any product candidate we develop in the future, in other jurisdictions.</w:t>
      </w:r>
    </w:p>
    <w:p>
      <w:pPr>
        <w:spacing w:after="0" w:line="7"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Obtaining and maintaining regulatory approval of atacicept, or any product candidate we develop in the future, in one jurisdiction does not guarantee that we will be able to obtain or maintain regulatory approval in any other jurisdiction. For example, even if the FDA or other foreign regulatory authority grants marketing approval of a product candidate, comparable regulatory authorities in foreign jurisdictions must also approve the marketing approval of the product candidate in their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spacing w:after="0" w:line="145" w:lineRule="exact"/>
        <w:rPr>
          <w:sz w:val="20"/>
          <w:szCs w:val="20"/>
          <w:color w:val="auto"/>
        </w:rPr>
      </w:pPr>
    </w:p>
    <w:p>
      <w:pPr>
        <w:ind w:left="160" w:right="300"/>
        <w:spacing w:after="0" w:line="233" w:lineRule="auto"/>
        <w:rPr>
          <w:sz w:val="20"/>
          <w:szCs w:val="20"/>
          <w:color w:val="auto"/>
        </w:rPr>
      </w:pPr>
      <w:r>
        <w:rPr>
          <w:rFonts w:ascii="Arial" w:cs="Arial" w:eastAsia="Arial" w:hAnsi="Arial"/>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atacicept, or any product candidate we develop in the future, will be harmed.</w:t>
      </w:r>
    </w:p>
    <w:p>
      <w:pPr>
        <w:spacing w:after="0" w:line="48" w:lineRule="exact"/>
        <w:rPr>
          <w:sz w:val="20"/>
          <w:szCs w:val="20"/>
          <w:color w:val="auto"/>
        </w:rPr>
      </w:pPr>
    </w:p>
    <w:p>
      <w:pPr>
        <w:ind w:left="160" w:right="400"/>
        <w:spacing w:after="0" w:line="258" w:lineRule="auto"/>
        <w:rPr>
          <w:sz w:val="20"/>
          <w:szCs w:val="20"/>
          <w:color w:val="auto"/>
        </w:rPr>
      </w:pPr>
      <w:r>
        <w:rPr>
          <w:rFonts w:ascii="Arial" w:cs="Arial" w:eastAsia="Arial" w:hAnsi="Arial"/>
          <w:sz w:val="17"/>
          <w:szCs w:val="17"/>
          <w:b w:val="1"/>
          <w:bCs w:val="1"/>
          <w:i w:val="1"/>
          <w:iCs w:val="1"/>
          <w:color w:val="auto"/>
        </w:rPr>
        <w:t>Even if atacicept, or any product candidate we develop in the future, receives regulatory approval, it could be subject to significant post-marketing regulatory requirements and will be subject to continued regulatory oversight.</w:t>
      </w:r>
    </w:p>
    <w:p>
      <w:pPr>
        <w:spacing w:after="0" w:line="1"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Any regulatory approvals that we may receive for atacicept, or any product candidate we develop in the future, will require the submission of reports to regulatory authorities and surveillance to monitor the safety and efficacy of the marketed product, may contain significant limitations related to use restrictions for specified age groups, warnings, precautions or contraindications, and may include burdensome post-approval study or risk management requirements. For example, the FDA may require a REMS in order to approve atacicept, which could entail requirements for a medication guide, physician training and communication plans or additional elements to ensure safe use, such as restricted distribution methods, patient registries and other risk minimization tools. In addition, if</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80"/>
          </w:cols>
          <w:pgMar w:left="320" w:top="45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the FDA or applicable foreign regulatory authorities approve atacicept or any product candidate we develop in the future, the manufacturing processes, labeling, packaging, distribution, adverse event reporting, storage, advertising, promotion, import, export and recordkeeping for atacicept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192" w:lineRule="exact"/>
        <w:rPr>
          <w:sz w:val="20"/>
          <w:szCs w:val="20"/>
          <w:color w:val="auto"/>
        </w:rPr>
      </w:pPr>
    </w:p>
    <w:p>
      <w:pPr>
        <w:ind w:left="1020" w:hanging="425"/>
        <w:spacing w:after="0"/>
        <w:tabs>
          <w:tab w:leader="none" w:pos="102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delays in or the rejection of product approvals;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restrictions on our ability to conduct clinical trials, including full or partial clinical holds on ongoing or planned trials;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restrictions on the products, manufacturers or manufacturing process;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warning letters;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civil and criminal penalties;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injunctions;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suspension or withdrawal of regulatory approvals;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product seizures, detentions or import bans;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voluntary or mandatory product recalls and publicity requirements;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total or partial suspension of production; and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1"/>
        </w:numPr>
        <w:rPr>
          <w:rFonts w:ascii="MS PGothic" w:cs="MS PGothic" w:eastAsia="MS PGothic" w:hAnsi="MS PGothic"/>
          <w:sz w:val="12"/>
          <w:szCs w:val="12"/>
          <w:color w:val="auto"/>
        </w:rPr>
      </w:pPr>
      <w:r>
        <w:rPr>
          <w:rFonts w:ascii="Arial" w:cs="Arial" w:eastAsia="Arial" w:hAnsi="Arial"/>
          <w:sz w:val="17"/>
          <w:szCs w:val="17"/>
          <w:color w:val="auto"/>
        </w:rPr>
        <w:t>imposition of restrictions on operations, including costly new manufacturing requirements.</w:t>
      </w:r>
    </w:p>
    <w:p>
      <w:pPr>
        <w:spacing w:after="0" w:line="152" w:lineRule="exact"/>
        <w:rPr>
          <w:sz w:val="20"/>
          <w:szCs w:val="20"/>
          <w:color w:val="auto"/>
        </w:rPr>
      </w:pPr>
    </w:p>
    <w:p>
      <w:pPr>
        <w:ind w:left="160" w:right="440"/>
        <w:spacing w:after="0" w:line="236" w:lineRule="auto"/>
        <w:rPr>
          <w:sz w:val="20"/>
          <w:szCs w:val="20"/>
          <w:color w:val="auto"/>
        </w:rPr>
      </w:pPr>
      <w:r>
        <w:rPr>
          <w:rFonts w:ascii="Arial" w:cs="Arial" w:eastAsia="Arial" w:hAnsi="Arial"/>
          <w:sz w:val="17"/>
          <w:szCs w:val="17"/>
          <w:color w:val="auto"/>
        </w:rPr>
        <w:t>The occurrence of any event or penalty described above may inhibit our ability to commercialize atacicept, or any product candidate we may develop in the future, and generate revenue and could require us to expend significant time and resources in response and could generate negative publicity.</w:t>
      </w:r>
    </w:p>
    <w:p>
      <w:pPr>
        <w:spacing w:after="0" w:line="146" w:lineRule="exact"/>
        <w:rPr>
          <w:sz w:val="20"/>
          <w:szCs w:val="20"/>
          <w:color w:val="auto"/>
        </w:rPr>
      </w:pPr>
    </w:p>
    <w:p>
      <w:pPr>
        <w:ind w:left="160" w:right="120"/>
        <w:spacing w:after="0" w:line="234"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atacicept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be able to achieve or sustain profitability.</w:t>
      </w:r>
    </w:p>
    <w:p>
      <w:pPr>
        <w:spacing w:after="0" w:line="147" w:lineRule="exact"/>
        <w:rPr>
          <w:sz w:val="20"/>
          <w:szCs w:val="20"/>
          <w:color w:val="auto"/>
        </w:rPr>
      </w:pPr>
    </w:p>
    <w:p>
      <w:pPr>
        <w:ind w:left="160" w:right="380"/>
        <w:spacing w:after="0" w:line="234"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If these actions impose constraints on FDA’s or foreign regulatory authorities’ ability to engage in oversight and implementation activities in the normal course, it may significantly harm our business, financial condition, results of operations and prospects.</w:t>
      </w:r>
    </w:p>
    <w:p>
      <w:pPr>
        <w:spacing w:after="0" w:line="47" w:lineRule="exact"/>
        <w:rPr>
          <w:sz w:val="20"/>
          <w:szCs w:val="20"/>
          <w:color w:val="auto"/>
        </w:rPr>
      </w:pPr>
    </w:p>
    <w:p>
      <w:pPr>
        <w:ind w:left="160" w:right="100"/>
        <w:spacing w:after="0" w:line="258" w:lineRule="auto"/>
        <w:rPr>
          <w:sz w:val="20"/>
          <w:szCs w:val="20"/>
          <w:color w:val="auto"/>
        </w:rPr>
      </w:pPr>
      <w:r>
        <w:rPr>
          <w:rFonts w:ascii="Arial" w:cs="Arial" w:eastAsia="Arial" w:hAnsi="Arial"/>
          <w:sz w:val="17"/>
          <w:szCs w:val="17"/>
          <w:b w:val="1"/>
          <w:bCs w:val="1"/>
          <w:i w:val="1"/>
          <w:iCs w:val="1"/>
          <w:color w:val="auto"/>
        </w:rPr>
        <w:t>We are currently seeking orphan drug designation for atacicept for the treatment of IgAN, but even if designated we may not ultimately realize the potential benefits of orphan drug designation.</w:t>
      </w:r>
    </w:p>
    <w:p>
      <w:pPr>
        <w:spacing w:after="0" w:line="1"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We are currently seeking orphan drug designation from the FDA and EMA for atacicept for the treatment of IgAN. Under the Orphan Drug Act, the FDA may designate a drug product as an orphan drug if it is intended to treat a rare disease or condition, defined as a patient population of fewer than 200,000 in the United States, or a patient population greater than 200,000 in the United States but where there is no reasonable expectation to recover the costs of developing and marketing a treatment drug in the United States.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However, orphan drug designation neither shortens the development time nor regulatory review time of a product candidate nor gives the candidate any advantage in the regulatory review or approval process.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80"/>
          </w:cols>
          <w:pgMar w:left="320" w:top="45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for the orphan patient population. Exclusive marketing rights in the United States may also be unavailable if we or our collaborators seek approval for an indication broader than the orphan designated indication and may be lost if the FDA later determines that the request for designation was materially defective. 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safer, more effective, or makes a major contribution to patient care.</w:t>
      </w:r>
    </w:p>
    <w:p>
      <w:pPr>
        <w:spacing w:after="0" w:line="150"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Similarly, in Europe, a medicinal product may receive orphan designation under Article 3 of Regulation (EC) 141/2000. This applies to products that are intended for a life-threatening or chronically debilitating condition and either (1) such condition affects no more than five in 10,000 persons in the EU when the application is made, or (2) the product, without the benefits derived from orphan status, would be unlikely to generate sufficient returns in the EU to justify the necessary investment in its development. Moreover, in order to obtain orphan designation in the EU it is necessary to demonstrate that there exists no satisfactory method of diagnosis, prevention or treatment of such condition authorized for marketing in the EU or, if such a method exists, the product will be of significant benefit to those affected by the condition. In the EU, orphan medicinal products are eligible for financial incentives such as reduction of fees or fee waivers and applicants can benefit from specific regulatory assistance and scientific advice. Products receiving orphan designation in the EU can receive 10 years of market exclusivity, during which time no “similar medicinal product” for the same indication may be placed on the market. A “similar medicinal product” is defined as a medicinal product containing a similar active substance or substances as contained in an authorized orphan medicinal product, and which is intended for the same therapeutic indication. An orphan product can also obtain an additional two years of market exclusivity in the EU for pediatric studies. However, the 10-year market exclusivity may be reduced to six years if, at the end of the fifth year, it is established that the product no longer meets the criteria for orphan designation—for example, if the product is sufficiently profitable not to justify maintenance of market exclusivity. Additionally, marketing authorization may be granted to a similar medicinal product for the same indication at any time if:</w:t>
      </w:r>
    </w:p>
    <w:p>
      <w:pPr>
        <w:spacing w:after="0" w:line="188" w:lineRule="exact"/>
        <w:rPr>
          <w:sz w:val="20"/>
          <w:szCs w:val="20"/>
          <w:color w:val="auto"/>
        </w:rPr>
      </w:pPr>
    </w:p>
    <w:p>
      <w:pPr>
        <w:ind w:left="1020" w:hanging="425"/>
        <w:spacing w:after="0"/>
        <w:tabs>
          <w:tab w:leader="none" w:pos="1020" w:val="left"/>
        </w:tabs>
        <w:numPr>
          <w:ilvl w:val="0"/>
          <w:numId w:val="22"/>
        </w:numPr>
        <w:rPr>
          <w:rFonts w:ascii="MS PGothic" w:cs="MS PGothic" w:eastAsia="MS PGothic" w:hAnsi="MS PGothic"/>
          <w:sz w:val="12"/>
          <w:szCs w:val="12"/>
          <w:color w:val="auto"/>
        </w:rPr>
      </w:pPr>
      <w:r>
        <w:rPr>
          <w:rFonts w:ascii="Arial" w:cs="Arial" w:eastAsia="Arial" w:hAnsi="Arial"/>
          <w:sz w:val="17"/>
          <w:szCs w:val="17"/>
          <w:color w:val="auto"/>
        </w:rPr>
        <w:t>the second applicant can establish that its product, although similar, is safer, more effective or otherwise clinically superior;</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2"/>
        </w:numPr>
        <w:rPr>
          <w:rFonts w:ascii="MS PGothic" w:cs="MS PGothic" w:eastAsia="MS PGothic" w:hAnsi="MS PGothic"/>
          <w:sz w:val="12"/>
          <w:szCs w:val="12"/>
          <w:color w:val="auto"/>
        </w:rPr>
      </w:pPr>
      <w:r>
        <w:rPr>
          <w:rFonts w:ascii="Arial" w:cs="Arial" w:eastAsia="Arial" w:hAnsi="Arial"/>
          <w:sz w:val="17"/>
          <w:szCs w:val="17"/>
          <w:color w:val="auto"/>
        </w:rPr>
        <w:t>the first marketing authorization holder for the authorized product consents to a second orphan medicinal product application; or</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2"/>
        </w:numPr>
        <w:rPr>
          <w:rFonts w:ascii="MS PGothic" w:cs="MS PGothic" w:eastAsia="MS PGothic" w:hAnsi="MS PGothic"/>
          <w:sz w:val="12"/>
          <w:szCs w:val="12"/>
          <w:color w:val="auto"/>
        </w:rPr>
      </w:pPr>
      <w:r>
        <w:rPr>
          <w:rFonts w:ascii="Arial" w:cs="Arial" w:eastAsia="Arial" w:hAnsi="Arial"/>
          <w:sz w:val="17"/>
          <w:szCs w:val="17"/>
          <w:color w:val="auto"/>
        </w:rPr>
        <w:t>the marketing authorization holder for the authorized product cannot supply enough orphan medicinal product.</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If we do not receive or maintain orphan drug designation for atacicept for the treatment of IgAN, it could limit our ability to realize revenues.</w:t>
      </w:r>
    </w:p>
    <w:p>
      <w:pPr>
        <w:spacing w:after="0" w:line="52" w:lineRule="exact"/>
        <w:rPr>
          <w:sz w:val="20"/>
          <w:szCs w:val="20"/>
          <w:color w:val="auto"/>
        </w:rPr>
      </w:pPr>
    </w:p>
    <w:p>
      <w:pPr>
        <w:ind w:left="160" w:right="20"/>
        <w:spacing w:after="0" w:line="237" w:lineRule="auto"/>
        <w:rPr>
          <w:sz w:val="20"/>
          <w:szCs w:val="20"/>
          <w:color w:val="auto"/>
        </w:rPr>
      </w:pPr>
      <w:r>
        <w:rPr>
          <w:rFonts w:ascii="Arial" w:cs="Arial" w:eastAsia="Arial" w:hAnsi="Arial"/>
          <w:sz w:val="17"/>
          <w:szCs w:val="17"/>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or comparable foreign regulatory authorities, if our confirmatory trials do not verify clinical benefit, or if we do not comply with rigorous post-marketing requirements, the FDA or comparable foreign regulatory authorities may seek to withdraw any accelerated approval.</w:t>
      </w:r>
    </w:p>
    <w:p>
      <w:pPr>
        <w:spacing w:after="0" w:line="12" w:lineRule="exact"/>
        <w:rPr>
          <w:sz w:val="20"/>
          <w:szCs w:val="20"/>
          <w:color w:val="auto"/>
        </w:rPr>
      </w:pPr>
    </w:p>
    <w:p>
      <w:pPr>
        <w:ind w:left="160" w:right="260"/>
        <w:spacing w:after="0" w:line="236" w:lineRule="auto"/>
        <w:rPr>
          <w:sz w:val="20"/>
          <w:szCs w:val="20"/>
          <w:color w:val="auto"/>
        </w:rPr>
      </w:pPr>
      <w:r>
        <w:rPr>
          <w:rFonts w:ascii="Arial" w:cs="Arial" w:eastAsia="Arial" w:hAnsi="Arial"/>
          <w:sz w:val="17"/>
          <w:szCs w:val="17"/>
          <w:color w:val="auto"/>
        </w:rPr>
        <w:t>We may in the future seek an accelerated approval for atacicept or future product candidates we may develop. For example, if the results from our planned Phase 2b trial of atacicept in patients with IgAN are positive, we may seek accelerated approval with the FDA based on this trial, which we may not be granted. Under the accelerated approval</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060"/>
          </w:cols>
          <w:pgMar w:left="320" w:top="456"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30" w:lineRule="auto"/>
        <w:rPr>
          <w:sz w:val="20"/>
          <w:szCs w:val="20"/>
          <w:color w:val="auto"/>
        </w:rPr>
      </w:pPr>
      <w:r>
        <w:rPr>
          <w:rFonts w:ascii="Arial" w:cs="Arial" w:eastAsia="Arial" w:hAnsi="Arial"/>
          <w:sz w:val="17"/>
          <w:szCs w:val="17"/>
          <w:color w:val="auto"/>
        </w:rPr>
        <w:t>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For example, UPCR is an accepted surrogate primary endpoint for clinical trials in IgAN, which could allow for a faster path to commercialization than rate of change/slope in GFR. We may seek accelerated approval based on the UPCR endpoint.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Use of the accelerated approval pathway would entail submission of a BLA under Subpart E of the FDA regulations with the UPCR surrogate endpoint data while conducting the Phase 3 trial to collect change/slope in GFR data. If granted, accelerated approval is usually contingent on the sponsor’s agreement to complete ongoing trials and/or conduct, in a diligent manner, additional post- approval confirmatory studies to verity and describe the drug’s clinical benefit. Additionally, unless and until converted to full approval at the time of satisfying the conditions of any accelerated approval letter, the sponsor must submit any promotional materials for the accelerated approval drug to FDA at least 30 days prior to use. Third-party payors may refuse to provide coverage or reimbursement for the drug until the confirmatory studies are complete. Additionally, if such post-approval studies fail to confirm the drug’s clinical benefit, the FDA may withdraw its approval of the drug.</w:t>
      </w:r>
    </w:p>
    <w:p>
      <w:pPr>
        <w:spacing w:after="0" w:line="159"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Prior to seeking accelerated approval for atacicept,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atacicept, there can be no assurance that such submission or application will be accepted or that any expedited development, review or approval will be granted on a timely basis, or at all. The FDA or comparable foreign regulatory authorities could also require us to conduct further studies prior to considering our application or granting approval of any type. A failure to obtain accelerated approval or any other form of expedited development, review or approval for atacicept would result in a longer time period to commercialization of such product candidate, could increase the cost of development of atacicept and could harm our competitive position in the marketplace.</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Biosimilars to atacicept may provide competition sooner than anticipated.</w:t>
      </w:r>
    </w:p>
    <w:p>
      <w:pPr>
        <w:spacing w:after="0" w:line="39" w:lineRule="exact"/>
        <w:rPr>
          <w:sz w:val="20"/>
          <w:szCs w:val="20"/>
          <w:color w:val="auto"/>
        </w:rPr>
      </w:pPr>
    </w:p>
    <w:p>
      <w:pPr>
        <w:ind w:left="160" w:right="60"/>
        <w:spacing w:after="0" w:line="231"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ACA), signed into law on March 23, 2010,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151" w:lineRule="exact"/>
        <w:rPr>
          <w:sz w:val="20"/>
          <w:szCs w:val="20"/>
          <w:color w:val="auto"/>
        </w:rPr>
      </w:pPr>
    </w:p>
    <w:p>
      <w:pPr>
        <w:ind w:left="160" w:right="200"/>
        <w:spacing w:after="0" w:line="236"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060"/>
          </w:cols>
          <w:pgMar w:left="320" w:top="456"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47" w:lineRule="exact"/>
        <w:rPr>
          <w:sz w:val="20"/>
          <w:szCs w:val="20"/>
          <w:color w:val="auto"/>
        </w:rPr>
      </w:pPr>
    </w:p>
    <w:p>
      <w:pPr>
        <w:ind w:left="160" w:right="20"/>
        <w:spacing w:after="0" w:line="239" w:lineRule="auto"/>
        <w:rPr>
          <w:sz w:val="20"/>
          <w:szCs w:val="20"/>
          <w:color w:val="auto"/>
        </w:rPr>
      </w:pPr>
      <w:r>
        <w:rPr>
          <w:rFonts w:ascii="Arial" w:cs="Arial" w:eastAsia="Arial" w:hAnsi="Arial"/>
          <w:sz w:val="17"/>
          <w:szCs w:val="17"/>
          <w:color w:val="auto"/>
        </w:rPr>
        <w:t>If any approved products are subject to biosimilar competition sooner than we expect, we will face significant pricing pressure and our commercial opportunity will be limited.</w:t>
      </w:r>
    </w:p>
    <w:p>
      <w:pPr>
        <w:spacing w:after="0" w:line="45" w:lineRule="exact"/>
        <w:rPr>
          <w:sz w:val="20"/>
          <w:szCs w:val="20"/>
          <w:color w:val="auto"/>
        </w:rPr>
      </w:pPr>
    </w:p>
    <w:p>
      <w:pPr>
        <w:ind w:left="160" w:right="220"/>
        <w:spacing w:after="0" w:line="258" w:lineRule="auto"/>
        <w:rPr>
          <w:sz w:val="20"/>
          <w:szCs w:val="20"/>
          <w:color w:val="auto"/>
        </w:rPr>
      </w:pPr>
      <w:r>
        <w:rPr>
          <w:rFonts w:ascii="Arial" w:cs="Arial" w:eastAsia="Arial" w:hAnsi="Arial"/>
          <w:sz w:val="17"/>
          <w:szCs w:val="17"/>
          <w:b w:val="1"/>
          <w:bCs w:val="1"/>
          <w:i w:val="1"/>
          <w:iCs w:val="1"/>
          <w:color w:val="auto"/>
        </w:rPr>
        <w:t>Any product candidate we develop may become subject to unfavorable third-party coverage and reimbursement practices, as well as pricing regulations.</w:t>
      </w:r>
    </w:p>
    <w:p>
      <w:pPr>
        <w:spacing w:after="0" w:line="1" w:lineRule="exact"/>
        <w:rPr>
          <w:sz w:val="20"/>
          <w:szCs w:val="20"/>
          <w:color w:val="auto"/>
        </w:rPr>
      </w:pPr>
    </w:p>
    <w:p>
      <w:pPr>
        <w:ind w:left="160" w:right="140"/>
        <w:spacing w:after="0" w:line="232" w:lineRule="auto"/>
        <w:rPr>
          <w:sz w:val="20"/>
          <w:szCs w:val="20"/>
          <w:color w:val="auto"/>
        </w:rPr>
      </w:pPr>
      <w:r>
        <w:rPr>
          <w:rFonts w:ascii="Arial" w:cs="Arial" w:eastAsia="Arial" w:hAnsi="Arial"/>
          <w:sz w:val="17"/>
          <w:szCs w:val="17"/>
          <w:color w:val="auto"/>
        </w:rPr>
        <w:t>We intend to seek approval to market atacicept in both the United States, in the EU and in certain foreign jurisdictions. If we obtain approval in one or more foreign jurisdictions for atacicept, we will be subject to rules and regulations in those jurisdictions. In some foreign countries, particularly those in the European Union, the pricing of drugs is subject to governmental control and other market regulations which could put pressure on the pricing and usage of atacicept. In these countries, pricing negotiations with governmental authorities can take considerable time after obtaining marketing approval of a product candidate. In addition, market acceptance and sales of atacicept will depend significantly on the availability of adequate coverage and reimbursement from third-party payors for atacicept and may be affected by existing and future healthcare reform measures.</w:t>
      </w:r>
    </w:p>
    <w:p>
      <w:pPr>
        <w:spacing w:after="0" w:line="148" w:lineRule="exact"/>
        <w:rPr>
          <w:sz w:val="20"/>
          <w:szCs w:val="20"/>
          <w:color w:val="auto"/>
        </w:rPr>
      </w:pPr>
    </w:p>
    <w:p>
      <w:pPr>
        <w:ind w:left="160" w:right="60"/>
        <w:spacing w:after="0" w:line="231"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atacicept,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atacicept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51"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 Factors payors consider in determining reimbursement are based on whether the product is:</w:t>
      </w:r>
    </w:p>
    <w:p>
      <w:pPr>
        <w:spacing w:after="0" w:line="189" w:lineRule="exact"/>
        <w:rPr>
          <w:sz w:val="20"/>
          <w:szCs w:val="20"/>
          <w:color w:val="auto"/>
        </w:rPr>
      </w:pPr>
    </w:p>
    <w:p>
      <w:pPr>
        <w:ind w:left="1020" w:hanging="425"/>
        <w:spacing w:after="0"/>
        <w:tabs>
          <w:tab w:leader="none" w:pos="1020"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a covered benefit under its health plan;</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safe, effective and medically necessary;</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appropriate for the specific patient;</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cost-effective; and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neither experimental nor investigational.</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080"/>
          </w:cols>
          <w:pgMar w:left="320" w:top="456"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A primary trend in the U.S. healthcare industry and elsewhere is cost containment. Governmental payors, as well as other third-party payors, including pharmacy benefit managers,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 Nonetheless, atacicept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50"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atacicept or any future product candidates we may develop.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atacicept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atacicept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spacing w:after="0" w:line="150"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may face difficulties from changes to current regulations and future legislation.</w:t>
      </w:r>
    </w:p>
    <w:p>
      <w:pPr>
        <w:spacing w:after="0" w:line="39"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Existing regulatory policies may change and additional government regulations may be enacted that could prevent, limit or delay regulatory approval of atacicept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be able to achieve or sustain profitability.</w:t>
      </w:r>
    </w:p>
    <w:p>
      <w:pPr>
        <w:spacing w:after="0" w:line="148"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For example, the ACA was passed in March 2010,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080"/>
          </w:cols>
          <w:pgMar w:left="320" w:top="456"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Medicare Part D; and provided incentives to programs that increase the federal government’s comparative effectiveness research.</w:t>
      </w:r>
    </w:p>
    <w:p>
      <w:pPr>
        <w:spacing w:after="0" w:line="152" w:lineRule="exact"/>
        <w:rPr>
          <w:sz w:val="20"/>
          <w:szCs w:val="20"/>
          <w:color w:val="auto"/>
        </w:rPr>
      </w:pPr>
    </w:p>
    <w:p>
      <w:pPr>
        <w:ind w:left="160" w:right="160"/>
        <w:spacing w:after="0" w:line="231"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For example, various portions of the ACA are currently undergoing legal and constitutional challenges in the United States Supreme Court. On February 10, 2021, the Biden administration withdrew the federal government’s support for overturning the ACA. Further, although the Supreme Court has not yet ruled on the constitutionality of the ACA, on January 28, 2021, President Biden issued an executive order to initiate a special enrollment period coverage through the ACA marketplace, which began on February 15, 2021 and will remain open through August 15, 2021.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also unclear how the Supreme Court ruling, other such litigation and the healthcare reform measures of the Biden administration will impact the ACA and our business.</w:t>
      </w:r>
    </w:p>
    <w:p>
      <w:pPr>
        <w:spacing w:after="0" w:line="151" w:lineRule="exact"/>
        <w:rPr>
          <w:sz w:val="20"/>
          <w:szCs w:val="20"/>
          <w:color w:val="auto"/>
        </w:rPr>
      </w:pPr>
    </w:p>
    <w:p>
      <w:pPr>
        <w:ind w:left="160" w:right="100"/>
        <w:spacing w:after="0" w:line="23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 aggregate reductions to Medicare payments to providers of 2% per fiscal year pursuant to the Budget Control Act of 2011, which began in 2013, and due to subsequent legislative amendments to the statute, including the Bipartisan Budget Act of 2018, will remain in effect through 2030, unless additional congressional action is taken. COVID-19 pandemic relief legislation suspended the 2% Medicare sequester from May 1, 2020 through December 31, 2021. The American Taxpayer Relief Act of 2012, among other things, further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an adverse effect on customers for our product candidates, if approved, and, accordingly, our financial operations.</w:t>
      </w:r>
    </w:p>
    <w:p>
      <w:pPr>
        <w:spacing w:after="0" w:line="147" w:lineRule="exact"/>
        <w:rPr>
          <w:sz w:val="20"/>
          <w:szCs w:val="20"/>
          <w:color w:val="auto"/>
        </w:rPr>
      </w:pPr>
    </w:p>
    <w:p>
      <w:pPr>
        <w:ind w:left="160"/>
        <w:spacing w:after="0" w:line="230" w:lineRule="auto"/>
        <w:rPr>
          <w:sz w:val="20"/>
          <w:szCs w:val="20"/>
          <w:color w:val="auto"/>
        </w:rPr>
      </w:pPr>
      <w:r>
        <w:rPr>
          <w:rFonts w:ascii="Arial" w:cs="Arial" w:eastAsia="Arial" w:hAnsi="Arial"/>
          <w:sz w:val="17"/>
          <w:szCs w:val="17"/>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However, in response to a lawsuit filed by several industry groups, on December 28, the U.S. District Court for the Northern District of California issued a nationwide preliminary injunction enjoining government defendants from implementing the MFN Rule pending completion of notice-and-comment procedures under the Administrative Procedure Act.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Interim Final Rule shall not commence earlier than 60 days after publication of that regulation in the Federal Register.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November 20, 2020, HHS finalized a regulation removing safe harbor protection for price reductions from pharmaceutical manufacturers to plan sponsors under Part D, either directly or through pharmacy benefit managers,</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060"/>
          </w:cols>
          <w:pgMar w:left="320" w:top="456"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 pharmaceutical products and pharmacy benefit manager service fees have also been delayed until January 1, 2023. At the state level, legislatures have increasingly passed legislation and implemented regulations designed to control pharmaceutical and biological product pricing, including price or patient reimbursement-constraints, discounts, restrictions on certain product access and marketing cost disclosure and transparency measures, and, in some cases, designed to encourage importation from other countries and bulk purchasing.</w:t>
      </w:r>
    </w:p>
    <w:p>
      <w:pPr>
        <w:spacing w:after="0" w:line="145"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achieve and sustain profitability or commercialize atacicept or any future product candidates we may develop. It is possible that additional governmental action is taken in response to the COVID-19 pandemic.</w:t>
      </w:r>
    </w:p>
    <w:p>
      <w:pPr>
        <w:spacing w:after="0" w:line="145"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atacicept or any future product candidates we may develop,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48"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In addition, FDA regulations and guidance may be revised or reinterpreted by the FDA in ways that may significantly affect our business and our products. Any new regulations or guidance, or revisions or reinterpretations of existing regulations or guidance, may impose additional costs or lengthen FDA review times for atacicept or future product candidates we may develop. We cannot determine how changes in regulations, statutes, policies, or interpretations when and if issued, enacted or adopted, may affect our business in the future. Such changes could, among other things, require:</w:t>
      </w:r>
    </w:p>
    <w:p>
      <w:pPr>
        <w:spacing w:after="0" w:line="188" w:lineRule="exact"/>
        <w:rPr>
          <w:sz w:val="20"/>
          <w:szCs w:val="20"/>
          <w:color w:val="auto"/>
        </w:rPr>
      </w:pPr>
    </w:p>
    <w:p>
      <w:pPr>
        <w:ind w:left="1020" w:hanging="425"/>
        <w:spacing w:after="0"/>
        <w:tabs>
          <w:tab w:leader="none" w:pos="1020" w:val="left"/>
        </w:tabs>
        <w:numPr>
          <w:ilvl w:val="0"/>
          <w:numId w:val="24"/>
        </w:numPr>
        <w:rPr>
          <w:rFonts w:ascii="MS PGothic" w:cs="MS PGothic" w:eastAsia="MS PGothic" w:hAnsi="MS PGothic"/>
          <w:sz w:val="12"/>
          <w:szCs w:val="12"/>
          <w:color w:val="auto"/>
        </w:rPr>
      </w:pPr>
      <w:r>
        <w:rPr>
          <w:rFonts w:ascii="Arial" w:cs="Arial" w:eastAsia="Arial" w:hAnsi="Arial"/>
          <w:sz w:val="17"/>
          <w:szCs w:val="17"/>
          <w:color w:val="auto"/>
        </w:rPr>
        <w:t>additional clinical trials to be conducted prior to obtaining approval;</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4"/>
        </w:numPr>
        <w:rPr>
          <w:rFonts w:ascii="MS PGothic" w:cs="MS PGothic" w:eastAsia="MS PGothic" w:hAnsi="MS PGothic"/>
          <w:sz w:val="12"/>
          <w:szCs w:val="12"/>
          <w:color w:val="auto"/>
        </w:rPr>
      </w:pPr>
      <w:r>
        <w:rPr>
          <w:rFonts w:ascii="Arial" w:cs="Arial" w:eastAsia="Arial" w:hAnsi="Arial"/>
          <w:sz w:val="17"/>
          <w:szCs w:val="17"/>
          <w:color w:val="auto"/>
        </w:rPr>
        <w:t>changes to manufacturing methods;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4"/>
        </w:numPr>
        <w:rPr>
          <w:rFonts w:ascii="MS PGothic" w:cs="MS PGothic" w:eastAsia="MS PGothic" w:hAnsi="MS PGothic"/>
          <w:sz w:val="12"/>
          <w:szCs w:val="12"/>
          <w:color w:val="auto"/>
        </w:rPr>
      </w:pPr>
      <w:r>
        <w:rPr>
          <w:rFonts w:ascii="Arial" w:cs="Arial" w:eastAsia="Arial" w:hAnsi="Arial"/>
          <w:sz w:val="17"/>
          <w:szCs w:val="17"/>
          <w:color w:val="auto"/>
        </w:rPr>
        <w:t>recalls, replacements, or discontinuance of one or more of our products; and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4"/>
        </w:numPr>
        <w:rPr>
          <w:rFonts w:ascii="MS PGothic" w:cs="MS PGothic" w:eastAsia="MS PGothic" w:hAnsi="MS PGothic"/>
          <w:sz w:val="12"/>
          <w:szCs w:val="12"/>
          <w:color w:val="auto"/>
        </w:rPr>
      </w:pPr>
      <w:r>
        <w:rPr>
          <w:rFonts w:ascii="Arial" w:cs="Arial" w:eastAsia="Arial" w:hAnsi="Arial"/>
          <w:sz w:val="17"/>
          <w:szCs w:val="17"/>
          <w:color w:val="auto"/>
        </w:rPr>
        <w:t>additional recordkeeping.</w:t>
      </w:r>
    </w:p>
    <w:p>
      <w:pPr>
        <w:spacing w:after="0" w:line="152" w:lineRule="exact"/>
        <w:rPr>
          <w:sz w:val="20"/>
          <w:szCs w:val="20"/>
          <w:color w:val="auto"/>
        </w:rPr>
      </w:pPr>
    </w:p>
    <w:p>
      <w:pPr>
        <w:ind w:left="160" w:right="180"/>
        <w:spacing w:after="0" w:line="234" w:lineRule="auto"/>
        <w:rPr>
          <w:sz w:val="20"/>
          <w:szCs w:val="20"/>
          <w:color w:val="auto"/>
        </w:rPr>
      </w:pPr>
      <w:r>
        <w:rPr>
          <w:rFonts w:ascii="Arial" w:cs="Arial" w:eastAsia="Arial" w:hAnsi="Arial"/>
          <w:sz w:val="17"/>
          <w:szCs w:val="17"/>
          <w:color w:val="auto"/>
        </w:rPr>
        <w:t>Such changes would likely require substantial time and impose significant costs, or could reduce the potential commercial value of atacicept or future product candidates we may develop,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47" w:lineRule="exact"/>
        <w:rPr>
          <w:sz w:val="20"/>
          <w:szCs w:val="20"/>
          <w:color w:val="auto"/>
        </w:rPr>
      </w:pPr>
    </w:p>
    <w:p>
      <w:pPr>
        <w:ind w:left="160"/>
        <w:spacing w:after="0" w:line="238" w:lineRule="auto"/>
        <w:rPr>
          <w:sz w:val="20"/>
          <w:szCs w:val="20"/>
          <w:color w:val="auto"/>
        </w:rPr>
      </w:pPr>
      <w:r>
        <w:rPr>
          <w:rFonts w:ascii="Arial" w:cs="Arial" w:eastAsia="Arial" w:hAnsi="Arial"/>
          <w:sz w:val="17"/>
          <w:szCs w:val="17"/>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14"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our product candidate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w:t>
      </w:r>
    </w:p>
    <w:p>
      <w:pPr>
        <w:spacing w:after="0" w:line="142"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000"/>
          </w:cols>
          <w:pgMar w:left="320" w:top="456" w:right="5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320"/>
        <w:spacing w:after="0" w:line="239" w:lineRule="auto"/>
        <w:rPr>
          <w:sz w:val="20"/>
          <w:szCs w:val="20"/>
          <w:color w:val="auto"/>
        </w:rPr>
      </w:pPr>
      <w:r>
        <w:rPr>
          <w:rFonts w:ascii="Arial" w:cs="Arial" w:eastAsia="Arial" w:hAnsi="Arial"/>
          <w:sz w:val="17"/>
          <w:szCs w:val="17"/>
          <w:color w:val="auto"/>
        </w:rPr>
        <w:t>arrangements and relationships through which we market, sell and distribute our product for which we obtain marketing approval. Restrictions under applicable federal and state healthcare laws and regulations include the following:</w:t>
      </w:r>
    </w:p>
    <w:p>
      <w:pPr>
        <w:spacing w:after="0" w:line="186" w:lineRule="exact"/>
        <w:rPr>
          <w:sz w:val="20"/>
          <w:szCs w:val="20"/>
          <w:color w:val="auto"/>
        </w:rPr>
      </w:pPr>
    </w:p>
    <w:p>
      <w:pPr>
        <w:ind w:left="1020" w:hanging="425"/>
        <w:spacing w:after="0" w:line="232" w:lineRule="auto"/>
        <w:tabs>
          <w:tab w:leader="none" w:pos="102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28" w:lineRule="exact"/>
        <w:rPr>
          <w:rFonts w:ascii="MS PGothic" w:cs="MS PGothic" w:eastAsia="MS PGothic" w:hAnsi="MS PGothic"/>
          <w:sz w:val="12"/>
          <w:szCs w:val="12"/>
          <w:color w:val="auto"/>
        </w:rPr>
      </w:pPr>
    </w:p>
    <w:p>
      <w:pPr>
        <w:ind w:left="1020" w:right="40" w:hanging="425"/>
        <w:spacing w:after="0" w:line="234" w:lineRule="auto"/>
        <w:tabs>
          <w:tab w:leader="none" w:pos="102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6" w:lineRule="exact"/>
        <w:rPr>
          <w:rFonts w:ascii="MS PGothic" w:cs="MS PGothic" w:eastAsia="MS PGothic" w:hAnsi="MS PGothic"/>
          <w:sz w:val="12"/>
          <w:szCs w:val="12"/>
          <w:color w:val="auto"/>
        </w:rPr>
      </w:pPr>
    </w:p>
    <w:p>
      <w:pPr>
        <w:ind w:left="1020" w:right="60" w:hanging="425"/>
        <w:spacing w:after="0" w:line="234" w:lineRule="auto"/>
        <w:tabs>
          <w:tab w:leader="none" w:pos="102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26" w:lineRule="exact"/>
        <w:rPr>
          <w:rFonts w:ascii="MS PGothic" w:cs="MS PGothic" w:eastAsia="MS PGothic" w:hAnsi="MS PGothic"/>
          <w:sz w:val="12"/>
          <w:szCs w:val="12"/>
          <w:color w:val="auto"/>
        </w:rPr>
      </w:pPr>
    </w:p>
    <w:p>
      <w:pPr>
        <w:ind w:left="1020" w:right="100" w:hanging="425"/>
        <w:spacing w:after="0" w:line="233" w:lineRule="auto"/>
        <w:tabs>
          <w:tab w:leader="none" w:pos="102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HIPAA, as amended by the Health Information Technology for Economic and Clinical Health Act (HITECH) and their implementing regulations, also imposes obligations, including mandatory contractual terms, certain covered healthcare providers, health plans, and healthcare clearinghouses as well as their respective business associates and subcontractors that perform services for them that involve the use, or disclosure of, individually identifiable health information with respect to safeguarding the privacy, security and transmission of individually identifiable health information;</w:t>
      </w:r>
    </w:p>
    <w:p>
      <w:pPr>
        <w:spacing w:after="0" w:line="27" w:lineRule="exact"/>
        <w:rPr>
          <w:rFonts w:ascii="MS PGothic" w:cs="MS PGothic" w:eastAsia="MS PGothic" w:hAnsi="MS PGothic"/>
          <w:sz w:val="12"/>
          <w:szCs w:val="12"/>
          <w:color w:val="auto"/>
        </w:rPr>
      </w:pPr>
    </w:p>
    <w:p>
      <w:pPr>
        <w:ind w:left="1020" w:right="20" w:hanging="425"/>
        <w:spacing w:after="0" w:line="232" w:lineRule="auto"/>
        <w:tabs>
          <w:tab w:leader="none" w:pos="102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and teaching hospitals, as well as information regarding ownership and investment interests held by physicians and their immediate family members. Beginning in 2022, applicable manufacturers also will be required to report information regarding payments and other transfers of value provided to physician assistants, nurse practitioners, clinical nurse specialists, anesthesiologist assistants, certified registered nurse anesthetists and certified nurse midwives during the previous year; and</w:t>
      </w:r>
    </w:p>
    <w:p>
      <w:pPr>
        <w:spacing w:after="0" w:line="26" w:lineRule="exact"/>
        <w:rPr>
          <w:rFonts w:ascii="MS PGothic" w:cs="MS PGothic" w:eastAsia="MS PGothic" w:hAnsi="MS PGothic"/>
          <w:sz w:val="12"/>
          <w:szCs w:val="12"/>
          <w:color w:val="auto"/>
        </w:rPr>
      </w:pPr>
    </w:p>
    <w:p>
      <w:pPr>
        <w:jc w:val="both"/>
        <w:ind w:left="1020" w:right="60" w:hanging="425"/>
        <w:spacing w:after="0" w:line="236" w:lineRule="auto"/>
        <w:tabs>
          <w:tab w:leader="none" w:pos="1020" w:val="left"/>
        </w:tabs>
        <w:numPr>
          <w:ilvl w:val="0"/>
          <w:numId w:val="25"/>
        </w:numPr>
        <w:rPr>
          <w:rFonts w:ascii="MS PGothic" w:cs="MS PGothic" w:eastAsia="MS PGothic" w:hAnsi="MS PGothic"/>
          <w:sz w:val="12"/>
          <w:szCs w:val="12"/>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46"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to report information on the pricing of certain drug products. Some state and local laws require the registration of pharmaceutical sales representatives.</w:t>
      </w:r>
    </w:p>
    <w:p>
      <w:pPr>
        <w:spacing w:after="0" w:line="148" w:lineRule="exact"/>
        <w:rPr>
          <w:sz w:val="20"/>
          <w:szCs w:val="20"/>
          <w:color w:val="auto"/>
        </w:rPr>
      </w:pPr>
    </w:p>
    <w:p>
      <w:pPr>
        <w:ind w:left="160" w:right="220"/>
        <w:spacing w:after="0" w:line="234" w:lineRule="auto"/>
        <w:rPr>
          <w:sz w:val="20"/>
          <w:szCs w:val="20"/>
          <w:color w:val="auto"/>
        </w:rPr>
      </w:pPr>
      <w:r>
        <w:rPr>
          <w:rFonts w:ascii="Arial" w:cs="Arial" w:eastAsia="Arial" w:hAnsi="Arial"/>
          <w:sz w:val="17"/>
          <w:szCs w:val="17"/>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induce or reward improper performance generally is governed by the national anti-bribery laws of EU Member States, and the</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060"/>
          </w:cols>
          <w:pgMar w:left="320" w:top="456"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48" w:lineRule="exact"/>
        <w:rPr>
          <w:sz w:val="20"/>
          <w:szCs w:val="20"/>
          <w:color w:val="auto"/>
        </w:rPr>
      </w:pPr>
    </w:p>
    <w:p>
      <w:pPr>
        <w:ind w:left="160" w:right="120"/>
        <w:spacing w:after="0" w:line="233" w:lineRule="auto"/>
        <w:rPr>
          <w:sz w:val="20"/>
          <w:szCs w:val="20"/>
          <w:color w:val="auto"/>
        </w:rPr>
      </w:pPr>
      <w:r>
        <w:rPr>
          <w:rFonts w:ascii="Arial" w:cs="Arial" w:eastAsia="Arial" w:hAnsi="Arial"/>
          <w:sz w:val="17"/>
          <w:szCs w:val="17"/>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48"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50" w:lineRule="exact"/>
        <w:rPr>
          <w:sz w:val="20"/>
          <w:szCs w:val="20"/>
          <w:color w:val="auto"/>
        </w:rPr>
      </w:pPr>
    </w:p>
    <w:p>
      <w:pPr>
        <w:ind w:left="160" w:right="160"/>
        <w:spacing w:after="0" w:line="258" w:lineRule="auto"/>
        <w:rPr>
          <w:sz w:val="20"/>
          <w:szCs w:val="20"/>
          <w:color w:val="auto"/>
        </w:rPr>
      </w:pPr>
      <w:r>
        <w:rPr>
          <w:rFonts w:ascii="Arial" w:cs="Arial" w:eastAsia="Arial" w:hAnsi="Arial"/>
          <w:sz w:val="17"/>
          <w:szCs w:val="17"/>
          <w:b w:val="1"/>
          <w:bCs w:val="1"/>
          <w:i w:val="1"/>
          <w:iCs w:val="1"/>
          <w:color w:val="auto"/>
        </w:rPr>
        <w:t>We are subject to stringent and evolving U.S. and foreign laws, regulations, rules, contractual obligations, and policies related to data privacy and security, and our actual or perceived failure to comply with such obligations could harm our business.</w:t>
      </w:r>
    </w:p>
    <w:p>
      <w:pPr>
        <w:spacing w:after="0" w:line="1"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Our business is subject to stringent and evolving U.S. and foreign laws, rules, and regulations and contractual obligations relating to data privacy and security, including the collection, use, processing, disclosure, retention and security of personal information. The regulatory frameworks for data privacy and security are evolving and may result in increasing regulatory and public scrutiny and escalating levels of enforcement and sanctions, including monetary penalties and prohibitions on processing personal information that could require us to change our business practices. Interpretation of these frameworks is likely to remain uncertain and potentially inconsistent for the foreseeable future. This evolution may create uncertainty in our business, affect our ability (or the ability of our collaborators, service providers, and contractors) to operate in certain jurisdictions or to collect, store, process, transfer, use or share personal information. This evolution could also necessitate the acceptance of more onerous obligations in our contracts and impose additional costs on us. Our efforts to bring our practices (and those of our collaborators, service providers, and contractors) into compliance with these obligations may not succeed for a variety of reasons, including due to internal or external factors such as resource allocation limitations or a lack of vendor cooperation. Noncompliance could result in the commencement of legal proceedings against us by governmental and regulatory entities, collaborators, data subjects or others.</w:t>
      </w:r>
    </w:p>
    <w:p>
      <w:pPr>
        <w:spacing w:after="0" w:line="150"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Among the most stringent of these laws is the General Data Protection Regulation ((EU) 2016/679) (GDPR), which applies to the processing of personal information about clinical trials participants and other individuals in the EU and the United Kingdom. Companies that violate the GDPR can face private litigation, prohibitions on data processing and fines of up to the greater of 20 million Euros or 4% of their worldwide annual revenue. The GDPR requires us to give detailed disclosures about how we collect, use and share personal information; ensure any consents relied on to process personal information (including special categories of personal data, such as health data) meet the stricter GDPR requirements; contractually impose data protection requirements on vendors entrusted with personal information; maintain adequate data security measures; notify regulators and affected individuals of</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080"/>
          </w:cols>
          <w:pgMar w:left="320" w:top="45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certain data breaches; meet extensive privacy governance and documentation requirements; and honor individuals’ data protection rights, including their rights to access, correct and delete their personal information. European data protection authorities may interpret the GDPR and national laws implementing it differently and impose additional requirements or obligations on us, which further contribute to the complexity of processing personal information in or from Europe. Guidance on implementation and compliance with the GDPR is often updated or otherwise revised. The GDPR may increase our responsibility and liability in relation to personal information that we process, and we may be required to implement additional mechanisms to comply with the GDPR. These mechanisms may be onerous and, if our efforts to comply with GDPR or other applicable European data protection laws and regulations are not successful, our business in Europe could be adversely affected. In addition, further to the United Kingdom’s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European’s data protection regime. Non-compliance with the UK GDPR may result in monetary penalties of up to £17.5 million or 4% of worldwide revenue, whichever is higher.</w:t>
      </w:r>
    </w:p>
    <w:p>
      <w:pPr>
        <w:spacing w:after="0" w:line="149"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European data protection laws also generally prohibit the transfer of personal information from Europe to the United States and most other countries unless the parties to the transfer have implemented specific safeguards to protect the transferred personal information. One of the primary safeguards used for transfers of personal information from the European Union and Switzerland to the United States until recently was the Privacy Shield framework administered by the U.S. Department of Commerce, which was invalidated by a decision of the European Union’s highest court in July 2020. The same decision also cast doubt on the viability of one of the primary alternatives to the Privacy Shield, namely, the European Commission’s Standard Contractual Clauses, as a vehicle for such transfers. Similarly, the Swiss Federal Data Protection and Information Commissioner has opined that the Privacy Shield is inadequate for transfers of data from Switzerland to the U.S. and raised similar questions regarding the Standard Contractual Clauses. At present, there are few, if any, viable alternatives to the Standard Contractual Clauses and, therefore, there is uncertainty regarding how to lawfully transfer personal information from Europe or the UK to the U.S. and other third countries. Failure to comply with the GDPR’s cross-border data restrictions may increase our exposure to its heightened sanctions, restrict our clinical trial activities in Europe, and limit our ability to collaborate with CROs, service providers and other companies subject to European and UK data protection laws.</w:t>
      </w:r>
    </w:p>
    <w:p>
      <w:pPr>
        <w:spacing w:after="0" w:line="150" w:lineRule="exact"/>
        <w:rPr>
          <w:sz w:val="20"/>
          <w:szCs w:val="20"/>
          <w:color w:val="auto"/>
        </w:rPr>
      </w:pPr>
    </w:p>
    <w:p>
      <w:pPr>
        <w:ind w:left="160" w:right="60"/>
        <w:spacing w:after="0" w:line="231" w:lineRule="auto"/>
        <w:rPr>
          <w:sz w:val="20"/>
          <w:szCs w:val="20"/>
          <w:color w:val="auto"/>
        </w:rPr>
      </w:pPr>
      <w:r>
        <w:rPr>
          <w:rFonts w:ascii="Arial" w:cs="Arial" w:eastAsia="Arial" w:hAnsi="Arial"/>
          <w:sz w:val="17"/>
          <w:szCs w:val="17"/>
          <w:color w:val="auto"/>
        </w:rPr>
        <w:t>In addition, it is unclear whether the transfer of personal information from the EU to the United Kingdom will continue to remain lawful under the GDPR in light of Brexit. Pursuant to a post-Brexit trade deal between the United Kingdom and the EU, transfers of personal information from the European Economic Area to the United Kingdom are not considered restricted transfers under the GDPR for a period of up to six months from January 1, 2021. However, unless the EU Commission makes an adequacy finding with respect to the United Kingdom before the end of that period, the United Kingdom will be considered a “third country” under the GDPR and transfers of European personal information to the United Kingdom will require an approved compliance mechanism to render such transfers lawful under the GDPR. Although the United Kingdom’s primary data protection legislation is designed to be consistent with the GDPR, uncertainty remains regarding how data transfers to and from the United Kingdom will be regulated after Brexit. This uncertainty and any restrictions on data transfers between the UK and the EU may further limit our ability to do business in the region.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150"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Privacy and data security laws in the United States are also increasingly complex and changing rapidly. Just over a month after the GDPR took effect, the California legislature passed the California Consumer Privacy Act of 2018 (CCPA), which took effect on January 1, 2020. The CCPA gives California residents certain rights similar to the individual rights given under the GDPR (including the right to access and delete their personal information, opt-out of certain personal information sharing, and receive detailed information about how their personal information is used), and provides for civil penalties for violations. Since the enactment of the CCPA, new privacy and data security laws have been proposed in more than half of the states and in United States Congress, reflecting a trend toward more stringent privacy legislation in the United States that may increase our compliance costs and our exposure to</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080"/>
          </w:cols>
          <w:pgMar w:left="320" w:top="45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120"/>
        <w:spacing w:after="0" w:line="232" w:lineRule="auto"/>
        <w:rPr>
          <w:sz w:val="20"/>
          <w:szCs w:val="20"/>
          <w:color w:val="auto"/>
        </w:rPr>
      </w:pPr>
      <w:r>
        <w:rPr>
          <w:rFonts w:ascii="Arial" w:cs="Arial" w:eastAsia="Arial" w:hAnsi="Arial"/>
          <w:sz w:val="17"/>
          <w:szCs w:val="17"/>
          <w:color w:val="auto"/>
        </w:rPr>
        <w:t>liability. Further, a new California privacy law, the California Privacy Rights Act (CPRA) was passed by California voters on November 3, 2020. The CPRA will create additional obligations with respect to processing and storing personal information that are scheduled to take effect on January 1, 2023 (with certain provisions having retroactive effect to January 1, 2022). While certain clinical trials activities are exempt from the CCPA’s requirements, other personal information that we handle may be subject to the CCPA, which may increase our compliance costs, exposure to regulatory enforcement action and other liabilities. All of these evolving compliance and operational requirements impose significant costs that are likely to increase over time, may require us to modify our data processing practices and policies, divert resources from other initiatives and projects, including increased costs related to insurance, cybersecurity and information technology, and could restrict the way products and services involving data are offered, all of which could significantly harm our business, financial condition, results of operations and prospects.</w:t>
      </w:r>
    </w:p>
    <w:p>
      <w:pPr>
        <w:spacing w:after="0" w:line="45" w:lineRule="exact"/>
        <w:rPr>
          <w:sz w:val="20"/>
          <w:szCs w:val="20"/>
          <w:color w:val="auto"/>
        </w:rPr>
      </w:pPr>
    </w:p>
    <w:p>
      <w:pPr>
        <w:ind w:left="160" w:right="120"/>
        <w:spacing w:after="0" w:line="25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significantly harm our business, financial condition, results of operations or prospects.</w:t>
      </w:r>
    </w:p>
    <w:p>
      <w:pPr>
        <w:spacing w:after="0" w:line="1"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5"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47" w:lineRule="exact"/>
        <w:rPr>
          <w:sz w:val="20"/>
          <w:szCs w:val="20"/>
          <w:color w:val="auto"/>
        </w:rPr>
      </w:pPr>
    </w:p>
    <w:p>
      <w:pPr>
        <w:jc w:val="both"/>
        <w:ind w:left="160" w:right="80"/>
        <w:spacing w:after="0" w:line="23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45" w:lineRule="exact"/>
        <w:rPr>
          <w:sz w:val="20"/>
          <w:szCs w:val="20"/>
          <w:color w:val="auto"/>
        </w:rPr>
      </w:pPr>
    </w:p>
    <w:p>
      <w:pPr>
        <w:ind w:left="160" w:right="60"/>
        <w:spacing w:after="0" w:line="241" w:lineRule="auto"/>
        <w:rPr>
          <w:sz w:val="20"/>
          <w:szCs w:val="20"/>
          <w:color w:val="auto"/>
        </w:rPr>
      </w:pPr>
      <w:r>
        <w:rPr>
          <w:rFonts w:ascii="Arial" w:cs="Arial" w:eastAsia="Arial" w:hAnsi="Arial"/>
          <w:sz w:val="17"/>
          <w:szCs w:val="17"/>
          <w:b w:val="1"/>
          <w:bCs w:val="1"/>
          <w:i w:val="1"/>
          <w:iCs w:val="1"/>
          <w:color w:val="auto"/>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1"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060"/>
          </w:cols>
          <w:pgMar w:left="320" w:top="456"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180"/>
        <w:spacing w:after="0" w:line="239" w:lineRule="auto"/>
        <w:rPr>
          <w:sz w:val="20"/>
          <w:szCs w:val="20"/>
          <w:color w:val="auto"/>
        </w:rPr>
      </w:pPr>
      <w:r>
        <w:rPr>
          <w:rFonts w:ascii="Arial" w:cs="Arial" w:eastAsia="Arial" w:hAnsi="Arial"/>
          <w:sz w:val="17"/>
          <w:szCs w:val="17"/>
          <w:color w:val="auto"/>
        </w:rPr>
        <w:t>business. Any such violations could include prohibitions on our ability to offer our product in one or more countries and could materially damage our reputation, our brand, our international activities, our ability to attract and retain employees and our business.</w:t>
      </w:r>
    </w:p>
    <w:p>
      <w:pPr>
        <w:spacing w:after="0" w:line="146"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50" w:lineRule="exact"/>
        <w:rPr>
          <w:sz w:val="20"/>
          <w:szCs w:val="20"/>
          <w:color w:val="auto"/>
        </w:rPr>
      </w:pPr>
    </w:p>
    <w:p>
      <w:pPr>
        <w:ind w:left="160"/>
        <w:spacing w:after="0" w:line="264" w:lineRule="auto"/>
        <w:rPr>
          <w:sz w:val="20"/>
          <w:szCs w:val="20"/>
          <w:color w:val="auto"/>
        </w:rPr>
      </w:pPr>
      <w:r>
        <w:rPr>
          <w:rFonts w:ascii="Arial" w:cs="Arial" w:eastAsia="Arial" w:hAnsi="Arial"/>
          <w:sz w:val="16"/>
          <w:szCs w:val="16"/>
          <w:b w:val="1"/>
          <w:bCs w:val="1"/>
          <w:i w:val="1"/>
          <w:iCs w:val="1"/>
          <w:color w:val="auto"/>
        </w:rPr>
        <w:t>We are subject to various laws relating to foreign investment and the export of certain technologies, and our failure to comply with these laws or adequately monitor the compliance of our suppliers and others we do business with could subject us to substantial fines, penalties and even injunctions, the imposition of which on us could have a material adverse effect on the success of our business.</w:t>
      </w:r>
    </w:p>
    <w:p>
      <w:pPr>
        <w:spacing w:after="0" w:line="1"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We are subject to U.S. laws that regulate foreign investments in U.S. businesses and access by foreign persons to technology developed and produced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rulemakings to impose new export control restrictions on “emerging and foundational technologies” yet to be fully identified. Application of these laws, including as they are implemented through regulations being developed, may negatively impact our business in various ways, including by restricting our access to capital and markets; limiting the collaborations we may pursue; regulating the export our products, services, and technology from the United States and abroad; increasing our costs and the time necessary to obtain required authorizations and to ensure compliance; and threatening monetary fines and other penalties if we do not.</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The outbreak of the novel coronavirus disease, COVID-19, could adversely impact our business, including our clinical trials.</w:t>
      </w:r>
    </w:p>
    <w:p>
      <w:pPr>
        <w:spacing w:after="0" w:line="39"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In March 2020, the World Health Organization declared the COVID-19 outbreak a pandemic, and since such time, actions taken around the world to help mitigate the spread of COVID-19 have included varying restrictions on travel, quarantines in certain areas, and forced closures for several types of public places and businesses The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effects of government orders and our work-from-home could slow our productivity or disrupt our business in the future, the magnitude of which will depend, in part, on the length and severity of the restrictions and other limitations on our ability to conduct our business in the ordinary course. In response to the spread of COVID-19, we have closed our executive offices with our administrative employees continuing their work outside of our offices and limited the number of staff in any given research and development laboratory. As a result of the ongoing COVID-19 pandemic, we may experience additional disruptions that could severely impact our business, preclinical studies and clinical trials, including:</w:t>
      </w:r>
    </w:p>
    <w:p>
      <w:pPr>
        <w:spacing w:after="0" w:line="191" w:lineRule="exact"/>
        <w:rPr>
          <w:sz w:val="20"/>
          <w:szCs w:val="20"/>
          <w:color w:val="auto"/>
        </w:rPr>
      </w:pPr>
    </w:p>
    <w:p>
      <w:pPr>
        <w:ind w:left="5540" w:right="4580" w:hanging="4945"/>
        <w:spacing w:after="0" w:line="417" w:lineRule="auto"/>
        <w:tabs>
          <w:tab w:leader="none" w:pos="1029" w:val="left"/>
        </w:tabs>
        <w:numPr>
          <w:ilvl w:val="0"/>
          <w:numId w:val="26"/>
        </w:numPr>
        <w:rPr>
          <w:rFonts w:ascii="MS PGothic" w:cs="MS PGothic" w:eastAsia="MS PGothic" w:hAnsi="MS PGothic"/>
          <w:sz w:val="12"/>
          <w:szCs w:val="12"/>
          <w:color w:val="auto"/>
        </w:rPr>
      </w:pPr>
      <w:r>
        <w:rPr>
          <w:rFonts w:ascii="Arial" w:cs="Arial" w:eastAsia="Arial" w:hAnsi="Arial"/>
          <w:sz w:val="17"/>
          <w:szCs w:val="17"/>
          <w:color w:val="auto"/>
        </w:rPr>
        <w:t xml:space="preserve">delays or difficulties in enrolling and retaining patients in our clinical trials; </w:t>
      </w:r>
      <w:r>
        <w:rPr>
          <w:rFonts w:ascii="Arial" w:cs="Arial" w:eastAsia="Arial" w:hAnsi="Arial"/>
          <w:sz w:val="16"/>
          <w:szCs w:val="16"/>
          <w:color w:val="auto"/>
        </w:rPr>
        <w:t>38</w:t>
      </w:r>
    </w:p>
    <w:p>
      <w:pPr>
        <w:sectPr>
          <w:pgSz w:w="11900" w:h="16838" w:orient="portrait"/>
          <w:cols w:equalWidth="0" w:num="1">
            <w:col w:w="11080"/>
          </w:cols>
          <w:pgMar w:left="32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020" w:hanging="425"/>
        <w:spacing w:after="0"/>
        <w:tabs>
          <w:tab w:leader="none" w:pos="1020" w:val="left"/>
        </w:tabs>
        <w:numPr>
          <w:ilvl w:val="0"/>
          <w:numId w:val="27"/>
        </w:numPr>
        <w:rPr>
          <w:rFonts w:ascii="MS PGothic" w:cs="MS PGothic" w:eastAsia="MS PGothic" w:hAnsi="MS PGothic"/>
          <w:sz w:val="12"/>
          <w:szCs w:val="12"/>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31" w:lineRule="exact"/>
        <w:rPr>
          <w:rFonts w:ascii="MS PGothic" w:cs="MS PGothic" w:eastAsia="MS PGothic" w:hAnsi="MS PGothic"/>
          <w:sz w:val="12"/>
          <w:szCs w:val="12"/>
          <w:color w:val="auto"/>
        </w:rPr>
      </w:pPr>
    </w:p>
    <w:p>
      <w:pPr>
        <w:ind w:left="1020" w:hanging="425"/>
        <w:spacing w:after="0" w:line="239" w:lineRule="auto"/>
        <w:tabs>
          <w:tab w:leader="none" w:pos="1020" w:val="left"/>
        </w:tabs>
        <w:numPr>
          <w:ilvl w:val="0"/>
          <w:numId w:val="27"/>
        </w:numPr>
        <w:rPr>
          <w:rFonts w:ascii="MS PGothic" w:cs="MS PGothic" w:eastAsia="MS PGothic" w:hAnsi="MS PGothic"/>
          <w:sz w:val="12"/>
          <w:szCs w:val="12"/>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25" w:lineRule="exact"/>
        <w:rPr>
          <w:rFonts w:ascii="MS PGothic" w:cs="MS PGothic" w:eastAsia="MS PGothic" w:hAnsi="MS PGothic"/>
          <w:sz w:val="12"/>
          <w:szCs w:val="12"/>
          <w:color w:val="auto"/>
        </w:rPr>
      </w:pPr>
    </w:p>
    <w:p>
      <w:pPr>
        <w:ind w:left="1020" w:right="880" w:hanging="425"/>
        <w:spacing w:after="0" w:line="236" w:lineRule="auto"/>
        <w:tabs>
          <w:tab w:leader="none" w:pos="1020" w:val="left"/>
        </w:tabs>
        <w:numPr>
          <w:ilvl w:val="0"/>
          <w:numId w:val="27"/>
        </w:numPr>
        <w:rPr>
          <w:rFonts w:ascii="MS PGothic" w:cs="MS PGothic" w:eastAsia="MS PGothic" w:hAnsi="MS PGothic"/>
          <w:sz w:val="12"/>
          <w:szCs w:val="12"/>
          <w:color w:val="auto"/>
        </w:rPr>
      </w:pPr>
      <w:r>
        <w:rPr>
          <w:rFonts w:ascii="Arial" w:cs="Arial" w:eastAsia="Arial" w:hAnsi="Arial"/>
          <w:sz w:val="17"/>
          <w:szCs w:val="17"/>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trial endpoints;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7"/>
        </w:numPr>
        <w:rPr>
          <w:rFonts w:ascii="MS PGothic" w:cs="MS PGothic" w:eastAsia="MS PGothic" w:hAnsi="MS PGothic"/>
          <w:sz w:val="12"/>
          <w:szCs w:val="12"/>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31" w:lineRule="exact"/>
        <w:rPr>
          <w:rFonts w:ascii="MS PGothic" w:cs="MS PGothic" w:eastAsia="MS PGothic" w:hAnsi="MS PGothic"/>
          <w:sz w:val="12"/>
          <w:szCs w:val="12"/>
          <w:color w:val="auto"/>
        </w:rPr>
      </w:pPr>
    </w:p>
    <w:p>
      <w:pPr>
        <w:ind w:left="1020" w:right="480" w:hanging="425"/>
        <w:spacing w:after="0" w:line="239" w:lineRule="auto"/>
        <w:tabs>
          <w:tab w:leader="none" w:pos="1020" w:val="left"/>
        </w:tabs>
        <w:numPr>
          <w:ilvl w:val="0"/>
          <w:numId w:val="27"/>
        </w:numPr>
        <w:rPr>
          <w:rFonts w:ascii="MS PGothic" w:cs="MS PGothic" w:eastAsia="MS PGothic" w:hAnsi="MS PGothic"/>
          <w:sz w:val="12"/>
          <w:szCs w:val="12"/>
          <w:color w:val="auto"/>
        </w:rPr>
      </w:pPr>
      <w:r>
        <w:rPr>
          <w:rFonts w:ascii="Arial" w:cs="Arial" w:eastAsia="Arial" w:hAnsi="Arial"/>
          <w:sz w:val="17"/>
          <w:szCs w:val="17"/>
          <w:color w:val="auto"/>
        </w:rPr>
        <w:t>limitations on our business operations by the local, state, or federal government that could impact our ability to sell or deliver our instruments and consumables;</w:t>
      </w:r>
    </w:p>
    <w:p>
      <w:pPr>
        <w:spacing w:after="0" w:line="25" w:lineRule="exact"/>
        <w:rPr>
          <w:rFonts w:ascii="MS PGothic" w:cs="MS PGothic" w:eastAsia="MS PGothic" w:hAnsi="MS PGothic"/>
          <w:sz w:val="12"/>
          <w:szCs w:val="12"/>
          <w:color w:val="auto"/>
        </w:rPr>
      </w:pPr>
    </w:p>
    <w:p>
      <w:pPr>
        <w:ind w:left="1020" w:right="540" w:hanging="425"/>
        <w:spacing w:after="0" w:line="239" w:lineRule="auto"/>
        <w:tabs>
          <w:tab w:leader="none" w:pos="1020" w:val="left"/>
        </w:tabs>
        <w:numPr>
          <w:ilvl w:val="0"/>
          <w:numId w:val="27"/>
        </w:numPr>
        <w:rPr>
          <w:rFonts w:ascii="MS PGothic" w:cs="MS PGothic" w:eastAsia="MS PGothic" w:hAnsi="MS PGothic"/>
          <w:sz w:val="12"/>
          <w:szCs w:val="12"/>
          <w:color w:val="auto"/>
        </w:rPr>
      </w:pPr>
      <w:r>
        <w:rPr>
          <w:rFonts w:ascii="Arial" w:cs="Arial" w:eastAsia="Arial" w:hAnsi="Arial"/>
          <w:sz w:val="17"/>
          <w:szCs w:val="17"/>
          <w:color w:val="auto"/>
        </w:rPr>
        <w:t>interruption of, or delays in receiving, supplies of atacicept from our contract manufacturing organizations (CMO) due to staffing shortages, production slowdowns or stoppages and disruptions in delivery systems;</w:t>
      </w:r>
    </w:p>
    <w:p>
      <w:pPr>
        <w:spacing w:after="0" w:line="25" w:lineRule="exact"/>
        <w:rPr>
          <w:rFonts w:ascii="MS PGothic" w:cs="MS PGothic" w:eastAsia="MS PGothic" w:hAnsi="MS PGothic"/>
          <w:sz w:val="12"/>
          <w:szCs w:val="12"/>
          <w:color w:val="auto"/>
        </w:rPr>
      </w:pPr>
    </w:p>
    <w:p>
      <w:pPr>
        <w:ind w:left="1020" w:right="280" w:hanging="425"/>
        <w:spacing w:after="0" w:line="236" w:lineRule="auto"/>
        <w:tabs>
          <w:tab w:leader="none" w:pos="1020" w:val="left"/>
        </w:tabs>
        <w:numPr>
          <w:ilvl w:val="0"/>
          <w:numId w:val="27"/>
        </w:numPr>
        <w:rPr>
          <w:rFonts w:ascii="MS PGothic" w:cs="MS PGothic" w:eastAsia="MS PGothic" w:hAnsi="MS PGothic"/>
          <w:sz w:val="12"/>
          <w:szCs w:val="12"/>
          <w:color w:val="auto"/>
        </w:rPr>
      </w:pPr>
      <w:r>
        <w:rPr>
          <w:rFonts w:ascii="Arial" w:cs="Arial" w:eastAsia="Arial" w:hAnsi="Arial"/>
          <w:sz w:val="17"/>
          <w:szCs w:val="17"/>
          <w:color w:val="auto"/>
        </w:rPr>
        <w:t>interruption of or delays in receiving products and supplies from the third parties we rely on to, among other things, manufacture components of our instruments, due to staffing shortages, production slowdowns or stoppages and disruptions in delivery systems, which may impair our ability to sell our products and consumables;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7"/>
        </w:numPr>
        <w:rPr>
          <w:rFonts w:ascii="MS PGothic" w:cs="MS PGothic" w:eastAsia="MS PGothic" w:hAnsi="MS PGothic"/>
          <w:sz w:val="12"/>
          <w:szCs w:val="12"/>
          <w:color w:val="auto"/>
        </w:rPr>
      </w:pPr>
      <w:r>
        <w:rPr>
          <w:rFonts w:ascii="Arial" w:cs="Arial" w:eastAsia="Arial" w:hAnsi="Arial"/>
          <w:sz w:val="17"/>
          <w:szCs w:val="17"/>
          <w:color w:val="auto"/>
        </w:rPr>
        <w:t>interruptions in nonclinical studies due to restricted or limited operations at our laboratory facility;</w:t>
      </w:r>
    </w:p>
    <w:p>
      <w:pPr>
        <w:spacing w:after="0" w:line="31" w:lineRule="exact"/>
        <w:rPr>
          <w:rFonts w:ascii="MS PGothic" w:cs="MS PGothic" w:eastAsia="MS PGothic" w:hAnsi="MS PGothic"/>
          <w:sz w:val="12"/>
          <w:szCs w:val="12"/>
          <w:color w:val="auto"/>
        </w:rPr>
      </w:pPr>
    </w:p>
    <w:p>
      <w:pPr>
        <w:ind w:left="1020" w:right="500" w:hanging="425"/>
        <w:spacing w:after="0" w:line="239" w:lineRule="auto"/>
        <w:tabs>
          <w:tab w:leader="none" w:pos="1020" w:val="left"/>
        </w:tabs>
        <w:numPr>
          <w:ilvl w:val="0"/>
          <w:numId w:val="27"/>
        </w:numPr>
        <w:rPr>
          <w:rFonts w:ascii="MS PGothic" w:cs="MS PGothic" w:eastAsia="MS PGothic" w:hAnsi="MS PGothic"/>
          <w:sz w:val="12"/>
          <w:szCs w:val="12"/>
          <w:color w:val="auto"/>
        </w:rPr>
      </w:pPr>
      <w:r>
        <w:rPr>
          <w:rFonts w:ascii="Arial" w:cs="Arial" w:eastAsia="Arial" w:hAnsi="Arial"/>
          <w:sz w:val="17"/>
          <w:szCs w:val="17"/>
          <w:color w:val="auto"/>
        </w:rPr>
        <w:t>business disruptions caused by workplace, laboratory and office closures and an increased reliance on employees working from home, travel limitations, cyber security and data accessibility limits, or communication or mass transit disruptions; and</w:t>
      </w:r>
    </w:p>
    <w:p>
      <w:pPr>
        <w:spacing w:after="0" w:line="25" w:lineRule="exact"/>
        <w:rPr>
          <w:rFonts w:ascii="MS PGothic" w:cs="MS PGothic" w:eastAsia="MS PGothic" w:hAnsi="MS PGothic"/>
          <w:sz w:val="12"/>
          <w:szCs w:val="12"/>
          <w:color w:val="auto"/>
        </w:rPr>
      </w:pPr>
    </w:p>
    <w:p>
      <w:pPr>
        <w:ind w:left="1020" w:right="160" w:hanging="425"/>
        <w:spacing w:after="0" w:line="236" w:lineRule="auto"/>
        <w:tabs>
          <w:tab w:leader="none" w:pos="1020" w:val="left"/>
        </w:tabs>
        <w:numPr>
          <w:ilvl w:val="0"/>
          <w:numId w:val="27"/>
        </w:numPr>
        <w:rPr>
          <w:rFonts w:ascii="MS PGothic" w:cs="MS PGothic" w:eastAsia="MS PGothic" w:hAnsi="MS PGothic"/>
          <w:sz w:val="12"/>
          <w:szCs w:val="12"/>
          <w:color w:val="auto"/>
        </w:rPr>
      </w:pPr>
      <w:r>
        <w:rPr>
          <w:rFonts w:ascii="Arial" w:cs="Arial" w:eastAsia="Arial" w:hAnsi="Arial"/>
          <w:sz w:val="17"/>
          <w:szCs w:val="17"/>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 and</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7"/>
        </w:numPr>
        <w:rPr>
          <w:rFonts w:ascii="MS PGothic" w:cs="MS PGothic" w:eastAsia="MS PGothic" w:hAnsi="MS PGothic"/>
          <w:sz w:val="12"/>
          <w:szCs w:val="12"/>
          <w:color w:val="auto"/>
        </w:rPr>
      </w:pPr>
      <w:r>
        <w:rPr>
          <w:rFonts w:ascii="Arial" w:cs="Arial" w:eastAsia="Arial" w:hAnsi="Arial"/>
          <w:sz w:val="17"/>
          <w:szCs w:val="17"/>
          <w:color w:val="auto"/>
        </w:rPr>
        <w:t>interruption or delays to our sourced discovery and clinical activities.</w:t>
      </w:r>
    </w:p>
    <w:p>
      <w:pPr>
        <w:spacing w:after="0" w:line="152"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147"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It is uncertain when restrictions will be fully lifted, and if so, when we will be able to resume pre-pandemic work routines. Imposition of government orders, including quarantine and shelter-in-place orders related to COVID-19 or other infectious diseases, is expected to continue to impact personnel at our and our third-party manufacturing facilities for the foreseeable future. The ongoing COVID-19 pandemic continues to rapidly evolve. The extent to which the COVID-19 pandemic continues to impact our business, clinical development, including our ongoing and planned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 including the effectiveness and timing of vaccination programs in the United States and worldwide. Accordingly, we do not yet know the full extent of potential delays or impacts on our business, our clinical and regulatory activities, healthcare systems or the global economy as a whole. However, these effects could have negative impacts on our business, financial condition and results of operations.</w:t>
      </w:r>
    </w:p>
    <w:p>
      <w:pPr>
        <w:spacing w:after="0" w:line="139" w:lineRule="exact"/>
        <w:rPr>
          <w:sz w:val="20"/>
          <w:szCs w:val="20"/>
          <w:color w:val="auto"/>
        </w:rPr>
      </w:pPr>
    </w:p>
    <w:p>
      <w:pPr>
        <w:ind w:left="160" w:right="40"/>
        <w:spacing w:after="0" w:line="239" w:lineRule="auto"/>
        <w:rPr>
          <w:sz w:val="20"/>
          <w:szCs w:val="20"/>
          <w:color w:val="auto"/>
        </w:rPr>
      </w:pPr>
      <w:r>
        <w:rPr>
          <w:rFonts w:ascii="Arial" w:cs="Arial" w:eastAsia="Arial" w:hAnsi="Arial"/>
          <w:sz w:val="17"/>
          <w:szCs w:val="17"/>
          <w:color w:val="auto"/>
        </w:rPr>
        <w:t>In addition, to the extent the evolving COVID-19 pandemic continues to adversely affects our business and results of operations, it may also have the effect of heightening many of the other risks and uncertainties described in this “Risk Factors” section.</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080"/>
          </w:cols>
          <w:pgMar w:left="320" w:top="456"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right="980"/>
        <w:spacing w:after="0" w:line="263" w:lineRule="auto"/>
        <w:rPr>
          <w:sz w:val="20"/>
          <w:szCs w:val="20"/>
          <w:color w:val="auto"/>
        </w:rPr>
      </w:pPr>
      <w:r>
        <w:rPr>
          <w:rFonts w:ascii="Arial" w:cs="Arial" w:eastAsia="Arial" w:hAnsi="Arial"/>
          <w:sz w:val="17"/>
          <w:szCs w:val="17"/>
          <w:b w:val="1"/>
          <w:bCs w:val="1"/>
          <w:i w:val="1"/>
          <w:iCs w:val="1"/>
          <w:color w:val="auto"/>
        </w:rPr>
        <w:t>Our success is highly dependent on our ability to attract and retain highly skilled executive officers and employees and key consultants.</w:t>
      </w:r>
    </w:p>
    <w:p>
      <w:pPr>
        <w:spacing w:after="0" w:line="6" w:lineRule="exact"/>
        <w:rPr>
          <w:sz w:val="20"/>
          <w:szCs w:val="20"/>
          <w:color w:val="auto"/>
        </w:rPr>
      </w:pPr>
    </w:p>
    <w:p>
      <w:pPr>
        <w:ind w:left="160" w:right="140"/>
        <w:spacing w:after="0" w:line="234"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 including certain key consultants.</w:t>
      </w:r>
    </w:p>
    <w:p>
      <w:pPr>
        <w:spacing w:after="0" w:line="147"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Furthermore, although we have employment offer letters with each of our executive officers, each of them may terminate their employment with us at any time. We do not maintain “key person” insurance for all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147" w:lineRule="exact"/>
        <w:rPr>
          <w:sz w:val="20"/>
          <w:szCs w:val="20"/>
          <w:color w:val="auto"/>
        </w:rPr>
      </w:pPr>
    </w:p>
    <w:p>
      <w:pPr>
        <w:ind w:left="160" w:right="100"/>
        <w:spacing w:after="0" w:line="233"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atacicept or any other product candidate will be limited and the potential for successfully growing our business will be harmed.</w:t>
      </w:r>
    </w:p>
    <w:p>
      <w:pPr>
        <w:spacing w:after="0" w:line="34" w:lineRule="exact"/>
        <w:rPr>
          <w:sz w:val="20"/>
          <w:szCs w:val="20"/>
          <w:color w:val="auto"/>
        </w:rPr>
      </w:pPr>
    </w:p>
    <w:p>
      <w:pPr>
        <w:ind w:left="160" w:right="20"/>
        <w:spacing w:after="0" w:line="246" w:lineRule="auto"/>
        <w:rPr>
          <w:sz w:val="20"/>
          <w:szCs w:val="20"/>
          <w:color w:val="auto"/>
        </w:rPr>
      </w:pPr>
      <w:r>
        <w:rPr>
          <w:rFonts w:ascii="Arial" w:cs="Arial" w:eastAsia="Arial" w:hAnsi="Arial"/>
          <w:sz w:val="17"/>
          <w:szCs w:val="17"/>
          <w:b w:val="1"/>
          <w:bCs w:val="1"/>
          <w:i w:val="1"/>
          <w:iCs w:val="1"/>
          <w:color w:val="auto"/>
        </w:rPr>
        <w:t>If we are unable to establish sales or marketing capabilities or enter into agreements with third parties to sell or market atacicept or any product candidate we may develop in the future, we may not be able to successfully sell or market atacicept or any future product candidate we may develop in the future that obtained regulatory approval.</w:t>
      </w:r>
    </w:p>
    <w:p>
      <w:pPr>
        <w:spacing w:after="0" w:line="21"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atacicept or any future product candidate we may develop. We may not be successful in accomplishing these required tasks.</w:t>
      </w:r>
    </w:p>
    <w:p>
      <w:pPr>
        <w:spacing w:after="0" w:line="147"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Establishing an internal sales or marketing team with technical expertise and supporting distribution capabilities to commercialize atacicept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atacicept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atacicept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36" w:lineRule="exact"/>
        <w:rPr>
          <w:sz w:val="20"/>
          <w:szCs w:val="20"/>
          <w:color w:val="auto"/>
        </w:rPr>
      </w:pPr>
    </w:p>
    <w:p>
      <w:pPr>
        <w:ind w:left="160" w:right="800"/>
        <w:spacing w:after="0" w:line="263" w:lineRule="auto"/>
        <w:rPr>
          <w:sz w:val="20"/>
          <w:szCs w:val="20"/>
          <w:color w:val="auto"/>
        </w:rPr>
      </w:pPr>
      <w:r>
        <w:rPr>
          <w:rFonts w:ascii="Arial" w:cs="Arial" w:eastAsia="Arial" w:hAnsi="Arial"/>
          <w:sz w:val="17"/>
          <w:szCs w:val="17"/>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6" w:lineRule="exact"/>
        <w:rPr>
          <w:sz w:val="20"/>
          <w:szCs w:val="20"/>
          <w:color w:val="auto"/>
        </w:rPr>
      </w:pPr>
    </w:p>
    <w:p>
      <w:pPr>
        <w:ind w:left="160" w:right="120"/>
        <w:spacing w:after="0" w:line="236" w:lineRule="auto"/>
        <w:rPr>
          <w:sz w:val="20"/>
          <w:szCs w:val="20"/>
          <w:color w:val="auto"/>
        </w:rPr>
      </w:pPr>
      <w:r>
        <w:rPr>
          <w:rFonts w:ascii="Arial" w:cs="Arial" w:eastAsia="Arial" w:hAnsi="Arial"/>
          <w:sz w:val="17"/>
          <w:szCs w:val="17"/>
          <w:color w:val="auto"/>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080"/>
          </w:cols>
          <w:pgMar w:left="320" w:top="456"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commercialization rights, we will have to develop our own sales, marketing and supply organization or outsource these activities to a third party.</w:t>
      </w:r>
    </w:p>
    <w:p>
      <w:pPr>
        <w:spacing w:after="0" w:line="152" w:lineRule="exact"/>
        <w:rPr>
          <w:sz w:val="20"/>
          <w:szCs w:val="20"/>
          <w:color w:val="auto"/>
        </w:rPr>
      </w:pPr>
    </w:p>
    <w:p>
      <w:pPr>
        <w:ind w:left="160" w:right="140"/>
        <w:spacing w:after="0" w:line="232" w:lineRule="auto"/>
        <w:rPr>
          <w:sz w:val="20"/>
          <w:szCs w:val="20"/>
          <w:color w:val="auto"/>
        </w:rPr>
      </w:pPr>
      <w:r>
        <w:rPr>
          <w:rFonts w:ascii="Arial" w:cs="Arial" w:eastAsia="Arial" w:hAnsi="Arial"/>
          <w:sz w:val="17"/>
          <w:szCs w:val="17"/>
          <w:color w:val="auto"/>
        </w:rPr>
        <w:t>As an organization, we have never commercialized a product candidate. Factors that may affect our ability to commercialize atacicept or any future product candidate we may develop, on our own include recruiting and retaining adequate numbers of effective sales and marketing personnel, obtaining access to or persuading adequate numbers of physicians to prescribe atacicept or any future product candidates we may develop and other unforeseen costs associated with creating an independent sales and marketing organization. Developing a sales and marketing organization will be expensive and time-consuming and could delay the launch of atacicept or any future product candidate we may develop. We may not be able to build an effective sales and marketing organization. If we are unable to build our own distribution and marketing capabilities or to find suitable partners for the commercialization of atacicept or any future product candidate we may develop, we may not generate revenues from such product candidate or be able to achieve or sustain profitability.</w:t>
      </w:r>
    </w:p>
    <w:p>
      <w:pPr>
        <w:spacing w:after="0" w:line="46" w:lineRule="exact"/>
        <w:rPr>
          <w:sz w:val="20"/>
          <w:szCs w:val="20"/>
          <w:color w:val="auto"/>
        </w:rPr>
      </w:pPr>
    </w:p>
    <w:p>
      <w:pPr>
        <w:ind w:left="160" w:right="120"/>
        <w:spacing w:after="0" w:line="258" w:lineRule="auto"/>
        <w:rPr>
          <w:sz w:val="20"/>
          <w:szCs w:val="20"/>
          <w:color w:val="auto"/>
        </w:rPr>
      </w:pPr>
      <w:r>
        <w:rPr>
          <w:rFonts w:ascii="Arial" w:cs="Arial" w:eastAsia="Arial" w:hAnsi="Arial"/>
          <w:sz w:val="17"/>
          <w:szCs w:val="17"/>
          <w:b w:val="1"/>
          <w:bCs w:val="1"/>
          <w:i w:val="1"/>
          <w:iCs w:val="1"/>
          <w:color w:val="auto"/>
        </w:rPr>
        <w:t>In order to successfully implement our plans and strategies, we will need to grow the size of our organization, and we may experience difficulties in managing this growth.</w:t>
      </w:r>
    </w:p>
    <w:p>
      <w:pPr>
        <w:spacing w:after="0" w:line="1" w:lineRule="exact"/>
        <w:rPr>
          <w:sz w:val="20"/>
          <w:szCs w:val="20"/>
          <w:color w:val="auto"/>
        </w:rPr>
      </w:pPr>
    </w:p>
    <w:p>
      <w:pPr>
        <w:ind w:left="160" w:right="220"/>
        <w:spacing w:after="0" w:line="234" w:lineRule="auto"/>
        <w:rPr>
          <w:sz w:val="20"/>
          <w:szCs w:val="20"/>
          <w:color w:val="auto"/>
        </w:rPr>
      </w:pPr>
      <w:r>
        <w:rPr>
          <w:rFonts w:ascii="Arial" w:cs="Arial" w:eastAsia="Arial" w:hAnsi="Arial"/>
          <w:sz w:val="17"/>
          <w:szCs w:val="17"/>
          <w:color w:val="auto"/>
        </w:rPr>
        <w:t>As of April 30, 2021, we had 12 full-time employees, including eight employees engaged in research and development.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87" w:lineRule="exact"/>
        <w:rPr>
          <w:sz w:val="20"/>
          <w:szCs w:val="20"/>
          <w:color w:val="auto"/>
        </w:rPr>
      </w:pPr>
    </w:p>
    <w:p>
      <w:pPr>
        <w:ind w:left="1020" w:hanging="425"/>
        <w:spacing w:after="0"/>
        <w:tabs>
          <w:tab w:leader="none" w:pos="102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identifying, recruiting, integrating, maintaining and motivating additional employees;</w:t>
      </w:r>
    </w:p>
    <w:p>
      <w:pPr>
        <w:spacing w:after="0" w:line="31" w:lineRule="exact"/>
        <w:rPr>
          <w:rFonts w:ascii="MS PGothic" w:cs="MS PGothic" w:eastAsia="MS PGothic" w:hAnsi="MS PGothic"/>
          <w:sz w:val="12"/>
          <w:szCs w:val="12"/>
          <w:color w:val="auto"/>
        </w:rPr>
      </w:pPr>
    </w:p>
    <w:p>
      <w:pPr>
        <w:ind w:left="1020" w:right="240" w:hanging="425"/>
        <w:spacing w:after="0" w:line="236" w:lineRule="auto"/>
        <w:tabs>
          <w:tab w:leader="none" w:pos="102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managing our internal development efforts effectively, including the clinical, FDA and other comparable foreign regulatory agencies’ review process for atacicept and any other future product candidates we may develop, while complying with any contractual obligations to contractors and other third parties we may have; and</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8"/>
        </w:numPr>
        <w:rPr>
          <w:rFonts w:ascii="MS PGothic" w:cs="MS PGothic" w:eastAsia="MS PGothic" w:hAnsi="MS PGothic"/>
          <w:sz w:val="12"/>
          <w:szCs w:val="12"/>
          <w:color w:val="auto"/>
        </w:rPr>
      </w:pPr>
      <w:r>
        <w:rPr>
          <w:rFonts w:ascii="Arial" w:cs="Arial" w:eastAsia="Arial" w:hAnsi="Arial"/>
          <w:sz w:val="17"/>
          <w:szCs w:val="17"/>
          <w:color w:val="auto"/>
        </w:rPr>
        <w:t>improving our operational, financial and management controls, reporting systems and procedures.</w:t>
      </w:r>
    </w:p>
    <w:p>
      <w:pPr>
        <w:spacing w:after="0" w:line="152"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In addition, we expect to be conducting multiple clinical trials of atacicept for several different indications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atacicept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5" w:lineRule="exact"/>
        <w:rPr>
          <w:sz w:val="20"/>
          <w:szCs w:val="20"/>
          <w:color w:val="auto"/>
        </w:rPr>
      </w:pPr>
    </w:p>
    <w:p>
      <w:pPr>
        <w:ind w:left="160" w:right="60"/>
        <w:spacing w:after="0" w:line="232"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atacicept and any other future product candidates we may develop or otherwise advance our business. We cannot assure you that we will be able to manage our existing third party service providers or find other competent outside contractors and consultants on economically reasonable terms, or at all.</w:t>
      </w:r>
    </w:p>
    <w:p>
      <w:pPr>
        <w:spacing w:after="0" w:line="147"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If we are not able to effectively expand our organization by hiring new employees and/or engaging additional third party service providers, we may not be able to successfully implement the tasks necessary to further develop and commercialize atacicept and any other future product candidates we may develop and, accordingly, may not achieve our research, development and commercialization goals.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060"/>
          </w:cols>
          <w:pgMar w:left="320" w:top="456"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right="560"/>
        <w:spacing w:after="0" w:line="263"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6" w:lineRule="exact"/>
        <w:rPr>
          <w:sz w:val="20"/>
          <w:szCs w:val="20"/>
          <w:color w:val="auto"/>
        </w:rPr>
      </w:pPr>
    </w:p>
    <w:p>
      <w:pPr>
        <w:ind w:left="160" w:right="60"/>
        <w:spacing w:after="0" w:line="232" w:lineRule="auto"/>
        <w:rPr>
          <w:sz w:val="20"/>
          <w:szCs w:val="20"/>
          <w:color w:val="auto"/>
        </w:rPr>
      </w:pPr>
      <w:r>
        <w:rPr>
          <w:rFonts w:ascii="Arial" w:cs="Arial" w:eastAsia="Arial" w:hAnsi="Arial"/>
          <w:sz w:val="17"/>
          <w:szCs w:val="17"/>
          <w:color w:val="auto"/>
        </w:rPr>
        <w:t>Our headquarters is located in South San Francisco, California, which in the past has experienced severe earthquakes and fires. If these earthquakes, fires, other natural disasters, terrorism and similar unforeseen events beyond our control prevented us from using all or a significant portion of our research facility,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an adverse effect on our ability to conduct our clinical trials, our development plans and business.</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Comprehensive tax reform legislation could adversely affect our business and financial condition.</w:t>
      </w:r>
    </w:p>
    <w:p>
      <w:pPr>
        <w:spacing w:after="0" w:line="52"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Coronavirus Aid, Relief, and Economic Security Act (CARES Act) signed into law on March 27, 2020, modified certain provisions of the Tax Act. In addition, it is uncertain if and to what extent various states will conform to the Tax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could result in significant one-time charges, and could increase our future U.S. tax expense. Among the changes made by the Tax Act were a reduction of the business tax credit for certain clinical testing expenses incurred in the testing of certain drugs for rare diseases or conditions generally referred to as “orphan drugs”. We continue to examine the impact this tax reform legislation may have on our business. We urge investors to consult with their legal and tax advisers regarding the implications of the Tax Act and potential changes in U.S. tax laws on an investment in our Class A common stock.</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52"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We have incurred losses during our history, we expect to continue to incur significant losses for the foreseeable future, and we may never achieve profitability As of December 31, 2020, we had federal and state net operating loss carryforwards of $10.2 million and $3.5 million, respectively, that will begin expiring in the year 2037 and 2036, respectively, if not utilized. We also have $33.8 million of federal net operating loss carryforwards as of December 31, 2020, that do not expire as a result of recent tax law changes. Our net operating loss (NOL) carryforwards are subject to review and possible adjustment by the U.S. and state tax authorities. Our NOL carryforwards could expire unused and be unavailable to offset future income tax liabilities because of their limited duration or because of restrictions under U.S. tax law. NOLs generated in tax years ending on or prior to December 31, 2017 are only permitted to be carried forward for 20 taxable years under applicable U.S. federal tax law. Under the Tax Act, as modified by the CARES Act, NOLs arising in tax years beginning after December 31, 2017, and before January 1, 2021 may be carried back to each of the five tax years preceding the tax year of such loss, and NOLs arising in tax years beginning after December 31, 2020 may not be carried back. Moreover, under the Tax Act as modified by the CARES Act, federal NOLs generated in tax years ending after December 31, 2017 may be carried forward indefinitely, but the deductibility of such federal NOLs may be limited to 80% of current year taxable income for tax years beginning after December 31, 2020. In addition, at the state level, there may be periods during which the use of NOLs is suspended or otherwise limited, which could accelerate or permanently increase state taxes owed. For example, California recently imposed limits on the usability of California state NOL carryforwards to offset taxable income in taxable years beginning after 2019 and before 2023. It is generally uncertain if and to what extent various states will conform to the Tax Act or the CARES Act.</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auto"/>
        </w:rPr>
        <w:t>In addition, under Sections 382 and 383 of the Internal Revenue Code of 1986, as amended,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ownership changes in the future as a result of this offering or subsequent shifts in our stock ownership, some of which are outside our control. We have not conducted any studies to determine annual limitations, if any, that could result from such changes in the ownership. Our ability to utilize those NOLs could be limited by an “ownership change” as described above and consequently, we may not be able to utilize a material portion of our NOLs and certain other tax attributes, which could have an adverse effect on our cash flows and results of operations.</w:t>
      </w:r>
    </w:p>
    <w:p>
      <w:pPr>
        <w:spacing w:after="0" w:line="43" w:lineRule="exact"/>
        <w:rPr>
          <w:sz w:val="20"/>
          <w:szCs w:val="20"/>
          <w:color w:val="auto"/>
        </w:rPr>
      </w:pPr>
    </w:p>
    <w:p>
      <w:pPr>
        <w:ind w:left="160" w:right="940"/>
        <w:spacing w:after="0" w:line="258" w:lineRule="auto"/>
        <w:rPr>
          <w:sz w:val="20"/>
          <w:szCs w:val="20"/>
          <w:color w:val="auto"/>
        </w:rPr>
      </w:pPr>
      <w:r>
        <w:rPr>
          <w:rFonts w:ascii="Arial" w:cs="Arial" w:eastAsia="Arial" w:hAnsi="Arial"/>
          <w:sz w:val="17"/>
          <w:szCs w:val="17"/>
          <w:b w:val="1"/>
          <w:bCs w:val="1"/>
          <w:i w:val="1"/>
          <w:iCs w:val="1"/>
          <w:color w:val="auto"/>
        </w:rPr>
        <w:t>A variety of risks associated with marketing atacicept or any future product candidate we may develop internationally could significantly harm our business, financial condition, results of operations and prospects.</w:t>
      </w:r>
    </w:p>
    <w:p>
      <w:pPr>
        <w:spacing w:after="0" w:line="1" w:lineRule="exact"/>
        <w:rPr>
          <w:sz w:val="20"/>
          <w:szCs w:val="20"/>
          <w:color w:val="auto"/>
        </w:rPr>
      </w:pPr>
    </w:p>
    <w:p>
      <w:pPr>
        <w:ind w:left="160" w:right="80"/>
        <w:spacing w:after="0" w:line="269" w:lineRule="auto"/>
        <w:rPr>
          <w:sz w:val="20"/>
          <w:szCs w:val="20"/>
          <w:color w:val="auto"/>
        </w:rPr>
      </w:pPr>
      <w:r>
        <w:rPr>
          <w:rFonts w:ascii="Arial" w:cs="Arial" w:eastAsia="Arial" w:hAnsi="Arial"/>
          <w:sz w:val="16"/>
          <w:szCs w:val="16"/>
          <w:color w:val="auto"/>
        </w:rPr>
        <w:t>We plan to seek regulatory approval of atacicept or any future product candidates we may develop outside of the United States and, accordingly, we expect that we will be subject to additional risks related to operating in foreign countries if we obtain the necessary approvals, including:</w:t>
      </w:r>
    </w:p>
    <w:p>
      <w:pPr>
        <w:spacing w:after="0" w:line="163" w:lineRule="exact"/>
        <w:rPr>
          <w:sz w:val="20"/>
          <w:szCs w:val="20"/>
          <w:color w:val="auto"/>
        </w:rPr>
      </w:pPr>
    </w:p>
    <w:p>
      <w:pPr>
        <w:ind w:left="1020" w:hanging="425"/>
        <w:spacing w:after="0"/>
        <w:tabs>
          <w:tab w:leader="none" w:pos="102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differing regulatory requirements and reimbursement regimes in foreign countries;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unexpected changes in tariffs, trade barriers, price and exchange controls and other regulatory requirements;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compliance with tax, employment, immigration and labor laws for employees living or traveling abroad;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foreign taxes, including withholding of payroll taxes;</w:t>
      </w:r>
    </w:p>
    <w:p>
      <w:pPr>
        <w:spacing w:after="0" w:line="31" w:lineRule="exact"/>
        <w:rPr>
          <w:rFonts w:ascii="MS PGothic" w:cs="MS PGothic" w:eastAsia="MS PGothic" w:hAnsi="MS PGothic"/>
          <w:sz w:val="12"/>
          <w:szCs w:val="12"/>
          <w:color w:val="auto"/>
        </w:rPr>
      </w:pPr>
    </w:p>
    <w:p>
      <w:pPr>
        <w:ind w:left="1020" w:right="60" w:hanging="425"/>
        <w:spacing w:after="0" w:line="239" w:lineRule="auto"/>
        <w:tabs>
          <w:tab w:leader="none" w:pos="102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foreign currency fluctuations, which could result in increased operating expenses and reduced revenue, and other obligations incident to doing business in another country;</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difficulties staffing and managing foreign operations;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workforce uncertainty in countries where labor unrest is more common than in the United States;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potential liability under the FCPA or comparable foreign regulations;</w:t>
      </w:r>
    </w:p>
    <w:p>
      <w:pPr>
        <w:spacing w:after="0" w:line="31" w:lineRule="exact"/>
        <w:rPr>
          <w:rFonts w:ascii="MS PGothic" w:cs="MS PGothic" w:eastAsia="MS PGothic" w:hAnsi="MS PGothic"/>
          <w:sz w:val="12"/>
          <w:szCs w:val="12"/>
          <w:color w:val="auto"/>
        </w:rPr>
      </w:pPr>
    </w:p>
    <w:p>
      <w:pPr>
        <w:ind w:left="1020" w:right="460" w:hanging="425"/>
        <w:spacing w:after="0" w:line="239" w:lineRule="auto"/>
        <w:tabs>
          <w:tab w:leader="none" w:pos="102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29"/>
        </w:numPr>
        <w:rPr>
          <w:rFonts w:ascii="MS PGothic" w:cs="MS PGothic" w:eastAsia="MS PGothic" w:hAnsi="MS PGothic"/>
          <w:sz w:val="12"/>
          <w:szCs w:val="12"/>
          <w:color w:val="auto"/>
        </w:rPr>
      </w:pPr>
      <w:r>
        <w:rPr>
          <w:rFonts w:ascii="Arial" w:cs="Arial" w:eastAsia="Arial" w:hAnsi="Arial"/>
          <w:sz w:val="17"/>
          <w:szCs w:val="17"/>
          <w:color w:val="auto"/>
        </w:rPr>
        <w:t>business interruptions resulting from geo-political actions, including war and terrorism.</w:t>
      </w:r>
    </w:p>
    <w:p>
      <w:pPr>
        <w:spacing w:after="0" w:line="152" w:lineRule="exact"/>
        <w:rPr>
          <w:sz w:val="20"/>
          <w:szCs w:val="20"/>
          <w:color w:val="auto"/>
        </w:rPr>
      </w:pPr>
    </w:p>
    <w:p>
      <w:pPr>
        <w:ind w:left="160" w:right="180"/>
        <w:spacing w:after="0" w:line="239" w:lineRule="auto"/>
        <w:rPr>
          <w:sz w:val="20"/>
          <w:szCs w:val="20"/>
          <w:color w:val="auto"/>
        </w:rPr>
      </w:pPr>
      <w:r>
        <w:rPr>
          <w:rFonts w:ascii="Arial" w:cs="Arial" w:eastAsia="Arial" w:hAnsi="Arial"/>
          <w:sz w:val="17"/>
          <w:szCs w:val="17"/>
          <w:color w:val="auto"/>
        </w:rPr>
        <w:t>These and other risks associated with our international operations may significantly harm our business, financial condition, results of operations and prospects.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success depends on our ability to protect our intellectual property and our proprietary technologies.</w:t>
      </w:r>
    </w:p>
    <w:p>
      <w:pPr>
        <w:spacing w:after="0" w:line="39"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Our commercial success depends in part on our and our current or future licensors’, licensees’ or collaborators’ ability to obtain and maintain proprietary or intellectual property protection in the United States and other countries for atacicept, any future product candidates that we may develop and technologies related to their various uses. We generally seek to protect our proprietary position by, among other things, filing patent applications in the United States and abroad related to our proprietary technologies, and their manufacture and uses that are important to our business, as well as inventions and improvements that are important to the development and implementation of our business. Our owned and in-licensed patents and patent applications in both United States and certain foreign jurisdictions relate to atacicept and other products. There can be no assurance that the claims of our owned or in-licensed patents, or any patent application that issues as a patent, will exclude others from making, using or selling our product candidate or any future product candidates or products that are substantially similar to our product candidate or any future product candidates. We also rely on trade secrets, know-how and continuing technological innovation to develop and maintain our proprietary and intellectual property position. We may seek to</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060"/>
          </w:cols>
          <w:pgMar w:left="320" w:top="456"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260"/>
        <w:spacing w:after="0" w:line="234" w:lineRule="auto"/>
        <w:rPr>
          <w:sz w:val="20"/>
          <w:szCs w:val="20"/>
          <w:color w:val="auto"/>
        </w:rPr>
      </w:pPr>
      <w:r>
        <w:rPr>
          <w:rFonts w:ascii="Arial" w:cs="Arial" w:eastAsia="Arial" w:hAnsi="Arial"/>
          <w:sz w:val="17"/>
          <w:szCs w:val="17"/>
          <w:color w:val="auto"/>
        </w:rPr>
        <w:t>protect our proprietary position by acquiring or in-licensing additional relevant issued patents or pending applications from third parties. If we or our potential licensors, licensees or collaborators are unable to obtain or maintain patent protection with respect to atacicept and our other products, proprietary technologies and their uses, our business, financial condition, results of operations and prospects could be significantly harmed.</w:t>
      </w:r>
    </w:p>
    <w:p>
      <w:pPr>
        <w:spacing w:after="0" w:line="147" w:lineRule="exact"/>
        <w:rPr>
          <w:sz w:val="20"/>
          <w:szCs w:val="20"/>
          <w:color w:val="auto"/>
        </w:rPr>
      </w:pPr>
    </w:p>
    <w:p>
      <w:pPr>
        <w:ind w:left="160" w:right="160"/>
        <w:spacing w:after="0" w:line="233"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owned or in-licensed patent applications or our current or future licensors’, licensees’ or collaborators’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48" w:lineRule="exact"/>
        <w:rPr>
          <w:sz w:val="20"/>
          <w:szCs w:val="20"/>
          <w:color w:val="auto"/>
        </w:rPr>
      </w:pPr>
    </w:p>
    <w:p>
      <w:pPr>
        <w:jc w:val="both"/>
        <w:ind w:left="160" w:right="60"/>
        <w:spacing w:after="0" w:line="233" w:lineRule="auto"/>
        <w:rPr>
          <w:sz w:val="20"/>
          <w:szCs w:val="20"/>
          <w:color w:val="auto"/>
        </w:rPr>
      </w:pPr>
      <w:r>
        <w:rPr>
          <w:rFonts w:ascii="Arial" w:cs="Arial" w:eastAsia="Arial" w:hAnsi="Arial"/>
          <w:sz w:val="17"/>
          <w:szCs w:val="17"/>
          <w:color w:val="auto"/>
        </w:rPr>
        <w:t>Moreover, in the future, some of our owned or in-licensed patents and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w:t>
      </w:r>
    </w:p>
    <w:p>
      <w:pPr>
        <w:spacing w:after="0" w:line="148"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atacicept or any future product candidates we may develop could significantly harm our business, financial condition, results of operations and prospects.</w:t>
      </w:r>
    </w:p>
    <w:p>
      <w:pPr>
        <w:spacing w:after="0" w:line="148" w:lineRule="exact"/>
        <w:rPr>
          <w:sz w:val="20"/>
          <w:szCs w:val="20"/>
          <w:color w:val="auto"/>
        </w:rPr>
      </w:pPr>
    </w:p>
    <w:p>
      <w:pPr>
        <w:ind w:left="160" w:right="240"/>
        <w:spacing w:after="0" w:line="236" w:lineRule="auto"/>
        <w:rPr>
          <w:sz w:val="20"/>
          <w:szCs w:val="20"/>
          <w:color w:val="auto"/>
        </w:rPr>
      </w:pPr>
      <w:r>
        <w:rPr>
          <w:rFonts w:ascii="Arial" w:cs="Arial" w:eastAsia="Arial" w:hAnsi="Arial"/>
          <w:sz w:val="17"/>
          <w:szCs w:val="17"/>
          <w:color w:val="auto"/>
        </w:rPr>
        <w:t>We cannot be certain that the claims in our U.S. pending patent applications and corresponding international applications will be considered patentable by the United States Patent and Trademark Office (USPTO) courts in the United States or by the patent offices and courts in foreign countries , nor can we be certain that the claims in our issued patent(s) will not be found invalid or unenforceable if challenged.</w:t>
      </w:r>
    </w:p>
    <w:p>
      <w:pPr>
        <w:spacing w:after="0" w:line="146" w:lineRule="exact"/>
        <w:rPr>
          <w:sz w:val="20"/>
          <w:szCs w:val="20"/>
          <w:color w:val="auto"/>
        </w:rPr>
      </w:pPr>
    </w:p>
    <w:p>
      <w:pPr>
        <w:ind w:left="160" w:right="440"/>
        <w:spacing w:after="0" w:line="236" w:lineRule="auto"/>
        <w:rPr>
          <w:sz w:val="20"/>
          <w:szCs w:val="20"/>
          <w:color w:val="auto"/>
        </w:rPr>
      </w:pPr>
      <w:r>
        <w:rPr>
          <w:rFonts w:ascii="Arial" w:cs="Arial" w:eastAsia="Arial" w:hAnsi="Arial"/>
          <w:sz w:val="17"/>
          <w:szCs w:val="17"/>
          <w:color w:val="auto"/>
        </w:rPr>
        <w:t>The patent application process is subject to numerous risks and uncertainties, and there can be no assurance that we or any of our potential future collaborators will be successful in protecting atacicept or any future product candidates we may develop by obtaining and defending patents. These risks and uncertainties include the following:</w:t>
      </w:r>
    </w:p>
    <w:p>
      <w:pPr>
        <w:spacing w:after="0" w:line="186" w:lineRule="exact"/>
        <w:rPr>
          <w:sz w:val="20"/>
          <w:szCs w:val="20"/>
          <w:color w:val="auto"/>
        </w:rPr>
      </w:pPr>
    </w:p>
    <w:p>
      <w:pPr>
        <w:ind w:left="1020" w:right="80" w:hanging="425"/>
        <w:spacing w:after="0" w:line="236" w:lineRule="auto"/>
        <w:tabs>
          <w:tab w:leader="none" w:pos="102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patent applications must be filed in advance of certain events (e.g., third party filings, certain sales or offers for sale, or other activities that might be legally deemed to be public disclosures) and we might not be aware of such events or otherwise might not succeed in filing applications before they occur;</w:t>
      </w:r>
    </w:p>
    <w:p>
      <w:pPr>
        <w:spacing w:after="0" w:line="25" w:lineRule="exact"/>
        <w:rPr>
          <w:rFonts w:ascii="MS PGothic" w:cs="MS PGothic" w:eastAsia="MS PGothic" w:hAnsi="MS PGothic"/>
          <w:sz w:val="12"/>
          <w:szCs w:val="12"/>
          <w:color w:val="auto"/>
        </w:rPr>
      </w:pPr>
    </w:p>
    <w:p>
      <w:pPr>
        <w:ind w:left="1020" w:right="380" w:hanging="425"/>
        <w:spacing w:after="0" w:line="236" w:lineRule="auto"/>
        <w:tabs>
          <w:tab w:leader="none" w:pos="102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patent applications may not result in any patents being issued;</w:t>
      </w:r>
    </w:p>
    <w:p>
      <w:pPr>
        <w:spacing w:after="0" w:line="31" w:lineRule="exact"/>
        <w:rPr>
          <w:rFonts w:ascii="MS PGothic" w:cs="MS PGothic" w:eastAsia="MS PGothic" w:hAnsi="MS PGothic"/>
          <w:sz w:val="12"/>
          <w:szCs w:val="12"/>
          <w:color w:val="auto"/>
        </w:rPr>
      </w:pPr>
    </w:p>
    <w:p>
      <w:pPr>
        <w:ind w:left="1020" w:right="320" w:hanging="425"/>
        <w:spacing w:after="0" w:line="239" w:lineRule="auto"/>
        <w:tabs>
          <w:tab w:leader="none" w:pos="102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patents may be challenged, invalidated, modified, revoked, circumvented, found to be unenforceable or otherwise may not provide any competitive advantage;</w:t>
      </w:r>
    </w:p>
    <w:p>
      <w:pPr>
        <w:spacing w:after="0" w:line="25" w:lineRule="exact"/>
        <w:rPr>
          <w:rFonts w:ascii="MS PGothic" w:cs="MS PGothic" w:eastAsia="MS PGothic" w:hAnsi="MS PGothic"/>
          <w:sz w:val="12"/>
          <w:szCs w:val="12"/>
          <w:color w:val="auto"/>
        </w:rPr>
      </w:pPr>
    </w:p>
    <w:p>
      <w:pPr>
        <w:ind w:left="1020" w:right="780" w:hanging="425"/>
        <w:spacing w:after="0" w:line="239" w:lineRule="auto"/>
        <w:tabs>
          <w:tab w:leader="none" w:pos="102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there may be significant pressure on the U.S. government and international governmental bodies to limit the scope of patent protection both inside and outside the United States; and</w:t>
      </w:r>
    </w:p>
    <w:p>
      <w:pPr>
        <w:spacing w:after="0" w:line="25" w:lineRule="exact"/>
        <w:rPr>
          <w:rFonts w:ascii="MS PGothic" w:cs="MS PGothic" w:eastAsia="MS PGothic" w:hAnsi="MS PGothic"/>
          <w:sz w:val="12"/>
          <w:szCs w:val="12"/>
          <w:color w:val="auto"/>
        </w:rPr>
      </w:pPr>
    </w:p>
    <w:p>
      <w:pPr>
        <w:ind w:left="1020" w:right="260" w:hanging="425"/>
        <w:spacing w:after="0" w:line="239" w:lineRule="auto"/>
        <w:tabs>
          <w:tab w:leader="none" w:pos="1020" w:val="left"/>
        </w:tabs>
        <w:numPr>
          <w:ilvl w:val="0"/>
          <w:numId w:val="30"/>
        </w:numPr>
        <w:rPr>
          <w:rFonts w:ascii="MS PGothic" w:cs="MS PGothic" w:eastAsia="MS PGothic" w:hAnsi="MS PGothic"/>
          <w:sz w:val="12"/>
          <w:szCs w:val="12"/>
          <w:color w:val="auto"/>
        </w:rPr>
      </w:pPr>
      <w:r>
        <w:rPr>
          <w:rFonts w:ascii="Arial" w:cs="Arial" w:eastAsia="Arial" w:hAnsi="Arial"/>
          <w:sz w:val="17"/>
          <w:szCs w:val="17"/>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46" w:lineRule="exact"/>
        <w:rPr>
          <w:sz w:val="20"/>
          <w:szCs w:val="20"/>
          <w:color w:val="auto"/>
        </w:rPr>
      </w:pPr>
    </w:p>
    <w:p>
      <w:pPr>
        <w:ind w:left="160" w:right="140"/>
        <w:spacing w:after="0" w:line="236" w:lineRule="auto"/>
        <w:rPr>
          <w:sz w:val="20"/>
          <w:szCs w:val="20"/>
          <w:color w:val="auto"/>
        </w:rPr>
      </w:pPr>
      <w:r>
        <w:rPr>
          <w:rFonts w:ascii="Arial" w:cs="Arial" w:eastAsia="Arial" w:hAnsi="Arial"/>
          <w:sz w:val="17"/>
          <w:szCs w:val="17"/>
          <w:color w:val="auto"/>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540"/>
        <w:spacing w:after="0" w:line="239" w:lineRule="auto"/>
        <w:rPr>
          <w:sz w:val="20"/>
          <w:szCs w:val="20"/>
          <w:color w:val="auto"/>
        </w:rPr>
      </w:pPr>
      <w:r>
        <w:rPr>
          <w:rFonts w:ascii="Arial" w:cs="Arial" w:eastAsia="Arial" w:hAnsi="Arial"/>
          <w:sz w:val="17"/>
          <w:szCs w:val="17"/>
          <w:color w:val="auto"/>
        </w:rPr>
        <w:t>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spacing w:after="0" w:line="146"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or in-licensed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150" w:lineRule="exact"/>
        <w:rPr>
          <w:sz w:val="20"/>
          <w:szCs w:val="20"/>
          <w:color w:val="auto"/>
        </w:rPr>
      </w:pPr>
    </w:p>
    <w:p>
      <w:pPr>
        <w:ind w:left="160" w:right="120"/>
        <w:spacing w:after="0" w:line="234"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spacing w:after="0" w:line="47" w:lineRule="exact"/>
        <w:rPr>
          <w:sz w:val="20"/>
          <w:szCs w:val="20"/>
          <w:color w:val="auto"/>
        </w:rPr>
      </w:pPr>
    </w:p>
    <w:p>
      <w:pPr>
        <w:ind w:left="160" w:right="200"/>
        <w:spacing w:after="0" w:line="258" w:lineRule="auto"/>
        <w:rPr>
          <w:sz w:val="20"/>
          <w:szCs w:val="20"/>
          <w:color w:val="auto"/>
        </w:rPr>
      </w:pPr>
      <w:r>
        <w:rPr>
          <w:rFonts w:ascii="Arial" w:cs="Arial" w:eastAsia="Arial" w:hAnsi="Arial"/>
          <w:sz w:val="17"/>
          <w:szCs w:val="17"/>
          <w:b w:val="1"/>
          <w:bCs w:val="1"/>
          <w:i w:val="1"/>
          <w:iCs w:val="1"/>
          <w:color w:val="auto"/>
        </w:rPr>
        <w:t>If we breach our license agreement with Ares, an affiliate of Merck KGaA, Darmstadt, Germany, related to atacicept, we could lose the ability to continue the development and commercialization of atacicept.</w:t>
      </w:r>
    </w:p>
    <w:p>
      <w:pPr>
        <w:spacing w:after="0" w:line="1" w:lineRule="exact"/>
        <w:rPr>
          <w:sz w:val="20"/>
          <w:szCs w:val="20"/>
          <w:color w:val="auto"/>
        </w:rPr>
      </w:pPr>
    </w:p>
    <w:p>
      <w:pPr>
        <w:ind w:left="160" w:right="80"/>
        <w:spacing w:after="0" w:line="232" w:lineRule="auto"/>
        <w:rPr>
          <w:sz w:val="20"/>
          <w:szCs w:val="20"/>
          <w:color w:val="auto"/>
        </w:rPr>
      </w:pPr>
      <w:r>
        <w:rPr>
          <w:rFonts w:ascii="Arial" w:cs="Arial" w:eastAsia="Arial" w:hAnsi="Arial"/>
          <w:sz w:val="17"/>
          <w:szCs w:val="17"/>
          <w:color w:val="auto"/>
        </w:rPr>
        <w:t>We are dependent on patents, know-how and proprietary technology licensed or sublicensed to us from Ares. Our commercial success depends upon our ability to develop, manufacture, market and sell our product candidate or any future product candidates and use our and our licensor’s proprietary technologies without infringing the proprietary rights of third parties. Ares may have the right to terminate the license agreement in full in the event we materially breach or default in the performance of any of the obligations under the license agreement. A termination of the license agreement with Ares could result in the loss of significant rights and could harm our ability to commercialize our product candidates. Additionally, certain patents, know-how and proprietary technology of third parties, including certain composition of matter patents, are sublicensed to us from Ares and in the event the agreement between Ares and any such third party terminates, expires or is in dispute, it could result in the loss of significant rights and could harm our ability to commercialize our product candidates.</w:t>
      </w:r>
    </w:p>
    <w:p>
      <w:pPr>
        <w:spacing w:after="0" w:line="147" w:lineRule="exact"/>
        <w:rPr>
          <w:sz w:val="20"/>
          <w:szCs w:val="20"/>
          <w:color w:val="auto"/>
        </w:rPr>
      </w:pPr>
    </w:p>
    <w:p>
      <w:pPr>
        <w:ind w:left="160" w:right="680"/>
        <w:spacing w:after="0" w:line="239" w:lineRule="auto"/>
        <w:rPr>
          <w:sz w:val="20"/>
          <w:szCs w:val="20"/>
          <w:color w:val="auto"/>
        </w:rPr>
      </w:pPr>
      <w:r>
        <w:rPr>
          <w:rFonts w:ascii="Arial" w:cs="Arial" w:eastAsia="Arial" w:hAnsi="Arial"/>
          <w:sz w:val="17"/>
          <w:szCs w:val="17"/>
          <w:color w:val="auto"/>
        </w:rPr>
        <w:t>Disputes may also arise between us and Ares, an affiliate of Merck KGaA, Darmstadt, Germany, as well as any future potential licensors, regarding intellectual property subject to a license agreement, including:</w:t>
      </w:r>
    </w:p>
    <w:p>
      <w:pPr>
        <w:spacing w:after="0" w:line="186" w:lineRule="exact"/>
        <w:rPr>
          <w:sz w:val="20"/>
          <w:szCs w:val="20"/>
          <w:color w:val="auto"/>
        </w:rPr>
      </w:pPr>
    </w:p>
    <w:p>
      <w:pPr>
        <w:ind w:left="1020" w:hanging="425"/>
        <w:spacing w:after="0"/>
        <w:tabs>
          <w:tab w:leader="none" w:pos="102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the scope of rights granted under the license agreement and other interpretation-related issues;</w:t>
      </w:r>
    </w:p>
    <w:p>
      <w:pPr>
        <w:spacing w:after="0" w:line="31" w:lineRule="exact"/>
        <w:rPr>
          <w:rFonts w:ascii="MS PGothic" w:cs="MS PGothic" w:eastAsia="MS PGothic" w:hAnsi="MS PGothic"/>
          <w:sz w:val="12"/>
          <w:szCs w:val="12"/>
          <w:color w:val="auto"/>
        </w:rPr>
      </w:pPr>
    </w:p>
    <w:p>
      <w:pPr>
        <w:ind w:left="1020" w:right="80" w:hanging="425"/>
        <w:spacing w:after="0" w:line="239" w:lineRule="auto"/>
        <w:tabs>
          <w:tab w:leader="none" w:pos="102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whether and the extent to which our technology and processes infringe on intellectual property of the licensor that is not subject to the licensing agreement;</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our right to sublicense patent and other rights to third parties under collaborative development relationships;</w:t>
      </w:r>
    </w:p>
    <w:p>
      <w:pPr>
        <w:spacing w:after="0" w:line="31" w:lineRule="exact"/>
        <w:rPr>
          <w:rFonts w:ascii="MS PGothic" w:cs="MS PGothic" w:eastAsia="MS PGothic" w:hAnsi="MS PGothic"/>
          <w:sz w:val="12"/>
          <w:szCs w:val="12"/>
          <w:color w:val="auto"/>
        </w:rPr>
      </w:pPr>
    </w:p>
    <w:p>
      <w:pPr>
        <w:ind w:left="1020" w:hanging="425"/>
        <w:spacing w:after="0" w:line="239" w:lineRule="auto"/>
        <w:tabs>
          <w:tab w:leader="none" w:pos="102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our diligence obligations with respect to the use of the licensed technology in relation to our development and commercialization of our product candidate and what activities satisfy those diligence obligations; and</w:t>
      </w:r>
    </w:p>
    <w:p>
      <w:pPr>
        <w:spacing w:after="0" w:line="25" w:lineRule="exact"/>
        <w:rPr>
          <w:rFonts w:ascii="MS PGothic" w:cs="MS PGothic" w:eastAsia="MS PGothic" w:hAnsi="MS PGothic"/>
          <w:sz w:val="12"/>
          <w:szCs w:val="12"/>
          <w:color w:val="auto"/>
        </w:rPr>
      </w:pPr>
    </w:p>
    <w:p>
      <w:pPr>
        <w:ind w:left="1020" w:right="160" w:hanging="425"/>
        <w:spacing w:after="0" w:line="239" w:lineRule="auto"/>
        <w:tabs>
          <w:tab w:leader="none" w:pos="1020" w:val="left"/>
        </w:tabs>
        <w:numPr>
          <w:ilvl w:val="0"/>
          <w:numId w:val="31"/>
        </w:numPr>
        <w:rPr>
          <w:rFonts w:ascii="MS PGothic" w:cs="MS PGothic" w:eastAsia="MS PGothic" w:hAnsi="MS PGothic"/>
          <w:sz w:val="12"/>
          <w:szCs w:val="12"/>
          <w:color w:val="auto"/>
        </w:rPr>
      </w:pPr>
      <w:r>
        <w:rPr>
          <w:rFonts w:ascii="Arial" w:cs="Arial" w:eastAsia="Arial" w:hAnsi="Arial"/>
          <w:sz w:val="17"/>
          <w:szCs w:val="17"/>
          <w:color w:val="auto"/>
        </w:rPr>
        <w:t>the ownership of inventions and know-how resulting from the joint creation or use of intellectual property by our licensors and us and our partners.</w:t>
      </w:r>
    </w:p>
    <w:p>
      <w:pPr>
        <w:spacing w:after="0" w:line="146" w:lineRule="exact"/>
        <w:rPr>
          <w:sz w:val="20"/>
          <w:szCs w:val="20"/>
          <w:color w:val="auto"/>
        </w:rPr>
      </w:pPr>
    </w:p>
    <w:p>
      <w:pPr>
        <w:ind w:left="160" w:right="720"/>
        <w:spacing w:after="0" w:line="239" w:lineRule="auto"/>
        <w:rPr>
          <w:sz w:val="20"/>
          <w:szCs w:val="20"/>
          <w:color w:val="auto"/>
        </w:rPr>
      </w:pPr>
      <w:r>
        <w:rPr>
          <w:rFonts w:ascii="Arial" w:cs="Arial" w:eastAsia="Arial" w:hAnsi="Arial"/>
          <w:sz w:val="17"/>
          <w:szCs w:val="17"/>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080"/>
          </w:cols>
          <w:pgMar w:left="320" w:top="456"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80"/>
        <w:spacing w:after="0" w:line="232" w:lineRule="auto"/>
        <w:rPr>
          <w:sz w:val="20"/>
          <w:szCs w:val="20"/>
          <w:color w:val="auto"/>
        </w:rPr>
      </w:pPr>
      <w:r>
        <w:rPr>
          <w:rFonts w:ascii="Arial" w:cs="Arial" w:eastAsia="Arial" w:hAnsi="Arial"/>
          <w:sz w:val="17"/>
          <w:szCs w:val="17"/>
          <w:color w:val="auto"/>
        </w:rPr>
        <w:t>In addition, we acquired worldwide, exclusive rights to atacicept pursuant to our license agreement (Ares Agreement) with Ares, under which we currently license intellectual property. The Ares Agreement is complex, and certain provisions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the Ares Agreement, either of which could have an adverse effect on our business, financial condition, results of operations, and prospects. Moreover, if disputes over intellectual property that we have licensed prevent or impair our ability to maintain our current licensing arrangement on commercially acceptable terms, we may be unable to successfully develop and commercialize the affected product candidates, which could have an adverse effect on our business, financial conditions, results of operations, and prospects.</w:t>
      </w:r>
    </w:p>
    <w:p>
      <w:pPr>
        <w:spacing w:after="0" w:line="147" w:lineRule="exact"/>
        <w:rPr>
          <w:sz w:val="20"/>
          <w:szCs w:val="20"/>
          <w:color w:val="auto"/>
        </w:rPr>
      </w:pPr>
    </w:p>
    <w:p>
      <w:pPr>
        <w:ind w:left="160" w:right="240"/>
        <w:spacing w:after="0" w:line="236" w:lineRule="auto"/>
        <w:rPr>
          <w:sz w:val="20"/>
          <w:szCs w:val="20"/>
          <w:color w:val="auto"/>
        </w:rPr>
      </w:pPr>
      <w:r>
        <w:rPr>
          <w:rFonts w:ascii="Arial" w:cs="Arial" w:eastAsia="Arial" w:hAnsi="Arial"/>
          <w:sz w:val="17"/>
          <w:szCs w:val="17"/>
          <w:color w:val="auto"/>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may be required to make significant payments under our license agreement for atacicept.</w:t>
      </w:r>
    </w:p>
    <w:p>
      <w:pPr>
        <w:spacing w:after="0" w:line="39"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Under the Ares Agreement, in consideration for the license, we issued 22,171,553 shares of our Series C redeemable convertible preferred stock to Ares at the time of the initial closing of our Series C redeemable convertible preferred stock financing in October 2020. As additional consideration for the license, we paid Ares $25.0 million upon delivery and initiation of the transfer of specified information and materials and we are required to pay Ares aggregate milestone payments of up to $176.5 million upon the achievement of specified BLA filing or regulatory approval and aggregate milestone payments of up to $515 million upon the achievement of specified commercial milestones. Commencing on the first commercial sale of licensed products, we are obligated to pay tiered royalties of low double-digit to mid-teen percentages on annual net sales of the products covered by the license. In the event we sublicense our rights under the Ares Agreement, we are obligated to pay Ares a percentage ranging from the mid-single-digit to the low double-digits of specified sublicensing income received. If milestone or other non-royalty obligations become due, we may not have sufficient funds available to meet our obligations, which will adversely affect our business operations and financial condition.</w:t>
      </w:r>
    </w:p>
    <w:p>
      <w:pPr>
        <w:spacing w:after="0" w:line="51" w:lineRule="exact"/>
        <w:rPr>
          <w:sz w:val="20"/>
          <w:szCs w:val="20"/>
          <w:color w:val="auto"/>
        </w:rPr>
      </w:pPr>
    </w:p>
    <w:p>
      <w:pPr>
        <w:ind w:left="160" w:right="80"/>
        <w:spacing w:after="0" w:line="25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The patent positions of biotechnology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atacicept or which effectively prevent others from commercializing competitive technologies and product candidates. In addition, the laws of foreign countries may not protect our rights to the same extent as the laws of the United States. For example, many countries restrict the patentability of methods of treatment of the human body.</w:t>
      </w:r>
    </w:p>
    <w:p>
      <w:pPr>
        <w:spacing w:after="0" w:line="145"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atacicept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spacing w:after="0" w:line="145" w:lineRule="exact"/>
        <w:rPr>
          <w:sz w:val="20"/>
          <w:szCs w:val="20"/>
          <w:color w:val="auto"/>
        </w:rPr>
      </w:pPr>
    </w:p>
    <w:p>
      <w:pPr>
        <w:ind w:left="160" w:right="80"/>
        <w:spacing w:after="0" w:line="239"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080"/>
          </w:cols>
          <w:pgMar w:left="320" w:top="456"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spacing w:after="0" w:line="148" w:lineRule="exact"/>
        <w:rPr>
          <w:sz w:val="20"/>
          <w:szCs w:val="20"/>
          <w:color w:val="auto"/>
        </w:rPr>
      </w:pPr>
    </w:p>
    <w:p>
      <w:pPr>
        <w:ind w:left="160" w:right="380"/>
        <w:spacing w:after="0" w:line="234" w:lineRule="auto"/>
        <w:rPr>
          <w:sz w:val="20"/>
          <w:szCs w:val="20"/>
          <w:color w:val="auto"/>
        </w:rPr>
      </w:pPr>
      <w:r>
        <w:rPr>
          <w:rFonts w:ascii="Arial" w:cs="Arial" w:eastAsia="Arial" w:hAnsi="Arial"/>
          <w:sz w:val="17"/>
          <w:szCs w:val="17"/>
          <w:color w:val="auto"/>
        </w:rPr>
        <w:t>We may not be aware of certain relevant prior art, may fail to identify or timely cite certain prior art, or may not be able to convince a patent examiner that our patent(s) should issue in light of the art. Also, we cannot be certain that all relevant art will be or was identified during examination of a patent application so that, even if a patent issues, it may be susceptible to challenge that it is not valid over art that was not considered during its examination.</w:t>
      </w:r>
    </w:p>
    <w:p>
      <w:pPr>
        <w:spacing w:after="0" w:line="147" w:lineRule="exact"/>
        <w:rPr>
          <w:sz w:val="20"/>
          <w:szCs w:val="20"/>
          <w:color w:val="auto"/>
        </w:rPr>
      </w:pPr>
    </w:p>
    <w:p>
      <w:pPr>
        <w:ind w:left="160" w:right="20"/>
        <w:spacing w:after="0" w:line="230" w:lineRule="auto"/>
        <w:rPr>
          <w:sz w:val="20"/>
          <w:szCs w:val="20"/>
          <w:color w:val="auto"/>
        </w:rPr>
      </w:pPr>
      <w:r>
        <w:rPr>
          <w:rFonts w:ascii="Arial" w:cs="Arial" w:eastAsia="Arial" w:hAnsi="Arial"/>
          <w:sz w:val="17"/>
          <w:szCs w:val="17"/>
          <w:color w:val="auto"/>
        </w:rPr>
        <w:t xml:space="preserve">We may be subject to a third-party pre-issuance submission of prior art to the USPTO or other jurisdictions, or become involved in post-grant challenges such as opposition, derivation, revocation, reexamination, post-grant review (PGR)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atacicept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atacicept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patents or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 consuming disputes. Should any of these events occur, it could significantly harm our business, financial condition, results of operations and prospects.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 to our competitive advantage.</w:t>
      </w:r>
    </w:p>
    <w:p>
      <w:pPr>
        <w:spacing w:after="0" w:line="39" w:lineRule="exact"/>
        <w:rPr>
          <w:sz w:val="20"/>
          <w:szCs w:val="20"/>
          <w:color w:val="auto"/>
        </w:rPr>
      </w:pPr>
    </w:p>
    <w:p>
      <w:pPr>
        <w:ind w:left="160" w:right="200"/>
        <w:spacing w:after="0" w:line="239"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86" w:lineRule="exact"/>
        <w:rPr>
          <w:sz w:val="20"/>
          <w:szCs w:val="20"/>
          <w:color w:val="auto"/>
        </w:rPr>
      </w:pPr>
    </w:p>
    <w:p>
      <w:pPr>
        <w:ind w:left="1020" w:hanging="425"/>
        <w:spacing w:after="0"/>
        <w:tabs>
          <w:tab w:leader="none" w:pos="1020"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we may not be able to detect infringement of our issued patents;</w:t>
      </w:r>
    </w:p>
    <w:p>
      <w:pPr>
        <w:spacing w:after="0" w:line="31" w:lineRule="exact"/>
        <w:rPr>
          <w:rFonts w:ascii="MS PGothic" w:cs="MS PGothic" w:eastAsia="MS PGothic" w:hAnsi="MS PGothic"/>
          <w:sz w:val="12"/>
          <w:szCs w:val="12"/>
          <w:color w:val="auto"/>
        </w:rPr>
      </w:pPr>
    </w:p>
    <w:p>
      <w:pPr>
        <w:ind w:left="1020" w:right="220" w:hanging="425"/>
        <w:spacing w:after="0" w:line="239" w:lineRule="auto"/>
        <w:tabs>
          <w:tab w:leader="none" w:pos="1020"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others may be able to develop products that are similar to atacicept, or any future product candidates we may develop, but that are not covered by the claims of the patents that we may in-license in the future or own;</w:t>
      </w:r>
    </w:p>
    <w:p>
      <w:pPr>
        <w:spacing w:after="0" w:line="25" w:lineRule="exact"/>
        <w:rPr>
          <w:rFonts w:ascii="MS PGothic" w:cs="MS PGothic" w:eastAsia="MS PGothic" w:hAnsi="MS PGothic"/>
          <w:sz w:val="12"/>
          <w:szCs w:val="12"/>
          <w:color w:val="auto"/>
        </w:rPr>
      </w:pPr>
    </w:p>
    <w:p>
      <w:pPr>
        <w:ind w:left="1020" w:right="120" w:hanging="425"/>
        <w:spacing w:after="0" w:line="239" w:lineRule="auto"/>
        <w:tabs>
          <w:tab w:leader="none" w:pos="1020"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our competitors may seek or may have already obtained patents that will limit, interfere with or eliminate our ability to make, use and sell atacicept or any future product candidates we may develop;</w:t>
      </w:r>
    </w:p>
    <w:p>
      <w:pPr>
        <w:spacing w:after="0" w:line="25" w:lineRule="exact"/>
        <w:rPr>
          <w:rFonts w:ascii="MS PGothic" w:cs="MS PGothic" w:eastAsia="MS PGothic" w:hAnsi="MS PGothic"/>
          <w:sz w:val="12"/>
          <w:szCs w:val="12"/>
          <w:color w:val="auto"/>
        </w:rPr>
      </w:pPr>
    </w:p>
    <w:p>
      <w:pPr>
        <w:ind w:left="1020" w:right="400" w:hanging="425"/>
        <w:spacing w:after="0" w:line="239" w:lineRule="auto"/>
        <w:tabs>
          <w:tab w:leader="none" w:pos="1020"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we, or our current or future collaborators or license partners, might not have been the first to make the inventions covered by the issued patents or patent applications that we may in-license in the future or own;</w:t>
      </w:r>
    </w:p>
    <w:p>
      <w:pPr>
        <w:spacing w:after="0" w:line="25" w:lineRule="exact"/>
        <w:rPr>
          <w:rFonts w:ascii="MS PGothic" w:cs="MS PGothic" w:eastAsia="MS PGothic" w:hAnsi="MS PGothic"/>
          <w:sz w:val="12"/>
          <w:szCs w:val="12"/>
          <w:color w:val="auto"/>
        </w:rPr>
      </w:pPr>
    </w:p>
    <w:p>
      <w:pPr>
        <w:ind w:left="1020" w:hanging="425"/>
        <w:spacing w:after="0" w:line="239" w:lineRule="auto"/>
        <w:tabs>
          <w:tab w:leader="none" w:pos="1020" w:val="left"/>
        </w:tabs>
        <w:numPr>
          <w:ilvl w:val="0"/>
          <w:numId w:val="32"/>
        </w:numPr>
        <w:rPr>
          <w:rFonts w:ascii="MS PGothic" w:cs="MS PGothic" w:eastAsia="MS PGothic" w:hAnsi="MS PGothic"/>
          <w:sz w:val="12"/>
          <w:szCs w:val="12"/>
          <w:color w:val="auto"/>
        </w:rPr>
      </w:pPr>
      <w:r>
        <w:rPr>
          <w:rFonts w:ascii="Arial" w:cs="Arial" w:eastAsia="Arial" w:hAnsi="Arial"/>
          <w:sz w:val="17"/>
          <w:szCs w:val="17"/>
          <w:color w:val="auto"/>
        </w:rPr>
        <w:t>we, or our current or future collaborators or license partners, might be found not have been the first to file patent applications covering certain of our or their inventions;</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020"/>
          </w:cols>
          <w:pgMar w:left="320" w:top="456" w:right="5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020" w:right="580" w:hanging="425"/>
        <w:spacing w:after="0" w:line="239" w:lineRule="auto"/>
        <w:tabs>
          <w:tab w:leader="none" w:pos="1020" w:val="left"/>
        </w:tabs>
        <w:numPr>
          <w:ilvl w:val="0"/>
          <w:numId w:val="33"/>
        </w:numPr>
        <w:rPr>
          <w:rFonts w:ascii="MS PGothic" w:cs="MS PGothic" w:eastAsia="MS PGothic" w:hAnsi="MS PGothic"/>
          <w:sz w:val="12"/>
          <w:szCs w:val="12"/>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3"/>
        </w:numPr>
        <w:rPr>
          <w:rFonts w:ascii="MS PGothic" w:cs="MS PGothic" w:eastAsia="MS PGothic" w:hAnsi="MS PGothic"/>
          <w:sz w:val="12"/>
          <w:szCs w:val="12"/>
          <w:color w:val="auto"/>
        </w:rPr>
      </w:pPr>
      <w:r>
        <w:rPr>
          <w:rFonts w:ascii="Arial" w:cs="Arial" w:eastAsia="Arial" w:hAnsi="Arial"/>
          <w:sz w:val="17"/>
          <w:szCs w:val="17"/>
          <w:color w:val="auto"/>
        </w:rPr>
        <w:t>it is possible that the pending patent applications we may in-license in the future or own will not lead to issued patents;</w:t>
      </w:r>
    </w:p>
    <w:p>
      <w:pPr>
        <w:spacing w:after="0" w:line="31" w:lineRule="exact"/>
        <w:rPr>
          <w:rFonts w:ascii="MS PGothic" w:cs="MS PGothic" w:eastAsia="MS PGothic" w:hAnsi="MS PGothic"/>
          <w:sz w:val="12"/>
          <w:szCs w:val="12"/>
          <w:color w:val="auto"/>
        </w:rPr>
      </w:pPr>
    </w:p>
    <w:p>
      <w:pPr>
        <w:ind w:left="1020" w:right="500" w:hanging="425"/>
        <w:spacing w:after="0" w:line="239" w:lineRule="auto"/>
        <w:tabs>
          <w:tab w:leader="none" w:pos="1020" w:val="left"/>
        </w:tabs>
        <w:numPr>
          <w:ilvl w:val="0"/>
          <w:numId w:val="33"/>
        </w:numPr>
        <w:rPr>
          <w:rFonts w:ascii="MS PGothic" w:cs="MS PGothic" w:eastAsia="MS PGothic" w:hAnsi="MS PGothic"/>
          <w:sz w:val="12"/>
          <w:szCs w:val="12"/>
          <w:color w:val="auto"/>
        </w:rPr>
      </w:pPr>
      <w:r>
        <w:rPr>
          <w:rFonts w:ascii="Arial" w:cs="Arial" w:eastAsia="Arial" w:hAnsi="Arial"/>
          <w:sz w:val="17"/>
          <w:szCs w:val="17"/>
          <w:color w:val="auto"/>
        </w:rPr>
        <w:t>it is possible that there are prior public disclosures that could invalidate our patents, or parts of our patents, for which we are not aware;</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3"/>
        </w:numPr>
        <w:rPr>
          <w:rFonts w:ascii="MS PGothic" w:cs="MS PGothic" w:eastAsia="MS PGothic" w:hAnsi="MS PGothic"/>
          <w:sz w:val="12"/>
          <w:szCs w:val="12"/>
          <w:color w:val="auto"/>
        </w:rPr>
      </w:pPr>
      <w:r>
        <w:rPr>
          <w:rFonts w:ascii="Arial" w:cs="Arial" w:eastAsia="Arial" w:hAnsi="Arial"/>
          <w:sz w:val="17"/>
          <w:szCs w:val="17"/>
          <w:color w:val="auto"/>
        </w:rPr>
        <w:t>issued patents that we hold rights to may be held invalid or unenforceable, as a result of legal challenges by our competitors;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3"/>
        </w:numPr>
        <w:rPr>
          <w:rFonts w:ascii="MS PGothic" w:cs="MS PGothic" w:eastAsia="MS PGothic" w:hAnsi="MS PGothic"/>
          <w:sz w:val="12"/>
          <w:szCs w:val="12"/>
          <w:color w:val="auto"/>
        </w:rPr>
      </w:pPr>
      <w:r>
        <w:rPr>
          <w:rFonts w:ascii="Arial" w:cs="Arial" w:eastAsia="Arial" w:hAnsi="Arial"/>
          <w:sz w:val="17"/>
          <w:szCs w:val="17"/>
          <w:color w:val="auto"/>
        </w:rPr>
        <w:t>issued patents may not have sufficient term or geographic scope to provide meaningful protection;</w:t>
      </w:r>
    </w:p>
    <w:p>
      <w:pPr>
        <w:spacing w:after="0" w:line="31" w:lineRule="exact"/>
        <w:rPr>
          <w:rFonts w:ascii="MS PGothic" w:cs="MS PGothic" w:eastAsia="MS PGothic" w:hAnsi="MS PGothic"/>
          <w:sz w:val="12"/>
          <w:szCs w:val="12"/>
          <w:color w:val="auto"/>
        </w:rPr>
      </w:pPr>
    </w:p>
    <w:p>
      <w:pPr>
        <w:ind w:left="1020" w:right="120" w:hanging="425"/>
        <w:spacing w:after="0" w:line="239" w:lineRule="auto"/>
        <w:tabs>
          <w:tab w:leader="none" w:pos="1020" w:val="left"/>
        </w:tabs>
        <w:numPr>
          <w:ilvl w:val="0"/>
          <w:numId w:val="33"/>
        </w:numPr>
        <w:rPr>
          <w:rFonts w:ascii="MS PGothic" w:cs="MS PGothic" w:eastAsia="MS PGothic" w:hAnsi="MS PGothic"/>
          <w:sz w:val="12"/>
          <w:szCs w:val="12"/>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3"/>
        </w:numPr>
        <w:rPr>
          <w:rFonts w:ascii="MS PGothic" w:cs="MS PGothic" w:eastAsia="MS PGothic" w:hAnsi="MS PGothic"/>
          <w:sz w:val="12"/>
          <w:szCs w:val="12"/>
          <w:color w:val="auto"/>
        </w:rPr>
      </w:pPr>
      <w:r>
        <w:rPr>
          <w:rFonts w:ascii="Arial" w:cs="Arial" w:eastAsia="Arial" w:hAnsi="Arial"/>
          <w:sz w:val="17"/>
          <w:szCs w:val="17"/>
          <w:color w:val="auto"/>
        </w:rPr>
        <w:t>we may not develop additional proprietary technologies that are patentable;</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3"/>
        </w:numPr>
        <w:rPr>
          <w:rFonts w:ascii="MS PGothic" w:cs="MS PGothic" w:eastAsia="MS PGothic" w:hAnsi="MS PGothic"/>
          <w:sz w:val="12"/>
          <w:szCs w:val="12"/>
          <w:color w:val="auto"/>
        </w:rPr>
      </w:pPr>
      <w:r>
        <w:rPr>
          <w:rFonts w:ascii="Arial" w:cs="Arial" w:eastAsia="Arial" w:hAnsi="Arial"/>
          <w:sz w:val="17"/>
          <w:szCs w:val="17"/>
          <w:color w:val="auto"/>
        </w:rPr>
        <w:t>the patents of others may have an adverse effect on our business; and</w:t>
      </w:r>
    </w:p>
    <w:p>
      <w:pPr>
        <w:spacing w:after="0" w:line="31" w:lineRule="exact"/>
        <w:rPr>
          <w:rFonts w:ascii="MS PGothic" w:cs="MS PGothic" w:eastAsia="MS PGothic" w:hAnsi="MS PGothic"/>
          <w:sz w:val="12"/>
          <w:szCs w:val="12"/>
          <w:color w:val="auto"/>
        </w:rPr>
      </w:pPr>
    </w:p>
    <w:p>
      <w:pPr>
        <w:ind w:left="1020" w:right="60" w:hanging="425"/>
        <w:spacing w:after="0" w:line="239" w:lineRule="auto"/>
        <w:tabs>
          <w:tab w:leader="none" w:pos="1020" w:val="left"/>
        </w:tabs>
        <w:numPr>
          <w:ilvl w:val="0"/>
          <w:numId w:val="33"/>
        </w:numPr>
        <w:rPr>
          <w:rFonts w:ascii="MS PGothic" w:cs="MS PGothic" w:eastAsia="MS PGothic" w:hAnsi="MS PGothic"/>
          <w:sz w:val="12"/>
          <w:szCs w:val="12"/>
          <w:color w:val="auto"/>
        </w:rPr>
      </w:pPr>
      <w:r>
        <w:rPr>
          <w:rFonts w:ascii="Arial" w:cs="Arial" w:eastAsia="Arial" w:hAnsi="Arial"/>
          <w:sz w:val="17"/>
          <w:szCs w:val="17"/>
          <w:color w:val="auto"/>
        </w:rPr>
        <w:t>we may choose not to file a patent in order to maintain certain trade secrets, and a third party may subsequently file a patent covering such intellectual property.</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Should any of these events occur, it could significantly harm our business, financial condition, results of operations and prospects.</w:t>
      </w:r>
    </w:p>
    <w:p>
      <w:pPr>
        <w:spacing w:after="0" w:line="52" w:lineRule="exact"/>
        <w:rPr>
          <w:sz w:val="20"/>
          <w:szCs w:val="20"/>
          <w:color w:val="auto"/>
        </w:rPr>
      </w:pPr>
    </w:p>
    <w:p>
      <w:pPr>
        <w:ind w:left="160" w:right="80"/>
        <w:spacing w:after="0" w:line="246" w:lineRule="auto"/>
        <w:rPr>
          <w:sz w:val="20"/>
          <w:szCs w:val="20"/>
          <w:color w:val="auto"/>
        </w:rPr>
      </w:pPr>
      <w:r>
        <w:rPr>
          <w:rFonts w:ascii="Arial" w:cs="Arial" w:eastAsia="Arial" w:hAnsi="Arial"/>
          <w:sz w:val="17"/>
          <w:szCs w:val="17"/>
          <w:b w:val="1"/>
          <w:bCs w:val="1"/>
          <w:i w:val="1"/>
          <w:iCs w:val="1"/>
          <w:color w:val="auto"/>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spacing w:after="0" w:line="7"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atacicept or any future product candidates we may develop.</w:t>
      </w:r>
    </w:p>
    <w:p>
      <w:pPr>
        <w:spacing w:after="0" w:line="148"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Other entities may have or obtain patents or proprietary rights that could limit our ability to make, use, sell, offer for sale or import atacicept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biotechnology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biotechnology industry, have employed intellectual property litigation as a means to gain an advantage over their competitors. Numerous third-party U.S. and foreign issued patents and pending patent applications may exist in the fields in which we are developing atacicept or any future product candidates we may develop. There may be third-party patents or patent applications with claims to compositions, formulations, methods of manufacture or methods for treatment related to the use or manufacture of atacicept or any future product candidates we may develop.</w:t>
      </w:r>
    </w:p>
    <w:p>
      <w:pPr>
        <w:spacing w:after="0" w:line="151"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060"/>
          </w:cols>
          <w:pgMar w:left="320" w:top="456"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9" w:lineRule="auto"/>
        <w:rPr>
          <w:sz w:val="20"/>
          <w:szCs w:val="20"/>
          <w:color w:val="auto"/>
        </w:rPr>
      </w:pPr>
      <w:r>
        <w:rPr>
          <w:rFonts w:ascii="Arial" w:cs="Arial" w:eastAsia="Arial" w:hAnsi="Arial"/>
          <w:sz w:val="17"/>
          <w:szCs w:val="17"/>
          <w:color w:val="auto"/>
        </w:rPr>
        <w:t>terms or at all. If we are unable to obtain such a license, we could be precluded from commercializing any product candidates that were ultimately held to infringe such patents.</w:t>
      </w:r>
    </w:p>
    <w:p>
      <w:pPr>
        <w:spacing w:after="0" w:line="146" w:lineRule="exact"/>
        <w:rPr>
          <w:sz w:val="20"/>
          <w:szCs w:val="20"/>
          <w:color w:val="auto"/>
        </w:rPr>
      </w:pPr>
    </w:p>
    <w:p>
      <w:pPr>
        <w:ind w:left="160" w:right="80"/>
        <w:spacing w:after="0" w:line="246" w:lineRule="auto"/>
        <w:rPr>
          <w:sz w:val="20"/>
          <w:szCs w:val="20"/>
          <w:color w:val="auto"/>
        </w:rPr>
      </w:pPr>
      <w:r>
        <w:rPr>
          <w:rFonts w:ascii="Arial" w:cs="Arial" w:eastAsia="Arial" w:hAnsi="Arial"/>
          <w:sz w:val="16"/>
          <w:szCs w:val="16"/>
          <w:color w:val="auto"/>
        </w:rPr>
        <w:t>As the biotechnology industry expands and more patents are issued, the risk increases that atacicept,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atacicept,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atacicept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Any claims of patent infringement, misappropriation or other violations asserted by third parties would be time consuming and could:</w:t>
      </w:r>
    </w:p>
    <w:p>
      <w:pPr>
        <w:spacing w:after="0" w:line="192" w:lineRule="exact"/>
        <w:rPr>
          <w:sz w:val="20"/>
          <w:szCs w:val="20"/>
          <w:color w:val="auto"/>
        </w:rPr>
      </w:pPr>
    </w:p>
    <w:p>
      <w:pPr>
        <w:ind w:left="1020" w:hanging="425"/>
        <w:spacing w:after="0"/>
        <w:tabs>
          <w:tab w:leader="none" w:pos="1020" w:val="left"/>
        </w:tabs>
        <w:numPr>
          <w:ilvl w:val="0"/>
          <w:numId w:val="34"/>
        </w:numPr>
        <w:rPr>
          <w:rFonts w:ascii="MS PGothic" w:cs="MS PGothic" w:eastAsia="MS PGothic" w:hAnsi="MS PGothic"/>
          <w:sz w:val="12"/>
          <w:szCs w:val="12"/>
          <w:color w:val="auto"/>
        </w:rPr>
      </w:pPr>
      <w:r>
        <w:rPr>
          <w:rFonts w:ascii="Arial" w:cs="Arial" w:eastAsia="Arial" w:hAnsi="Arial"/>
          <w:sz w:val="17"/>
          <w:szCs w:val="17"/>
          <w:color w:val="auto"/>
        </w:rPr>
        <w:t>result in costly litigation that may cause negative publicity;</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4"/>
        </w:numPr>
        <w:rPr>
          <w:rFonts w:ascii="MS PGothic" w:cs="MS PGothic" w:eastAsia="MS PGothic" w:hAnsi="MS PGothic"/>
          <w:sz w:val="12"/>
          <w:szCs w:val="12"/>
          <w:color w:val="auto"/>
        </w:rPr>
      </w:pPr>
      <w:r>
        <w:rPr>
          <w:rFonts w:ascii="Arial" w:cs="Arial" w:eastAsia="Arial" w:hAnsi="Arial"/>
          <w:sz w:val="17"/>
          <w:szCs w:val="17"/>
          <w:color w:val="auto"/>
        </w:rPr>
        <w:t>divert the time and attention of our technical personnel and management;</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4"/>
        </w:numPr>
        <w:rPr>
          <w:rFonts w:ascii="MS PGothic" w:cs="MS PGothic" w:eastAsia="MS PGothic" w:hAnsi="MS PGothic"/>
          <w:sz w:val="12"/>
          <w:szCs w:val="12"/>
          <w:color w:val="auto"/>
        </w:rPr>
      </w:pPr>
      <w:r>
        <w:rPr>
          <w:rFonts w:ascii="Arial" w:cs="Arial" w:eastAsia="Arial" w:hAnsi="Arial"/>
          <w:sz w:val="17"/>
          <w:szCs w:val="17"/>
          <w:color w:val="auto"/>
        </w:rPr>
        <w:t>cause development delays;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4"/>
        </w:numPr>
        <w:rPr>
          <w:rFonts w:ascii="MS PGothic" w:cs="MS PGothic" w:eastAsia="MS PGothic" w:hAnsi="MS PGothic"/>
          <w:sz w:val="12"/>
          <w:szCs w:val="12"/>
          <w:color w:val="auto"/>
        </w:rPr>
      </w:pPr>
      <w:r>
        <w:rPr>
          <w:rFonts w:ascii="Arial" w:cs="Arial" w:eastAsia="Arial" w:hAnsi="Arial"/>
          <w:sz w:val="17"/>
          <w:szCs w:val="17"/>
          <w:color w:val="auto"/>
        </w:rPr>
        <w:t>prevent us from commercializing atacicept or any future product candidates we may develop;</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4"/>
        </w:numPr>
        <w:rPr>
          <w:rFonts w:ascii="MS PGothic" w:cs="MS PGothic" w:eastAsia="MS PGothic" w:hAnsi="MS PGothic"/>
          <w:sz w:val="12"/>
          <w:szCs w:val="12"/>
          <w:color w:val="auto"/>
        </w:rPr>
      </w:pPr>
      <w:r>
        <w:rPr>
          <w:rFonts w:ascii="Arial" w:cs="Arial" w:eastAsia="Arial" w:hAnsi="Arial"/>
          <w:sz w:val="17"/>
          <w:szCs w:val="17"/>
          <w:color w:val="auto"/>
        </w:rPr>
        <w:t>require us to develop non-infringing technology, which may not be possible on a cost-effective basis;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4"/>
        </w:numPr>
        <w:rPr>
          <w:rFonts w:ascii="MS PGothic" w:cs="MS PGothic" w:eastAsia="MS PGothic" w:hAnsi="MS PGothic"/>
          <w:sz w:val="12"/>
          <w:szCs w:val="12"/>
          <w:color w:val="auto"/>
        </w:rPr>
      </w:pPr>
      <w:r>
        <w:rPr>
          <w:rFonts w:ascii="Arial" w:cs="Arial" w:eastAsia="Arial" w:hAnsi="Arial"/>
          <w:sz w:val="17"/>
          <w:szCs w:val="17"/>
          <w:color w:val="auto"/>
        </w:rPr>
        <w:t>subject us to significant liability to third parties; or</w:t>
      </w:r>
    </w:p>
    <w:p>
      <w:pPr>
        <w:spacing w:after="0" w:line="31" w:lineRule="exact"/>
        <w:rPr>
          <w:rFonts w:ascii="MS PGothic" w:cs="MS PGothic" w:eastAsia="MS PGothic" w:hAnsi="MS PGothic"/>
          <w:sz w:val="12"/>
          <w:szCs w:val="12"/>
          <w:color w:val="auto"/>
        </w:rPr>
      </w:pPr>
    </w:p>
    <w:p>
      <w:pPr>
        <w:ind w:left="1020" w:right="280" w:hanging="425"/>
        <w:spacing w:after="0" w:line="239" w:lineRule="auto"/>
        <w:tabs>
          <w:tab w:leader="none" w:pos="1020" w:val="left"/>
        </w:tabs>
        <w:numPr>
          <w:ilvl w:val="0"/>
          <w:numId w:val="34"/>
        </w:numPr>
        <w:rPr>
          <w:rFonts w:ascii="MS PGothic" w:cs="MS PGothic" w:eastAsia="MS PGothic" w:hAnsi="MS PGothic"/>
          <w:sz w:val="12"/>
          <w:szCs w:val="12"/>
          <w:color w:val="auto"/>
        </w:rPr>
      </w:pPr>
      <w:r>
        <w:rPr>
          <w:rFonts w:ascii="Arial" w:cs="Arial" w:eastAsia="Arial" w:hAnsi="Arial"/>
          <w:sz w:val="17"/>
          <w:szCs w:val="17"/>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46"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atacicept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atacicept or any future product candidates we may develop processes to avoid infringement, if necessary.</w:t>
      </w:r>
    </w:p>
    <w:p>
      <w:pPr>
        <w:spacing w:after="0" w:line="147" w:lineRule="exact"/>
        <w:rPr>
          <w:sz w:val="20"/>
          <w:szCs w:val="20"/>
          <w:color w:val="auto"/>
        </w:rPr>
      </w:pPr>
    </w:p>
    <w:p>
      <w:pPr>
        <w:ind w:left="160" w:right="80"/>
        <w:spacing w:after="0" w:line="234" w:lineRule="auto"/>
        <w:rPr>
          <w:sz w:val="20"/>
          <w:szCs w:val="20"/>
          <w:color w:val="auto"/>
        </w:rPr>
      </w:pPr>
      <w:r>
        <w:rPr>
          <w:rFonts w:ascii="Arial" w:cs="Arial" w:eastAsia="Arial" w:hAnsi="Arial"/>
          <w:sz w:val="17"/>
          <w:szCs w:val="17"/>
          <w:color w:val="auto"/>
        </w:rPr>
        <w:t>An adverse determination in a judicial or administrative proceeding, or the failure to obtain necessary licenses, could prevent us from developing and commercializing atacicept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atacicept and future product candidates and technologies.</w:t>
      </w:r>
    </w:p>
    <w:p>
      <w:pPr>
        <w:spacing w:after="0" w:line="147" w:lineRule="exact"/>
        <w:rPr>
          <w:sz w:val="20"/>
          <w:szCs w:val="20"/>
          <w:color w:val="auto"/>
        </w:rPr>
      </w:pPr>
    </w:p>
    <w:p>
      <w:pPr>
        <w:ind w:left="160" w:right="60"/>
        <w:spacing w:after="0" w:line="236"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040"/>
          </w:cols>
          <w:pgMar w:left="320" w:top="456"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60"/>
        <w:spacing w:after="0" w:line="269" w:lineRule="auto"/>
        <w:rPr>
          <w:sz w:val="20"/>
          <w:szCs w:val="20"/>
          <w:color w:val="auto"/>
        </w:rPr>
      </w:pPr>
      <w:r>
        <w:rPr>
          <w:rFonts w:ascii="Arial" w:cs="Arial" w:eastAsia="Arial" w:hAnsi="Arial"/>
          <w:sz w:val="16"/>
          <w:szCs w:val="16"/>
          <w:color w:val="auto"/>
        </w:rPr>
        <w:t>compromised by disclosure. In addition, any uncertainties resulting from the initiation and continuation of any litigation could have an adverse effect on our ability to raise additional funds or otherwise significantly harm our business, financial condition, results of operations and prospects.</w:t>
      </w:r>
    </w:p>
    <w:p>
      <w:pPr>
        <w:spacing w:after="0" w:line="22" w:lineRule="exact"/>
        <w:rPr>
          <w:sz w:val="20"/>
          <w:szCs w:val="20"/>
          <w:color w:val="auto"/>
        </w:rPr>
      </w:pPr>
    </w:p>
    <w:p>
      <w:pPr>
        <w:ind w:left="160" w:right="500"/>
        <w:spacing w:after="0" w:line="258" w:lineRule="auto"/>
        <w:rPr>
          <w:sz w:val="20"/>
          <w:szCs w:val="20"/>
          <w:color w:val="auto"/>
        </w:rPr>
      </w:pPr>
      <w:r>
        <w:rPr>
          <w:rFonts w:ascii="Arial" w:cs="Arial" w:eastAsia="Arial" w:hAnsi="Arial"/>
          <w:sz w:val="17"/>
          <w:szCs w:val="17"/>
          <w:b w:val="1"/>
          <w:bCs w:val="1"/>
          <w:i w:val="1"/>
          <w:iCs w:val="1"/>
          <w:color w:val="auto"/>
        </w:rPr>
        <w:t>We may not be successful in obtaining or maintaining necessary rights from third parties that we identify as necessary for future product candidates we may develop through acquisitions and in-licenses.</w:t>
      </w:r>
    </w:p>
    <w:p>
      <w:pPr>
        <w:spacing w:after="0" w:line="1" w:lineRule="exact"/>
        <w:rPr>
          <w:sz w:val="20"/>
          <w:szCs w:val="20"/>
          <w:color w:val="auto"/>
        </w:rPr>
      </w:pPr>
    </w:p>
    <w:p>
      <w:pPr>
        <w:ind w:left="160" w:right="160"/>
        <w:spacing w:after="0" w:line="239" w:lineRule="auto"/>
        <w:rPr>
          <w:sz w:val="20"/>
          <w:szCs w:val="20"/>
          <w:color w:val="auto"/>
        </w:rPr>
      </w:pPr>
      <w:r>
        <w:rPr>
          <w:rFonts w:ascii="Arial" w:cs="Arial" w:eastAsia="Arial" w:hAnsi="Arial"/>
          <w:sz w:val="17"/>
          <w:szCs w:val="17"/>
          <w:color w:val="auto"/>
        </w:rPr>
        <w:t>Because our development programs may in the future require the use of proprietary rights held by third parties, the growth of our business may depend in part on our ability to acquire, in-license, or use these third-party proprietary rights.</w:t>
      </w:r>
    </w:p>
    <w:p>
      <w:pPr>
        <w:spacing w:after="0" w:line="146" w:lineRule="exact"/>
        <w:rPr>
          <w:sz w:val="20"/>
          <w:szCs w:val="20"/>
          <w:color w:val="auto"/>
        </w:rPr>
      </w:pPr>
    </w:p>
    <w:p>
      <w:pPr>
        <w:ind w:left="160" w:right="540"/>
        <w:spacing w:after="0" w:line="239" w:lineRule="auto"/>
        <w:rPr>
          <w:sz w:val="20"/>
          <w:szCs w:val="20"/>
          <w:color w:val="auto"/>
        </w:rPr>
      </w:pPr>
      <w:r>
        <w:rPr>
          <w:rFonts w:ascii="Arial" w:cs="Arial" w:eastAsia="Arial" w:hAnsi="Arial"/>
          <w:sz w:val="17"/>
          <w:szCs w:val="17"/>
          <w:color w:val="auto"/>
        </w:rPr>
        <w:t>While we may have in-licensed patents that cover atacicept, it is possible that third parties may have blocking patents that prevent us from marketing, manufacturing or commercializing our patented products and practicing our in-licensed patented technology.</w:t>
      </w:r>
    </w:p>
    <w:p>
      <w:pPr>
        <w:spacing w:after="0" w:line="146"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We may be unsuccessful in acquiring or in-licensing compositions, methods of use, processes, or other intellectual property rights from third parties that we identify as necessary for practicing inventions claimed by our patents, including the manufacture, sale and use of atacicept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may be involved in lawsuits to protect or enforce our patents, which could be expensive, time consuming and unsuccessful.</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Further, our issued patents could be found invalid or unenforceable if challenged in court.</w:t>
      </w:r>
    </w:p>
    <w:p>
      <w:pPr>
        <w:spacing w:after="0" w:line="19"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or in-licensed patents do not cover the technology in question. If we or any of our potential future collaborators were to initiate legal proceedings against a third party to enforce a patent directed at atacicept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50" w:lineRule="exact"/>
        <w:rPr>
          <w:sz w:val="20"/>
          <w:szCs w:val="20"/>
          <w:color w:val="auto"/>
        </w:rPr>
      </w:pPr>
    </w:p>
    <w:p>
      <w:pPr>
        <w:ind w:left="160" w:right="280"/>
        <w:spacing w:after="0" w:line="252" w:lineRule="auto"/>
        <w:rPr>
          <w:sz w:val="20"/>
          <w:szCs w:val="20"/>
          <w:color w:val="auto"/>
        </w:rPr>
      </w:pPr>
      <w:r>
        <w:rPr>
          <w:rFonts w:ascii="Arial" w:cs="Arial" w:eastAsia="Arial" w:hAnsi="Arial"/>
          <w:sz w:val="16"/>
          <w:szCs w:val="16"/>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spacing w:after="0" w:line="137" w:lineRule="exact"/>
        <w:rPr>
          <w:sz w:val="20"/>
          <w:szCs w:val="20"/>
          <w:color w:val="auto"/>
        </w:rPr>
      </w:pPr>
    </w:p>
    <w:p>
      <w:pPr>
        <w:jc w:val="both"/>
        <w:ind w:left="160" w:right="80"/>
        <w:spacing w:after="0" w:line="236" w:lineRule="auto"/>
        <w:rPr>
          <w:sz w:val="20"/>
          <w:szCs w:val="20"/>
          <w:color w:val="auto"/>
        </w:rPr>
      </w:pPr>
      <w:r>
        <w:rPr>
          <w:rFonts w:ascii="Arial" w:cs="Arial" w:eastAsia="Arial" w:hAnsi="Arial"/>
          <w:sz w:val="17"/>
          <w:szCs w:val="17"/>
          <w:color w:val="auto"/>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020"/>
          </w:cols>
          <w:pgMar w:left="320" w:top="456" w:right="5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320"/>
        <w:spacing w:after="0" w:line="232"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48" w:lineRule="exact"/>
        <w:rPr>
          <w:sz w:val="20"/>
          <w:szCs w:val="20"/>
          <w:color w:val="auto"/>
        </w:rPr>
      </w:pPr>
    </w:p>
    <w:p>
      <w:pPr>
        <w:jc w:val="both"/>
        <w:ind w:left="160" w:right="80"/>
        <w:spacing w:after="0" w:line="236"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Should any of these events occur, it could significantly harm our business, financial condition, results of operations and prospects.</w:t>
      </w:r>
    </w:p>
    <w:p>
      <w:pPr>
        <w:spacing w:after="0" w:line="52" w:lineRule="exact"/>
        <w:rPr>
          <w:sz w:val="20"/>
          <w:szCs w:val="20"/>
          <w:color w:val="auto"/>
        </w:rPr>
      </w:pPr>
    </w:p>
    <w:p>
      <w:pPr>
        <w:jc w:val="both"/>
        <w:ind w:left="160" w:right="60"/>
        <w:spacing w:after="0" w:line="258" w:lineRule="auto"/>
        <w:rPr>
          <w:sz w:val="20"/>
          <w:szCs w:val="20"/>
          <w:color w:val="auto"/>
        </w:rPr>
      </w:pPr>
      <w:r>
        <w:rPr>
          <w:rFonts w:ascii="Arial" w:cs="Arial" w:eastAsia="Arial" w:hAnsi="Arial"/>
          <w:sz w:val="17"/>
          <w:szCs w:val="17"/>
          <w:b w:val="1"/>
          <w:bCs w:val="1"/>
          <w:i w:val="1"/>
          <w:iCs w:val="1"/>
          <w:color w:val="auto"/>
        </w:rPr>
        <w:t>Intellectual property litigation may lead to unfavorable publicity that harms our reputation and causes the market price of our common shares to decline.</w:t>
      </w:r>
    </w:p>
    <w:p>
      <w:pPr>
        <w:spacing w:after="0" w:line="1" w:lineRule="exact"/>
        <w:rPr>
          <w:sz w:val="20"/>
          <w:szCs w:val="20"/>
          <w:color w:val="auto"/>
        </w:rPr>
      </w:pPr>
    </w:p>
    <w:p>
      <w:pPr>
        <w:ind w:left="160" w:right="140"/>
        <w:spacing w:after="0" w:line="233"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significantly harm our business, financial condition, results of operations and prospects.</w:t>
      </w:r>
    </w:p>
    <w:p>
      <w:pPr>
        <w:spacing w:after="0" w:line="48" w:lineRule="exact"/>
        <w:rPr>
          <w:sz w:val="20"/>
          <w:szCs w:val="20"/>
          <w:color w:val="auto"/>
        </w:rPr>
      </w:pPr>
    </w:p>
    <w:p>
      <w:pPr>
        <w:ind w:left="160" w:right="320"/>
        <w:spacing w:after="0" w:line="258" w:lineRule="auto"/>
        <w:rPr>
          <w:sz w:val="20"/>
          <w:szCs w:val="20"/>
          <w:color w:val="auto"/>
        </w:rPr>
      </w:pPr>
      <w:r>
        <w:rPr>
          <w:rFonts w:ascii="Arial" w:cs="Arial" w:eastAsia="Arial" w:hAnsi="Arial"/>
          <w:sz w:val="17"/>
          <w:szCs w:val="17"/>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r>
        <w:rPr>
          <w:rFonts w:ascii="Arial" w:cs="Arial" w:eastAsia="Arial" w:hAnsi="Arial"/>
          <w:sz w:val="17"/>
          <w:szCs w:val="17"/>
          <w:color w:val="auto"/>
        </w:rPr>
        <w:t>.</w:t>
      </w:r>
    </w:p>
    <w:p>
      <w:pPr>
        <w:spacing w:after="0" w:line="1"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an adverse effect on our ability to raise the funds necessary to continue our clinical trials, continue our research programs, license necessary technology from third parties or enter into development or manufacturing partnerships that would help us bring atacicept or any future product candidates to market. Should any of these events occur, it could significantly harm our business, financial condition, results of operations and prospects.</w:t>
      </w:r>
    </w:p>
    <w:p>
      <w:pPr>
        <w:spacing w:after="0" w:line="46" w:lineRule="exact"/>
        <w:rPr>
          <w:sz w:val="20"/>
          <w:szCs w:val="20"/>
          <w:color w:val="auto"/>
        </w:rPr>
      </w:pPr>
    </w:p>
    <w:p>
      <w:pPr>
        <w:ind w:left="160" w:right="300"/>
        <w:spacing w:after="0" w:line="258" w:lineRule="auto"/>
        <w:rPr>
          <w:sz w:val="20"/>
          <w:szCs w:val="20"/>
          <w:color w:val="auto"/>
        </w:rPr>
      </w:pPr>
      <w:r>
        <w:rPr>
          <w:rFonts w:ascii="Arial" w:cs="Arial" w:eastAsia="Arial" w:hAnsi="Arial"/>
          <w:sz w:val="17"/>
          <w:szCs w:val="17"/>
          <w:b w:val="1"/>
          <w:bCs w:val="1"/>
          <w:i w:val="1"/>
          <w:iCs w:val="1"/>
          <w:color w:val="auto"/>
        </w:rPr>
        <w:t>Patent reform legislation could increase the uncertainties and costs surrounding the prosecution of our patent applications and the enforcement or defense of our patents.</w:t>
      </w:r>
    </w:p>
    <w:p>
      <w:pPr>
        <w:spacing w:after="0" w:line="1" w:lineRule="exact"/>
        <w:rPr>
          <w:sz w:val="20"/>
          <w:szCs w:val="20"/>
          <w:color w:val="auto"/>
        </w:rPr>
      </w:pPr>
    </w:p>
    <w:p>
      <w:pPr>
        <w:ind w:left="160" w:right="100"/>
        <w:spacing w:after="0" w:line="232" w:lineRule="auto"/>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 a high degree of technological and legal complexity. Therefore, obtaining and enforcing biopharmaceutical patents is costly, time consuming and inherently uncertain. 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147"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Further, the United States has enacted and implemented wide-ranging patent reform legislation and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040"/>
          </w:cols>
          <w:pgMar w:left="320" w:top="456"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280"/>
        <w:spacing w:after="0" w:line="233" w:lineRule="auto"/>
        <w:rPr>
          <w:sz w:val="20"/>
          <w:szCs w:val="20"/>
          <w:color w:val="auto"/>
        </w:rPr>
      </w:pPr>
      <w:r>
        <w:rPr>
          <w:rFonts w:ascii="Arial" w:cs="Arial" w:eastAsia="Arial" w:hAnsi="Arial"/>
          <w:sz w:val="17"/>
          <w:szCs w:val="17"/>
          <w:color w:val="auto"/>
        </w:rPr>
        <w:t>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 inability to obtain, enforce, and defend patents covering our proprietary technologies (including atacicept) would adversely affect our business prospects and financial condition.</w:t>
      </w:r>
    </w:p>
    <w:p>
      <w:pPr>
        <w:spacing w:after="0" w:line="148"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and Europe.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our patents and other intellectual property.</w:t>
      </w:r>
    </w:p>
    <w:p>
      <w:pPr>
        <w:spacing w:after="0" w:line="39" w:lineRule="exact"/>
        <w:rPr>
          <w:sz w:val="20"/>
          <w:szCs w:val="20"/>
          <w:color w:val="auto"/>
        </w:rPr>
      </w:pPr>
    </w:p>
    <w:p>
      <w:pPr>
        <w:ind w:left="160" w:right="160"/>
        <w:spacing w:after="0" w:line="233" w:lineRule="auto"/>
        <w:rPr>
          <w:sz w:val="20"/>
          <w:szCs w:val="20"/>
          <w:color w:val="auto"/>
        </w:rPr>
      </w:pPr>
      <w:r>
        <w:rPr>
          <w:rFonts w:ascii="Arial" w:cs="Arial" w:eastAsia="Arial" w:hAnsi="Arial"/>
          <w:sz w:val="17"/>
          <w:szCs w:val="17"/>
          <w:color w:val="auto"/>
        </w:rPr>
        <w:t>It is possible that we do not transfer or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ability to claim priority for certain patent filings, intervening art or other events may preclude us from issuing patents.</w:t>
      </w:r>
    </w:p>
    <w:p>
      <w:pPr>
        <w:spacing w:after="0" w:line="148" w:lineRule="exact"/>
        <w:rPr>
          <w:sz w:val="20"/>
          <w:szCs w:val="20"/>
          <w:color w:val="auto"/>
        </w:rPr>
      </w:pPr>
    </w:p>
    <w:p>
      <w:pPr>
        <w:ind w:left="160" w:right="140"/>
        <w:spacing w:after="0" w:line="234" w:lineRule="auto"/>
        <w:rPr>
          <w:sz w:val="20"/>
          <w:szCs w:val="20"/>
          <w:color w:val="auto"/>
        </w:rPr>
      </w:pPr>
      <w:r>
        <w:rPr>
          <w:rFonts w:ascii="Arial" w:cs="Arial" w:eastAsia="Arial" w:hAnsi="Arial"/>
          <w:sz w:val="17"/>
          <w:szCs w:val="17"/>
          <w:color w:val="auto"/>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spacing w:after="0" w:line="47" w:lineRule="exact"/>
        <w:rPr>
          <w:sz w:val="20"/>
          <w:szCs w:val="20"/>
          <w:color w:val="auto"/>
        </w:rPr>
      </w:pPr>
    </w:p>
    <w:p>
      <w:pPr>
        <w:ind w:left="160" w:right="140"/>
        <w:spacing w:after="0" w:line="258" w:lineRule="auto"/>
        <w:rPr>
          <w:sz w:val="20"/>
          <w:szCs w:val="20"/>
          <w:color w:val="auto"/>
        </w:rPr>
      </w:pPr>
      <w:r>
        <w:rPr>
          <w:rFonts w:ascii="Arial" w:cs="Arial" w:eastAsia="Arial" w:hAnsi="Arial"/>
          <w:sz w:val="17"/>
          <w:szCs w:val="17"/>
          <w:b w:val="1"/>
          <w:bCs w:val="1"/>
          <w:i w:val="1"/>
          <w:iCs w:val="1"/>
          <w:color w:val="auto"/>
        </w:rPr>
        <w:t>Patent terms may be inadequate to protect our competitive position on atacicept or any future product candidates we may develop for an adequate amount of time.</w:t>
      </w:r>
    </w:p>
    <w:p>
      <w:pPr>
        <w:spacing w:after="0" w:line="1" w:lineRule="exact"/>
        <w:rPr>
          <w:sz w:val="20"/>
          <w:szCs w:val="20"/>
          <w:color w:val="auto"/>
        </w:rPr>
      </w:pPr>
    </w:p>
    <w:p>
      <w:pPr>
        <w:ind w:left="160" w:right="80"/>
        <w:spacing w:after="0" w:line="232" w:lineRule="auto"/>
        <w:rPr>
          <w:sz w:val="20"/>
          <w:szCs w:val="20"/>
          <w:color w:val="auto"/>
        </w:rPr>
      </w:pPr>
      <w:r>
        <w:rPr>
          <w:rFonts w:ascii="Arial" w:cs="Arial" w:eastAsia="Arial" w:hAnsi="Arial"/>
          <w:sz w:val="17"/>
          <w:szCs w:val="17"/>
          <w:color w:val="auto"/>
        </w:rPr>
        <w:t>Patents have a limited lifespan. Generally, issued patents are granted a term of 20 years from the earliest claimed non-provisional filing date. Various extensions may be available, but there can be no assurance that any such extensions will be obtained, and the life of a patent, and the protection it affords, is limited.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There is a risk that we may take action that detracts from any accrued patent term adjustment. Even if patents covering atacicept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45" w:lineRule="exact"/>
        <w:rPr>
          <w:sz w:val="20"/>
          <w:szCs w:val="20"/>
          <w:color w:val="auto"/>
        </w:rPr>
      </w:pPr>
    </w:p>
    <w:p>
      <w:pPr>
        <w:ind w:left="160" w:right="180"/>
        <w:spacing w:after="0" w:line="256" w:lineRule="auto"/>
        <w:rPr>
          <w:sz w:val="20"/>
          <w:szCs w:val="20"/>
          <w:color w:val="auto"/>
        </w:rPr>
      </w:pPr>
      <w:r>
        <w:rPr>
          <w:rFonts w:ascii="Arial" w:cs="Arial" w:eastAsia="Arial" w:hAnsi="Arial"/>
          <w:sz w:val="16"/>
          <w:szCs w:val="16"/>
          <w:color w:val="auto"/>
        </w:rPr>
        <w:t>Our earliest in-licensed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financial condition, prospects and results of operations.</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Any of the foregoing could significantly harm our business, financial condition, results of operations and prospects.</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right="180"/>
        <w:spacing w:after="0" w:line="246" w:lineRule="auto"/>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significantly harmed.</w:t>
      </w:r>
    </w:p>
    <w:p>
      <w:pPr>
        <w:spacing w:after="0" w:line="21" w:lineRule="exact"/>
        <w:rPr>
          <w:sz w:val="20"/>
          <w:szCs w:val="20"/>
          <w:color w:val="auto"/>
        </w:rPr>
      </w:pPr>
    </w:p>
    <w:p>
      <w:pPr>
        <w:ind w:left="160" w:right="80"/>
        <w:spacing w:after="0" w:line="231"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per approved drug product, and only those claims covering the approved drug product,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impacted and our competitors may obtain approval to market competing products sooner. As a result, our revenue from applicable products could be reduced and could have a material adverse effect on our business.</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will not be able to protect our intellectual property rights throughout the world.</w:t>
      </w:r>
    </w:p>
    <w:p>
      <w:pPr>
        <w:spacing w:after="0" w:line="52"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atacicept or any future product candidates we may develop, without any available recourse.</w:t>
      </w:r>
    </w:p>
    <w:p>
      <w:pPr>
        <w:spacing w:after="0" w:line="147"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8" w:lineRule="exact"/>
        <w:rPr>
          <w:sz w:val="20"/>
          <w:szCs w:val="20"/>
          <w:color w:val="auto"/>
        </w:rPr>
      </w:pPr>
    </w:p>
    <w:p>
      <w:pPr>
        <w:ind w:left="160" w:right="20"/>
        <w:spacing w:after="0" w:line="239" w:lineRule="auto"/>
        <w:rPr>
          <w:sz w:val="20"/>
          <w:szCs w:val="20"/>
          <w:color w:val="auto"/>
        </w:rPr>
      </w:pPr>
      <w:r>
        <w:rPr>
          <w:rFonts w:ascii="Arial" w:cs="Arial" w:eastAsia="Arial" w:hAnsi="Arial"/>
          <w:sz w:val="17"/>
          <w:szCs w:val="17"/>
          <w:color w:val="auto"/>
        </w:rPr>
        <w:t>Many countries have compulsory licensing laws under which a patent owner may be compelled to grant licenses to third parties. In addition, many countries limit the enforceability of patents against government agencies or</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080"/>
          </w:cols>
          <w:pgMar w:left="320" w:top="456"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340"/>
        <w:spacing w:after="0" w:line="236" w:lineRule="auto"/>
        <w:rPr>
          <w:sz w:val="20"/>
          <w:szCs w:val="20"/>
          <w:color w:val="auto"/>
        </w:rPr>
      </w:pPr>
      <w:r>
        <w:rPr>
          <w:rFonts w:ascii="Arial" w:cs="Arial" w:eastAsia="Arial" w:hAnsi="Arial"/>
          <w:sz w:val="17"/>
          <w:szCs w:val="17"/>
          <w:color w:val="auto"/>
        </w:rPr>
        <w:t>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spacing w:after="0" w:line="71"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In addition, recordation of licenses with respect to exclusively licensed patent rights outside of the United States is potentially costly and we might fail to record such rights timely. If we fail to timely record our patent rights, third parties may try to seek licenses from the patent owners, or we may not be able to recover full damages for patent infringement in jurisdictions where we have no such recordations, any of which could significantly harm our business, financial condition, results of operations and prospects.</w:t>
      </w:r>
    </w:p>
    <w:p>
      <w:pPr>
        <w:spacing w:after="0" w:line="30" w:lineRule="exact"/>
        <w:rPr>
          <w:sz w:val="20"/>
          <w:szCs w:val="20"/>
          <w:color w:val="auto"/>
        </w:rPr>
      </w:pPr>
    </w:p>
    <w:p>
      <w:pPr>
        <w:ind w:left="160"/>
        <w:spacing w:after="0" w:line="24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21" w:lineRule="exact"/>
        <w:rPr>
          <w:sz w:val="20"/>
          <w:szCs w:val="20"/>
          <w:color w:val="auto"/>
        </w:rPr>
      </w:pPr>
    </w:p>
    <w:p>
      <w:pPr>
        <w:ind w:left="160" w:right="140"/>
        <w:spacing w:after="0" w:line="247"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spacing w:after="0" w:line="28" w:lineRule="exact"/>
        <w:rPr>
          <w:sz w:val="20"/>
          <w:szCs w:val="20"/>
          <w:color w:val="auto"/>
        </w:rPr>
      </w:pPr>
    </w:p>
    <w:p>
      <w:pPr>
        <w:ind w:left="160" w:right="200"/>
        <w:spacing w:after="0" w:line="263"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financial condition, results of operations and prospects could be significantly harmed.</w:t>
      </w:r>
    </w:p>
    <w:p>
      <w:pPr>
        <w:spacing w:after="0" w:line="6"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spacing w:after="0" w:line="139" w:lineRule="exact"/>
        <w:rPr>
          <w:sz w:val="20"/>
          <w:szCs w:val="20"/>
          <w:color w:val="auto"/>
        </w:rPr>
      </w:pPr>
    </w:p>
    <w:p>
      <w:pPr>
        <w:ind w:left="160" w:right="300"/>
        <w:spacing w:after="0" w:line="233" w:lineRule="auto"/>
        <w:rPr>
          <w:sz w:val="20"/>
          <w:szCs w:val="20"/>
          <w:color w:val="auto"/>
        </w:rPr>
      </w:pPr>
      <w:r>
        <w:rPr>
          <w:rFonts w:ascii="Arial" w:cs="Arial" w:eastAsia="Arial" w:hAnsi="Arial"/>
          <w:sz w:val="17"/>
          <w:szCs w:val="17"/>
          <w:color w:val="auto"/>
        </w:rPr>
        <w:t>In addition, any proprietary name we propose to use with our current or future products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34" w:lineRule="exact"/>
        <w:rPr>
          <w:sz w:val="20"/>
          <w:szCs w:val="20"/>
          <w:color w:val="auto"/>
        </w:rPr>
      </w:pPr>
    </w:p>
    <w:p>
      <w:pPr>
        <w:ind w:left="160" w:right="280"/>
        <w:spacing w:after="0" w:line="263"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financial condition, results of operations, prospects and competitive position would be significantly harmed.</w:t>
      </w:r>
    </w:p>
    <w:p>
      <w:pPr>
        <w:spacing w:after="0" w:line="6" w:lineRule="exact"/>
        <w:rPr>
          <w:sz w:val="20"/>
          <w:szCs w:val="20"/>
          <w:color w:val="auto"/>
        </w:rPr>
      </w:pPr>
    </w:p>
    <w:p>
      <w:pPr>
        <w:ind w:left="160" w:right="200"/>
        <w:spacing w:after="0" w:line="234"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auto"/>
        </w:rPr>
        <w:t>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or in-licensed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40"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spacing w:after="0" w:line="45" w:lineRule="exact"/>
        <w:rPr>
          <w:sz w:val="20"/>
          <w:szCs w:val="20"/>
          <w:color w:val="auto"/>
        </w:rPr>
      </w:pPr>
    </w:p>
    <w:p>
      <w:pPr>
        <w:ind w:left="160" w:right="400"/>
        <w:spacing w:after="0" w:line="258" w:lineRule="auto"/>
        <w:rPr>
          <w:sz w:val="20"/>
          <w:szCs w:val="20"/>
          <w:color w:val="auto"/>
        </w:rPr>
      </w:pPr>
      <w:r>
        <w:rPr>
          <w:rFonts w:ascii="Arial" w:cs="Arial" w:eastAsia="Arial" w:hAnsi="Arial"/>
          <w:sz w:val="17"/>
          <w:szCs w:val="17"/>
          <w:b w:val="1"/>
          <w:bCs w:val="1"/>
          <w:i w:val="1"/>
          <w:iCs w:val="1"/>
          <w:color w:val="auto"/>
        </w:rPr>
        <w:t>We may be subject to claims that we or our employees have wrongfully used or disclosed alleged confidential information or trade secrets.</w:t>
      </w:r>
    </w:p>
    <w:p>
      <w:pPr>
        <w:spacing w:after="0" w:line="1"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biotechnology companies, including our competitors or potential competitors.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or patent applications.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atacicept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spacing w:after="0" w:line="146"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an adverse effect on our ability to raise additional funds or otherwise significantly harm our business, financial condition, results of operations and prospects.</w:t>
      </w:r>
    </w:p>
    <w:p>
      <w:pPr>
        <w:spacing w:after="0" w:line="48" w:lineRule="exact"/>
        <w:rPr>
          <w:sz w:val="20"/>
          <w:szCs w:val="20"/>
          <w:color w:val="auto"/>
        </w:rPr>
      </w:pPr>
    </w:p>
    <w:p>
      <w:pPr>
        <w:ind w:left="160" w:right="80"/>
        <w:spacing w:after="0" w:line="258" w:lineRule="auto"/>
        <w:rPr>
          <w:sz w:val="20"/>
          <w:szCs w:val="20"/>
          <w:color w:val="auto"/>
        </w:rPr>
      </w:pPr>
      <w:r>
        <w:rPr>
          <w:rFonts w:ascii="Arial" w:cs="Arial" w:eastAsia="Arial" w:hAnsi="Arial"/>
          <w:sz w:val="17"/>
          <w:szCs w:val="17"/>
          <w:b w:val="1"/>
          <w:bCs w:val="1"/>
          <w:i w:val="1"/>
          <w:iCs w:val="1"/>
          <w:color w:val="auto"/>
        </w:rPr>
        <w:t>Our rights to develop and commercialize our technology and product candidate may be subject, in part, to the terms and conditions of licenses granted to us by others.</w:t>
      </w:r>
    </w:p>
    <w:p>
      <w:pPr>
        <w:spacing w:after="0" w:line="1" w:lineRule="exact"/>
        <w:rPr>
          <w:sz w:val="20"/>
          <w:szCs w:val="20"/>
          <w:color w:val="auto"/>
        </w:rPr>
      </w:pPr>
    </w:p>
    <w:p>
      <w:pPr>
        <w:ind w:left="160" w:right="80"/>
        <w:spacing w:after="0" w:line="234" w:lineRule="auto"/>
        <w:rPr>
          <w:sz w:val="20"/>
          <w:szCs w:val="20"/>
          <w:color w:val="auto"/>
        </w:rPr>
      </w:pPr>
      <w:r>
        <w:rPr>
          <w:rFonts w:ascii="Arial" w:cs="Arial" w:eastAsia="Arial" w:hAnsi="Arial"/>
          <w:sz w:val="17"/>
          <w:szCs w:val="17"/>
          <w:color w:val="auto"/>
        </w:rPr>
        <w:t>We may enter into license agreements in the future with others to advance our research or allow commercialization of atacicept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060"/>
          </w:cols>
          <w:pgMar w:left="320" w:top="456"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prevent competitors from developing and commercializing competitive products in territories included in our licenses.</w:t>
      </w:r>
    </w:p>
    <w:p>
      <w:pPr>
        <w:spacing w:after="0" w:line="152"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150"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spacing w:after="0" w:line="151" w:lineRule="exact"/>
        <w:rPr>
          <w:sz w:val="20"/>
          <w:szCs w:val="20"/>
          <w:color w:val="auto"/>
        </w:rPr>
      </w:pPr>
    </w:p>
    <w:p>
      <w:pPr>
        <w:jc w:val="both"/>
        <w:ind w:left="160" w:right="20"/>
        <w:spacing w:after="0" w:line="234" w:lineRule="auto"/>
        <w:rPr>
          <w:sz w:val="20"/>
          <w:szCs w:val="20"/>
          <w:color w:val="auto"/>
        </w:rPr>
      </w:pPr>
      <w:r>
        <w:rPr>
          <w:rFonts w:ascii="Arial" w:cs="Arial" w:eastAsia="Arial" w:hAnsi="Arial"/>
          <w:sz w:val="17"/>
          <w:szCs w:val="17"/>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an adverse effect on our competitive position, business, financial condition, results of operations and prospects.</w:t>
      </w:r>
    </w:p>
    <w:p>
      <w:pPr>
        <w:spacing w:after="0" w:line="147"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right="280"/>
        <w:spacing w:after="0" w:line="246" w:lineRule="auto"/>
        <w:rPr>
          <w:sz w:val="20"/>
          <w:szCs w:val="20"/>
          <w:color w:val="auto"/>
        </w:rPr>
      </w:pPr>
      <w:r>
        <w:rPr>
          <w:rFonts w:ascii="Arial" w:cs="Arial" w:eastAsia="Arial" w:hAnsi="Arial"/>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Disputes may arise between us and our past, current or future licensors regarding intellectual property subject to a license agreement, including:</w:t>
      </w:r>
    </w:p>
    <w:p>
      <w:pPr>
        <w:spacing w:after="0" w:line="192" w:lineRule="exact"/>
        <w:rPr>
          <w:sz w:val="20"/>
          <w:szCs w:val="20"/>
          <w:color w:val="auto"/>
        </w:rPr>
      </w:pPr>
    </w:p>
    <w:p>
      <w:pPr>
        <w:ind w:left="1020" w:hanging="425"/>
        <w:spacing w:after="0"/>
        <w:tabs>
          <w:tab w:leader="none" w:pos="102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the scope of rights granted under the license agreement and other interpretation-related issues;</w:t>
      </w:r>
    </w:p>
    <w:p>
      <w:pPr>
        <w:spacing w:after="0" w:line="31" w:lineRule="exact"/>
        <w:rPr>
          <w:rFonts w:ascii="MS PGothic" w:cs="MS PGothic" w:eastAsia="MS PGothic" w:hAnsi="MS PGothic"/>
          <w:sz w:val="12"/>
          <w:szCs w:val="12"/>
          <w:color w:val="auto"/>
        </w:rPr>
      </w:pPr>
    </w:p>
    <w:p>
      <w:pPr>
        <w:ind w:left="1020" w:right="80" w:hanging="425"/>
        <w:spacing w:after="0" w:line="239" w:lineRule="auto"/>
        <w:tabs>
          <w:tab w:leader="none" w:pos="102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whether and the extent to which our technology and processes infringe on intellectual property of the licensor that is not subject to the licensing agreement;</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our right to sublicense patents and other rights to third parties;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our right to transfer or assign the license;</w:t>
      </w:r>
    </w:p>
    <w:p>
      <w:pPr>
        <w:spacing w:after="0" w:line="31" w:lineRule="exact"/>
        <w:rPr>
          <w:rFonts w:ascii="MS PGothic" w:cs="MS PGothic" w:eastAsia="MS PGothic" w:hAnsi="MS PGothic"/>
          <w:sz w:val="12"/>
          <w:szCs w:val="12"/>
          <w:color w:val="auto"/>
        </w:rPr>
      </w:pPr>
    </w:p>
    <w:p>
      <w:pPr>
        <w:ind w:left="1020" w:right="480" w:hanging="425"/>
        <w:spacing w:after="0" w:line="239" w:lineRule="auto"/>
        <w:tabs>
          <w:tab w:leader="none" w:pos="102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5"/>
        </w:numPr>
        <w:rPr>
          <w:rFonts w:ascii="MS PGothic" w:cs="MS PGothic" w:eastAsia="MS PGothic" w:hAnsi="MS PGothic"/>
          <w:sz w:val="12"/>
          <w:szCs w:val="12"/>
          <w:color w:val="auto"/>
        </w:rPr>
      </w:pPr>
      <w:r>
        <w:rPr>
          <w:rFonts w:ascii="Arial" w:cs="Arial" w:eastAsia="Arial" w:hAnsi="Arial"/>
          <w:sz w:val="17"/>
          <w:szCs w:val="17"/>
          <w:color w:val="auto"/>
        </w:rPr>
        <w:t>the priority of invention of patented technology.</w:t>
      </w:r>
    </w:p>
    <w:p>
      <w:pPr>
        <w:spacing w:after="0" w:line="152" w:lineRule="exact"/>
        <w:rPr>
          <w:sz w:val="20"/>
          <w:szCs w:val="20"/>
          <w:color w:val="auto"/>
        </w:rPr>
      </w:pPr>
    </w:p>
    <w:p>
      <w:pPr>
        <w:ind w:left="160" w:right="180"/>
        <w:spacing w:after="0" w:line="232" w:lineRule="auto"/>
        <w:rPr>
          <w:sz w:val="20"/>
          <w:szCs w:val="20"/>
          <w:color w:val="auto"/>
        </w:rPr>
      </w:pPr>
      <w:r>
        <w:rPr>
          <w:rFonts w:ascii="Arial" w:cs="Arial" w:eastAsia="Arial" w:hAnsi="Arial"/>
          <w:sz w:val="17"/>
          <w:szCs w:val="17"/>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spacing w:after="0" w:line="148"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spacing w:after="0" w:line="34" w:lineRule="exact"/>
        <w:rPr>
          <w:sz w:val="20"/>
          <w:szCs w:val="20"/>
          <w:color w:val="auto"/>
        </w:rPr>
      </w:pPr>
    </w:p>
    <w:p>
      <w:pPr>
        <w:ind w:left="160"/>
        <w:spacing w:after="0" w:line="246" w:lineRule="auto"/>
        <w:rPr>
          <w:sz w:val="20"/>
          <w:szCs w:val="20"/>
          <w:color w:val="auto"/>
        </w:rPr>
      </w:pPr>
      <w:r>
        <w:rPr>
          <w:rFonts w:ascii="Arial" w:cs="Arial" w:eastAsia="Arial" w:hAnsi="Arial"/>
          <w:sz w:val="17"/>
          <w:szCs w:val="17"/>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1"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080"/>
          </w:cols>
          <w:pgMar w:left="320" w:top="456"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240"/>
        <w:spacing w:after="0" w:line="229" w:lineRule="auto"/>
        <w:rPr>
          <w:sz w:val="20"/>
          <w:szCs w:val="20"/>
          <w:color w:val="auto"/>
        </w:rPr>
      </w:pPr>
      <w:r>
        <w:rPr>
          <w:rFonts w:ascii="Arial" w:cs="Arial" w:eastAsia="Arial" w:hAnsi="Arial"/>
          <w:sz w:val="17"/>
          <w:szCs w:val="17"/>
          <w:color w:val="auto"/>
        </w:rPr>
        <w:t>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w:t>
      </w:r>
    </w:p>
    <w:p>
      <w:pPr>
        <w:spacing w:after="0" w:line="2" w:lineRule="exact"/>
        <w:rPr>
          <w:sz w:val="20"/>
          <w:szCs w:val="20"/>
          <w:color w:val="auto"/>
        </w:rPr>
      </w:pPr>
    </w:p>
    <w:p>
      <w:pPr>
        <w:ind w:left="160" w:right="180"/>
        <w:spacing w:after="0" w:line="239" w:lineRule="auto"/>
        <w:rPr>
          <w:sz w:val="20"/>
          <w:szCs w:val="20"/>
          <w:color w:val="auto"/>
        </w:rPr>
      </w:pPr>
      <w:r>
        <w:rPr>
          <w:rFonts w:ascii="Arial" w:cs="Arial" w:eastAsia="Arial" w:hAnsi="Arial"/>
          <w:sz w:val="17"/>
          <w:szCs w:val="17"/>
          <w:color w:val="auto"/>
        </w:rPr>
        <w:t>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71" w:lineRule="exact"/>
        <w:rPr>
          <w:sz w:val="20"/>
          <w:szCs w:val="20"/>
          <w:color w:val="auto"/>
        </w:rPr>
      </w:pPr>
    </w:p>
    <w:p>
      <w:pPr>
        <w:ind w:left="160" w:right="20"/>
        <w:spacing w:after="0" w:line="238" w:lineRule="auto"/>
        <w:rPr>
          <w:sz w:val="20"/>
          <w:szCs w:val="20"/>
          <w:color w:val="auto"/>
        </w:rPr>
      </w:pPr>
      <w:r>
        <w:rPr>
          <w:rFonts w:ascii="Arial" w:cs="Arial" w:eastAsia="Arial" w:hAnsi="Arial"/>
          <w:sz w:val="17"/>
          <w:szCs w:val="17"/>
          <w:b w:val="1"/>
          <w:bCs w:val="1"/>
          <w:i w:val="1"/>
          <w:iCs w:val="1"/>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atacicept or future product candidates we may develop and our business, financial condition, results of operations and prospects could be significantly harmed.</w:t>
      </w:r>
    </w:p>
    <w:p>
      <w:pPr>
        <w:spacing w:after="0" w:line="14"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auto"/>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atacicept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Failure to comply and maintain adequate documentation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142"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Further, these investigators and CROs are not our employees and we will not be able to control, other than by contract, the amount of resources, including time, which they devote to atacicept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atacicept,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atacicept. As a result, our results of operations and the commercial prospects for atacicept would be harmed, our costs could increase and our ability to generate revenues could be delayed or precluded entirely, and our business, financial condition, results of operations and prospects could be significantly harmed.</w:t>
      </w:r>
    </w:p>
    <w:p>
      <w:pPr>
        <w:spacing w:after="0" w:line="151" w:lineRule="exact"/>
        <w:rPr>
          <w:sz w:val="20"/>
          <w:szCs w:val="20"/>
          <w:color w:val="auto"/>
        </w:rPr>
      </w:pPr>
    </w:p>
    <w:p>
      <w:pPr>
        <w:ind w:left="160" w:right="120"/>
        <w:spacing w:after="0" w:line="232" w:lineRule="auto"/>
        <w:rPr>
          <w:sz w:val="20"/>
          <w:szCs w:val="20"/>
          <w:color w:val="auto"/>
        </w:rPr>
      </w:pPr>
      <w:r>
        <w:rPr>
          <w:rFonts w:ascii="Arial" w:cs="Arial" w:eastAsia="Arial" w:hAnsi="Arial"/>
          <w:sz w:val="17"/>
          <w:szCs w:val="17"/>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In addition, our CROs could fail to perform, we could terminate their agreements or they could go out of business. If our relationships with our CROs terminate, we may not be able to enter into arrangements with alternative CROs or do so on commercially reasonable terms. Switching or adding CROs involves substantial cost and requires management time and focus, and could delay development and commercialization of atacicept or any future product candidate we may develop. In addition,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060"/>
          </w:cols>
          <w:pgMar w:left="320" w:top="456"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80"/>
        <w:spacing w:after="0" w:line="234" w:lineRule="auto"/>
        <w:rPr>
          <w:sz w:val="20"/>
          <w:szCs w:val="20"/>
          <w:color w:val="auto"/>
        </w:rPr>
      </w:pPr>
      <w:r>
        <w:rPr>
          <w:rFonts w:ascii="Arial" w:cs="Arial" w:eastAsia="Arial" w:hAnsi="Arial"/>
          <w:sz w:val="17"/>
          <w:szCs w:val="17"/>
          <w:color w:val="auto"/>
        </w:rPr>
        <w:t>there is a natural transition period when a new CRO commences work. As a result, delays occur, which can negatively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negative impact on our business and financial condition.</w:t>
      </w:r>
    </w:p>
    <w:p>
      <w:pPr>
        <w:spacing w:after="0" w:line="147" w:lineRule="exact"/>
        <w:rPr>
          <w:sz w:val="20"/>
          <w:szCs w:val="20"/>
          <w:color w:val="auto"/>
        </w:rPr>
      </w:pPr>
    </w:p>
    <w:p>
      <w:pPr>
        <w:ind w:left="160"/>
        <w:spacing w:after="0" w:line="239" w:lineRule="auto"/>
        <w:rPr>
          <w:sz w:val="20"/>
          <w:szCs w:val="20"/>
          <w:color w:val="auto"/>
        </w:rPr>
      </w:pPr>
      <w:r>
        <w:rPr>
          <w:rFonts w:ascii="Arial" w:cs="Arial" w:eastAsia="Arial" w:hAnsi="Arial"/>
          <w:sz w:val="17"/>
          <w:szCs w:val="17"/>
          <w:color w:val="auto"/>
        </w:rPr>
        <w:t>The COVID-19 pandemic and government measures taken in response have also had a significant impact on our CROs, and we expect that they will face further disruption which may affect our ability to initiate and complete our nonclinical studies and clinical trials.</w:t>
      </w:r>
    </w:p>
    <w:p>
      <w:pPr>
        <w:spacing w:after="0" w:line="146"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spacing w:after="0" w:line="45" w:lineRule="exact"/>
        <w:rPr>
          <w:sz w:val="20"/>
          <w:szCs w:val="20"/>
          <w:color w:val="auto"/>
        </w:rPr>
      </w:pPr>
    </w:p>
    <w:p>
      <w:pPr>
        <w:ind w:left="160" w:right="100"/>
        <w:spacing w:after="0" w:line="241" w:lineRule="auto"/>
        <w:rPr>
          <w:sz w:val="20"/>
          <w:szCs w:val="20"/>
          <w:color w:val="auto"/>
        </w:rPr>
      </w:pPr>
      <w:r>
        <w:rPr>
          <w:rFonts w:ascii="Arial" w:cs="Arial" w:eastAsia="Arial" w:hAnsi="Arial"/>
          <w:sz w:val="17"/>
          <w:szCs w:val="17"/>
          <w:b w:val="1"/>
          <w:bCs w:val="1"/>
          <w:i w:val="1"/>
          <w:iCs w:val="1"/>
          <w:color w:val="auto"/>
        </w:rPr>
        <w:t>We contract with third parties for the manufacture of atacicept for our ongoing clinical trials, and expect to continue to do so for additional clinical trials and ultimately for commercialization. This reliance on third parties increases the risk that we will not have sufficient quantities of atacicept or other drugs necessary for the development or commercialization of atacicept or such quantities at an acceptable cost, which could delay, prevent or impair our development or commercialization efforts.</w:t>
      </w:r>
    </w:p>
    <w:p>
      <w:pPr>
        <w:spacing w:after="0" w:line="11" w:lineRule="exact"/>
        <w:rPr>
          <w:sz w:val="20"/>
          <w:szCs w:val="20"/>
          <w:color w:val="auto"/>
        </w:rPr>
      </w:pPr>
    </w:p>
    <w:p>
      <w:pPr>
        <w:ind w:left="160" w:right="80"/>
        <w:spacing w:after="0" w:line="232" w:lineRule="auto"/>
        <w:rPr>
          <w:sz w:val="20"/>
          <w:szCs w:val="20"/>
          <w:color w:val="auto"/>
        </w:rPr>
      </w:pPr>
      <w:r>
        <w:rPr>
          <w:rFonts w:ascii="Arial" w:cs="Arial" w:eastAsia="Arial" w:hAnsi="Arial"/>
          <w:sz w:val="17"/>
          <w:szCs w:val="17"/>
          <w:color w:val="auto"/>
        </w:rPr>
        <w:t>We do not currently have the infrastructure or internal capability to manufacture supplies of atacicept for use in development and commercialization. We rely, and expect to continue to rely, on third-party manufacturers for the production of atacicept for clinical trials under the guidance of members of our organization. We do not have long-term supply agreements for atacicept. Furthermore, the raw materials for atacicept are sourced, in some cases, from a single-source supplier. If we were to experience an unexpected loss of supply of atacicept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atacicept in the future will depend on the severity and duration of the spread of the virus, and the actions undertaken to contain COVID-19 or treat its effects.</w:t>
      </w:r>
    </w:p>
    <w:p>
      <w:pPr>
        <w:spacing w:after="0" w:line="147" w:lineRule="exact"/>
        <w:rPr>
          <w:sz w:val="20"/>
          <w:szCs w:val="20"/>
          <w:color w:val="auto"/>
        </w:rPr>
      </w:pPr>
    </w:p>
    <w:p>
      <w:pPr>
        <w:ind w:left="160" w:right="220"/>
        <w:spacing w:after="0" w:line="236" w:lineRule="auto"/>
        <w:rPr>
          <w:sz w:val="20"/>
          <w:szCs w:val="20"/>
          <w:color w:val="auto"/>
        </w:rPr>
      </w:pPr>
      <w:r>
        <w:rPr>
          <w:rFonts w:ascii="Arial" w:cs="Arial" w:eastAsia="Arial" w:hAnsi="Arial"/>
          <w:sz w:val="17"/>
          <w:szCs w:val="17"/>
          <w:color w:val="auto"/>
        </w:rPr>
        <w:t>We expect to continue to rely on third-party manufacturers for the commercial supply of atacicept,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86" w:lineRule="exact"/>
        <w:rPr>
          <w:sz w:val="20"/>
          <w:szCs w:val="20"/>
          <w:color w:val="auto"/>
        </w:rPr>
      </w:pPr>
    </w:p>
    <w:p>
      <w:pPr>
        <w:jc w:val="both"/>
        <w:ind w:left="1020" w:right="200" w:hanging="425"/>
        <w:spacing w:after="0" w:line="236" w:lineRule="auto"/>
        <w:tabs>
          <w:tab w:leader="none" w:pos="1020" w:val="left"/>
        </w:tabs>
        <w:numPr>
          <w:ilvl w:val="0"/>
          <w:numId w:val="36"/>
        </w:numPr>
        <w:rPr>
          <w:rFonts w:ascii="MS PGothic" w:cs="MS PGothic" w:eastAsia="MS PGothic" w:hAnsi="MS PGothic"/>
          <w:sz w:val="12"/>
          <w:szCs w:val="12"/>
          <w:color w:val="auto"/>
        </w:rPr>
      </w:pPr>
      <w:r>
        <w:rPr>
          <w:rFonts w:ascii="Arial" w:cs="Arial" w:eastAsia="Arial" w:hAnsi="Arial"/>
          <w:sz w:val="17"/>
          <w:szCs w:val="17"/>
          <w:color w:val="auto"/>
        </w:rPr>
        <w:t>the failure of the third party to manufacture atacicept according to our schedule, or at all, including if our third-party contractors give greater priority to the supply of other products over atacicept or otherwise do not satisfactorily perform according to the terms of the agreements between us and them;</w:t>
      </w:r>
    </w:p>
    <w:p>
      <w:pPr>
        <w:spacing w:after="0" w:line="25" w:lineRule="exact"/>
        <w:rPr>
          <w:rFonts w:ascii="MS PGothic" w:cs="MS PGothic" w:eastAsia="MS PGothic" w:hAnsi="MS PGothic"/>
          <w:sz w:val="12"/>
          <w:szCs w:val="12"/>
          <w:color w:val="auto"/>
        </w:rPr>
      </w:pPr>
    </w:p>
    <w:p>
      <w:pPr>
        <w:ind w:left="1020" w:right="660" w:hanging="425"/>
        <w:spacing w:after="0" w:line="239" w:lineRule="auto"/>
        <w:tabs>
          <w:tab w:leader="none" w:pos="1020" w:val="left"/>
        </w:tabs>
        <w:numPr>
          <w:ilvl w:val="0"/>
          <w:numId w:val="36"/>
        </w:numPr>
        <w:rPr>
          <w:rFonts w:ascii="MS PGothic" w:cs="MS PGothic" w:eastAsia="MS PGothic" w:hAnsi="MS PGothic"/>
          <w:sz w:val="12"/>
          <w:szCs w:val="12"/>
          <w:color w:val="auto"/>
        </w:rPr>
      </w:pPr>
      <w:r>
        <w:rPr>
          <w:rFonts w:ascii="Arial" w:cs="Arial" w:eastAsia="Arial" w:hAnsi="Arial"/>
          <w:sz w:val="17"/>
          <w:szCs w:val="17"/>
          <w:color w:val="auto"/>
        </w:rPr>
        <w:t>disruptions resulting from the impact of public health pandemics or epidemics (including, for example, the ongoing COVID-19 pandemic;</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6"/>
        </w:numPr>
        <w:rPr>
          <w:rFonts w:ascii="MS PGothic" w:cs="MS PGothic" w:eastAsia="MS PGothic" w:hAnsi="MS PGothic"/>
          <w:sz w:val="12"/>
          <w:szCs w:val="12"/>
          <w:color w:val="auto"/>
        </w:rPr>
      </w:pPr>
      <w:r>
        <w:rPr>
          <w:rFonts w:ascii="Arial" w:cs="Arial" w:eastAsia="Arial" w:hAnsi="Arial"/>
          <w:sz w:val="17"/>
          <w:szCs w:val="17"/>
          <w:color w:val="auto"/>
        </w:rPr>
        <w:t>the reduction or termination of production or deliveries by suppliers, or the raising of prices or renegotiation of terms;</w:t>
      </w:r>
    </w:p>
    <w:p>
      <w:pPr>
        <w:spacing w:after="0" w:line="31" w:lineRule="exact"/>
        <w:rPr>
          <w:rFonts w:ascii="MS PGothic" w:cs="MS PGothic" w:eastAsia="MS PGothic" w:hAnsi="MS PGothic"/>
          <w:sz w:val="12"/>
          <w:szCs w:val="12"/>
          <w:color w:val="auto"/>
        </w:rPr>
      </w:pPr>
    </w:p>
    <w:p>
      <w:pPr>
        <w:ind w:left="1020" w:right="20" w:hanging="425"/>
        <w:spacing w:after="0" w:line="239" w:lineRule="auto"/>
        <w:tabs>
          <w:tab w:leader="none" w:pos="1020" w:val="left"/>
        </w:tabs>
        <w:numPr>
          <w:ilvl w:val="0"/>
          <w:numId w:val="36"/>
        </w:numPr>
        <w:rPr>
          <w:rFonts w:ascii="MS PGothic" w:cs="MS PGothic" w:eastAsia="MS PGothic" w:hAnsi="MS PGothic"/>
          <w:sz w:val="12"/>
          <w:szCs w:val="12"/>
          <w:color w:val="auto"/>
        </w:rPr>
      </w:pPr>
      <w:r>
        <w:rPr>
          <w:rFonts w:ascii="Arial" w:cs="Arial" w:eastAsia="Arial" w:hAnsi="Arial"/>
          <w:sz w:val="17"/>
          <w:szCs w:val="17"/>
          <w:color w:val="auto"/>
        </w:rPr>
        <w:t>the termination or nonrenewal of arrangements or agreements by our third-party contractors at a time that is costly or inconvenient for us;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6"/>
        </w:numPr>
        <w:rPr>
          <w:rFonts w:ascii="MS PGothic" w:cs="MS PGothic" w:eastAsia="MS PGothic" w:hAnsi="MS PGothic"/>
          <w:sz w:val="12"/>
          <w:szCs w:val="12"/>
          <w:color w:val="auto"/>
        </w:rPr>
      </w:pPr>
      <w:r>
        <w:rPr>
          <w:rFonts w:ascii="Arial" w:cs="Arial" w:eastAsia="Arial" w:hAnsi="Arial"/>
          <w:sz w:val="17"/>
          <w:szCs w:val="17"/>
          <w:color w:val="auto"/>
        </w:rPr>
        <w:t>the breach by the third-party contractors of our agreements with them;</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6"/>
        </w:numPr>
        <w:rPr>
          <w:rFonts w:ascii="MS PGothic" w:cs="MS PGothic" w:eastAsia="MS PGothic" w:hAnsi="MS PGothic"/>
          <w:sz w:val="12"/>
          <w:szCs w:val="12"/>
          <w:color w:val="auto"/>
        </w:rPr>
      </w:pPr>
      <w:r>
        <w:rPr>
          <w:rFonts w:ascii="Arial" w:cs="Arial" w:eastAsia="Arial" w:hAnsi="Arial"/>
          <w:sz w:val="17"/>
          <w:szCs w:val="17"/>
          <w:color w:val="auto"/>
        </w:rPr>
        <w:t>the failure of third-party contractors to comply with applicable regulatory requirements;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6"/>
        </w:numPr>
        <w:rPr>
          <w:rFonts w:ascii="MS PGothic" w:cs="MS PGothic" w:eastAsia="MS PGothic" w:hAnsi="MS PGothic"/>
          <w:sz w:val="12"/>
          <w:szCs w:val="12"/>
          <w:color w:val="auto"/>
        </w:rPr>
      </w:pPr>
      <w:r>
        <w:rPr>
          <w:rFonts w:ascii="Arial" w:cs="Arial" w:eastAsia="Arial" w:hAnsi="Arial"/>
          <w:sz w:val="17"/>
          <w:szCs w:val="17"/>
          <w:color w:val="auto"/>
        </w:rPr>
        <w:t>the failure of the third party to manufacture atacicept according to our specifications;</w:t>
      </w:r>
    </w:p>
    <w:p>
      <w:pPr>
        <w:spacing w:after="0" w:line="31" w:lineRule="exact"/>
        <w:rPr>
          <w:rFonts w:ascii="MS PGothic" w:cs="MS PGothic" w:eastAsia="MS PGothic" w:hAnsi="MS PGothic"/>
          <w:sz w:val="12"/>
          <w:szCs w:val="12"/>
          <w:color w:val="auto"/>
        </w:rPr>
      </w:pPr>
    </w:p>
    <w:p>
      <w:pPr>
        <w:ind w:left="1020" w:right="40" w:hanging="425"/>
        <w:spacing w:after="0" w:line="239" w:lineRule="auto"/>
        <w:tabs>
          <w:tab w:leader="none" w:pos="1020" w:val="left"/>
        </w:tabs>
        <w:numPr>
          <w:ilvl w:val="0"/>
          <w:numId w:val="36"/>
        </w:numPr>
        <w:rPr>
          <w:rFonts w:ascii="MS PGothic" w:cs="MS PGothic" w:eastAsia="MS PGothic" w:hAnsi="MS PGothic"/>
          <w:sz w:val="12"/>
          <w:szCs w:val="12"/>
          <w:color w:val="auto"/>
        </w:rPr>
      </w:pPr>
      <w:r>
        <w:rPr>
          <w:rFonts w:ascii="Arial" w:cs="Arial" w:eastAsia="Arial" w:hAnsi="Arial"/>
          <w:sz w:val="17"/>
          <w:szCs w:val="17"/>
          <w:color w:val="auto"/>
        </w:rPr>
        <w:t>the mislabeling of clinical supplies, potentially resulting in the wrong dose amounts being supplied or active drug or placebo not being properly identified;</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020"/>
          </w:cols>
          <w:pgMar w:left="320" w:top="456" w:right="5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020" w:right="740" w:hanging="425"/>
        <w:spacing w:after="0" w:line="239" w:lineRule="auto"/>
        <w:tabs>
          <w:tab w:leader="none" w:pos="1020" w:val="left"/>
        </w:tabs>
        <w:numPr>
          <w:ilvl w:val="0"/>
          <w:numId w:val="37"/>
        </w:numPr>
        <w:rPr>
          <w:rFonts w:ascii="MS PGothic" w:cs="MS PGothic" w:eastAsia="MS PGothic" w:hAnsi="MS PGothic"/>
          <w:sz w:val="12"/>
          <w:szCs w:val="12"/>
          <w:color w:val="auto"/>
        </w:rPr>
      </w:pPr>
      <w:r>
        <w:rPr>
          <w:rFonts w:ascii="Arial" w:cs="Arial" w:eastAsia="Arial" w:hAnsi="Arial"/>
          <w:sz w:val="17"/>
          <w:szCs w:val="17"/>
          <w:color w:val="auto"/>
        </w:rPr>
        <w:t>clinical supplies not being delivered to clinical sites on time, leading to clinical trial interruptions, or of drug supplies not being distributed to commercial vendors in a timely manner, resulting in lost sales; and</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7"/>
        </w:numPr>
        <w:rPr>
          <w:rFonts w:ascii="MS PGothic" w:cs="MS PGothic" w:eastAsia="MS PGothic" w:hAnsi="MS PGothic"/>
          <w:sz w:val="12"/>
          <w:szCs w:val="12"/>
          <w:color w:val="auto"/>
        </w:rPr>
      </w:pPr>
      <w:r>
        <w:rPr>
          <w:rFonts w:ascii="Arial" w:cs="Arial" w:eastAsia="Arial" w:hAnsi="Arial"/>
          <w:sz w:val="17"/>
          <w:szCs w:val="17"/>
          <w:color w:val="auto"/>
        </w:rPr>
        <w:t>the misappropriation of our proprietary information, including our trade secrets and know-how.</w:t>
      </w:r>
    </w:p>
    <w:p>
      <w:pPr>
        <w:spacing w:after="0" w:line="152"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We do not have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atacicept, or if it withdraws any such approval in the future, we may need to find alternative manufacturing facilities, which would significantly impact our ability to develop, obtain marketing approval for or market atacicept,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atacicept or other drugs necessary for the development or commercialization of atacicept and significantly harm our business, financial condition, results of operations and prospects.</w:t>
      </w:r>
    </w:p>
    <w:p>
      <w:pPr>
        <w:spacing w:after="0" w:line="149" w:lineRule="exact"/>
        <w:rPr>
          <w:sz w:val="20"/>
          <w:szCs w:val="20"/>
          <w:color w:val="auto"/>
        </w:rPr>
      </w:pPr>
    </w:p>
    <w:p>
      <w:pPr>
        <w:ind w:left="160" w:right="120"/>
        <w:spacing w:after="0" w:line="234" w:lineRule="auto"/>
        <w:rPr>
          <w:sz w:val="20"/>
          <w:szCs w:val="20"/>
          <w:color w:val="auto"/>
        </w:rPr>
      </w:pPr>
      <w:r>
        <w:rPr>
          <w:rFonts w:ascii="Arial" w:cs="Arial" w:eastAsia="Arial" w:hAnsi="Arial"/>
          <w:sz w:val="17"/>
          <w:szCs w:val="17"/>
          <w:color w:val="auto"/>
        </w:rPr>
        <w:t>Furthermore, if the third-party providers of therapies or therapies in development used in combination with atacicept are unable to produce sufficient quantities for clinical trials or for commercialization of atacicept, or if the cost of combination therapies are prohibitive, our development and commercialization efforts would be impaired, which would significantly harm our business, financial condition, results of operations and prospects.</w:t>
      </w:r>
    </w:p>
    <w:p>
      <w:pPr>
        <w:spacing w:after="0" w:line="147"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color w:val="auto"/>
        </w:rPr>
        <w:t>Our current and anticipated future dependence upon others for the manufacture of atacicept or other drugs necessary for the development or commercialization of atacicept may adversely affect our future profit margins and our ability to commercialize any product candidates that receive marketing approval on a timely and competitive basis.</w:t>
      </w:r>
    </w:p>
    <w:p>
      <w:pPr>
        <w:spacing w:after="0" w:line="45" w:lineRule="exact"/>
        <w:rPr>
          <w:sz w:val="20"/>
          <w:szCs w:val="20"/>
          <w:color w:val="auto"/>
        </w:rPr>
      </w:pPr>
    </w:p>
    <w:p>
      <w:pPr>
        <w:ind w:left="160" w:right="80"/>
        <w:spacing w:after="0" w:line="246" w:lineRule="auto"/>
        <w:rPr>
          <w:sz w:val="20"/>
          <w:szCs w:val="20"/>
          <w:color w:val="auto"/>
        </w:rPr>
      </w:pPr>
      <w:r>
        <w:rPr>
          <w:rFonts w:ascii="Arial" w:cs="Arial" w:eastAsia="Arial" w:hAnsi="Arial"/>
          <w:sz w:val="17"/>
          <w:szCs w:val="17"/>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atacicept for clinical trials or our product for patients, if approved, could be delayed or prevented.</w:t>
      </w:r>
    </w:p>
    <w:p>
      <w:pPr>
        <w:spacing w:after="0" w:line="7"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060"/>
          </w:cols>
          <w:pgMar w:left="320" w:top="456"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right="20"/>
        <w:spacing w:after="0" w:line="263"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 w:lineRule="exact"/>
        <w:rPr>
          <w:sz w:val="20"/>
          <w:szCs w:val="20"/>
          <w:color w:val="auto"/>
        </w:rPr>
      </w:pPr>
    </w:p>
    <w:p>
      <w:pPr>
        <w:ind w:left="160" w:right="180"/>
        <w:spacing w:after="0" w:line="236" w:lineRule="auto"/>
        <w:rPr>
          <w:sz w:val="20"/>
          <w:szCs w:val="20"/>
          <w:color w:val="auto"/>
        </w:rPr>
      </w:pPr>
      <w:r>
        <w:rPr>
          <w:rFonts w:ascii="Arial" w:cs="Arial" w:eastAsia="Arial" w:hAnsi="Arial"/>
          <w:sz w:val="17"/>
          <w:szCs w:val="17"/>
          <w:color w:val="auto"/>
        </w:rPr>
        <w:t>From time to time, we may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186" w:lineRule="exact"/>
        <w:rPr>
          <w:sz w:val="20"/>
          <w:szCs w:val="20"/>
          <w:color w:val="auto"/>
        </w:rPr>
      </w:pPr>
    </w:p>
    <w:p>
      <w:pPr>
        <w:ind w:left="1020" w:hanging="425"/>
        <w:spacing w:after="0"/>
        <w:tabs>
          <w:tab w:leader="none" w:pos="102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increased operating expenses and cash requirements;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the assumption of contingent liabilities;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the issuance of our equity securities;</w:t>
      </w:r>
    </w:p>
    <w:p>
      <w:pPr>
        <w:spacing w:after="0" w:line="31" w:lineRule="exact"/>
        <w:rPr>
          <w:rFonts w:ascii="MS PGothic" w:cs="MS PGothic" w:eastAsia="MS PGothic" w:hAnsi="MS PGothic"/>
          <w:sz w:val="12"/>
          <w:szCs w:val="12"/>
          <w:color w:val="auto"/>
        </w:rPr>
      </w:pPr>
    </w:p>
    <w:p>
      <w:pPr>
        <w:ind w:left="1020" w:right="120" w:hanging="425"/>
        <w:spacing w:after="0" w:line="239" w:lineRule="auto"/>
        <w:tabs>
          <w:tab w:leader="none" w:pos="102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assimilation of operations, intellectual property and products of an acquired company, including difficulties associated with integrating new personnel;</w:t>
      </w:r>
    </w:p>
    <w:p>
      <w:pPr>
        <w:spacing w:after="0" w:line="25" w:lineRule="exact"/>
        <w:rPr>
          <w:rFonts w:ascii="MS PGothic" w:cs="MS PGothic" w:eastAsia="MS PGothic" w:hAnsi="MS PGothic"/>
          <w:sz w:val="12"/>
          <w:szCs w:val="12"/>
          <w:color w:val="auto"/>
        </w:rPr>
      </w:pPr>
    </w:p>
    <w:p>
      <w:pPr>
        <w:ind w:left="1020" w:right="740" w:hanging="425"/>
        <w:spacing w:after="0" w:line="239" w:lineRule="auto"/>
        <w:tabs>
          <w:tab w:leader="none" w:pos="102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the diversion of our management’s attention from our existing programs and initiatives in pursuing such a strategic merger or acquisition;</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retention of key employees, the loss of key personnel and uncertainties in our ability to maintain key business relationships;</w:t>
      </w:r>
    </w:p>
    <w:p>
      <w:pPr>
        <w:spacing w:after="0" w:line="31" w:lineRule="exact"/>
        <w:rPr>
          <w:rFonts w:ascii="MS PGothic" w:cs="MS PGothic" w:eastAsia="MS PGothic" w:hAnsi="MS PGothic"/>
          <w:sz w:val="12"/>
          <w:szCs w:val="12"/>
          <w:color w:val="auto"/>
        </w:rPr>
      </w:pPr>
    </w:p>
    <w:p>
      <w:pPr>
        <w:ind w:left="1020" w:right="320" w:hanging="425"/>
        <w:spacing w:after="0" w:line="239" w:lineRule="auto"/>
        <w:tabs>
          <w:tab w:leader="none" w:pos="102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risks and uncertainties associated with the other party to such a transaction, including the prospects of that party and their existing products or product candidates and marketing approvals; and</w:t>
      </w:r>
    </w:p>
    <w:p>
      <w:pPr>
        <w:spacing w:after="0" w:line="25" w:lineRule="exact"/>
        <w:rPr>
          <w:rFonts w:ascii="MS PGothic" w:cs="MS PGothic" w:eastAsia="MS PGothic" w:hAnsi="MS PGothic"/>
          <w:sz w:val="12"/>
          <w:szCs w:val="12"/>
          <w:color w:val="auto"/>
        </w:rPr>
      </w:pPr>
    </w:p>
    <w:p>
      <w:pPr>
        <w:ind w:left="1020" w:right="660" w:hanging="425"/>
        <w:spacing w:after="0" w:line="239" w:lineRule="auto"/>
        <w:tabs>
          <w:tab w:leader="none" w:pos="1020" w:val="left"/>
        </w:tabs>
        <w:numPr>
          <w:ilvl w:val="0"/>
          <w:numId w:val="38"/>
        </w:numPr>
        <w:rPr>
          <w:rFonts w:ascii="MS PGothic" w:cs="MS PGothic" w:eastAsia="MS PGothic" w:hAnsi="MS PGothic"/>
          <w:sz w:val="12"/>
          <w:szCs w:val="12"/>
          <w:color w:val="auto"/>
        </w:rPr>
      </w:pPr>
      <w:r>
        <w:rPr>
          <w:rFonts w:ascii="Arial" w:cs="Arial" w:eastAsia="Arial" w:hAnsi="Arial"/>
          <w:sz w:val="17"/>
          <w:szCs w:val="17"/>
          <w:color w:val="auto"/>
        </w:rPr>
        <w:t>our inability to generate revenue from acquired technology and/or products sufficient to meet our objectives in undertaking the acquisition or even to offset the associated acquisition and maintenance costs.</w:t>
      </w:r>
    </w:p>
    <w:p>
      <w:pPr>
        <w:spacing w:after="0" w:line="199" w:lineRule="exact"/>
        <w:rPr>
          <w:sz w:val="20"/>
          <w:szCs w:val="20"/>
          <w:color w:val="auto"/>
        </w:rPr>
      </w:pPr>
    </w:p>
    <w:p>
      <w:pPr>
        <w:ind w:left="160" w:right="60"/>
        <w:spacing w:after="0" w:line="234"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33" w:lineRule="exact"/>
        <w:rPr>
          <w:sz w:val="20"/>
          <w:szCs w:val="20"/>
          <w:color w:val="auto"/>
        </w:rPr>
      </w:pPr>
    </w:p>
    <w:p>
      <w:pPr>
        <w:ind w:left="160" w:right="120"/>
        <w:spacing w:after="0" w:line="263" w:lineRule="auto"/>
        <w:rPr>
          <w:sz w:val="20"/>
          <w:szCs w:val="20"/>
          <w:color w:val="auto"/>
        </w:rPr>
      </w:pPr>
      <w:r>
        <w:rPr>
          <w:rFonts w:ascii="Arial" w:cs="Arial" w:eastAsia="Arial" w:hAnsi="Arial"/>
          <w:sz w:val="17"/>
          <w:szCs w:val="17"/>
          <w:b w:val="1"/>
          <w:bCs w:val="1"/>
          <w:i w:val="1"/>
          <w:iCs w:val="1"/>
          <w:color w:val="auto"/>
        </w:rPr>
        <w:t>We may enter into collaborations with third parties for the development and commercialization of atacicept. If those collaborations are not successful, we may not be able to capitalize on the market potential of atacicept.</w:t>
      </w:r>
    </w:p>
    <w:p>
      <w:pPr>
        <w:spacing w:after="0" w:line="6"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In the future, we may partner with third-party collaborators for the development and commercialization of atacicept. Our likely collaborators for any future collaboration arrangements would likely include large and mid-size pharmaceutical companies, regional and national pharmaceutical companies and biotechnology companies.</w:t>
      </w:r>
    </w:p>
    <w:p>
      <w:pPr>
        <w:spacing w:after="0" w:line="146" w:lineRule="exact"/>
        <w:rPr>
          <w:sz w:val="20"/>
          <w:szCs w:val="20"/>
          <w:color w:val="auto"/>
        </w:rPr>
      </w:pPr>
    </w:p>
    <w:p>
      <w:pPr>
        <w:ind w:left="160" w:right="80"/>
        <w:spacing w:after="0" w:line="234" w:lineRule="auto"/>
        <w:rPr>
          <w:sz w:val="20"/>
          <w:szCs w:val="20"/>
          <w:color w:val="auto"/>
        </w:rPr>
      </w:pPr>
      <w:r>
        <w:rPr>
          <w:rFonts w:ascii="Arial" w:cs="Arial" w:eastAsia="Arial" w:hAnsi="Arial"/>
          <w:sz w:val="17"/>
          <w:szCs w:val="17"/>
          <w:color w:val="auto"/>
        </w:rPr>
        <w:t>We will likely have, limited control over the amount and timing of resources that our collaborators dedicate to the development or commercialization of atacicept. Our ability to generate revenues from these arrangements will depend on our collaborators’ abilities and efforts to successfully perform the functions assigned to them in these arrangements. Collaborations involving atacicept or any future product candidate could pose numerous risks to us, including the following:</w:t>
      </w:r>
    </w:p>
    <w:p>
      <w:pPr>
        <w:spacing w:after="0" w:line="187" w:lineRule="exact"/>
        <w:rPr>
          <w:sz w:val="20"/>
          <w:szCs w:val="20"/>
          <w:color w:val="auto"/>
        </w:rPr>
      </w:pPr>
    </w:p>
    <w:p>
      <w:pPr>
        <w:ind w:left="1020" w:right="200" w:hanging="425"/>
        <w:spacing w:after="0" w:line="239" w:lineRule="auto"/>
        <w:tabs>
          <w:tab w:leader="none" w:pos="1020" w:val="left"/>
        </w:tabs>
        <w:numPr>
          <w:ilvl w:val="0"/>
          <w:numId w:val="39"/>
        </w:numPr>
        <w:rPr>
          <w:rFonts w:ascii="MS PGothic" w:cs="MS PGothic" w:eastAsia="MS PGothic" w:hAnsi="MS PGothic"/>
          <w:sz w:val="12"/>
          <w:szCs w:val="12"/>
          <w:color w:val="auto"/>
        </w:rPr>
      </w:pPr>
      <w:r>
        <w:rPr>
          <w:rFonts w:ascii="Arial" w:cs="Arial" w:eastAsia="Arial" w:hAnsi="Arial"/>
          <w:sz w:val="17"/>
          <w:szCs w:val="17"/>
          <w:color w:val="auto"/>
        </w:rPr>
        <w:t>collaborators have significant discretion in determining the efforts and resources that they will apply to these collaborations and may not perform their obligations as expected;</w:t>
      </w:r>
    </w:p>
    <w:p>
      <w:pPr>
        <w:spacing w:after="0" w:line="25" w:lineRule="exact"/>
        <w:rPr>
          <w:rFonts w:ascii="MS PGothic" w:cs="MS PGothic" w:eastAsia="MS PGothic" w:hAnsi="MS PGothic"/>
          <w:sz w:val="12"/>
          <w:szCs w:val="12"/>
          <w:color w:val="auto"/>
        </w:rPr>
      </w:pPr>
    </w:p>
    <w:p>
      <w:pPr>
        <w:ind w:left="1020" w:right="20" w:hanging="425"/>
        <w:spacing w:after="0" w:line="234" w:lineRule="auto"/>
        <w:tabs>
          <w:tab w:leader="none" w:pos="1020" w:val="left"/>
        </w:tabs>
        <w:numPr>
          <w:ilvl w:val="0"/>
          <w:numId w:val="39"/>
        </w:numPr>
        <w:rPr>
          <w:rFonts w:ascii="MS PGothic" w:cs="MS PGothic" w:eastAsia="MS PGothic" w:hAnsi="MS PGothic"/>
          <w:sz w:val="12"/>
          <w:szCs w:val="12"/>
          <w:color w:val="auto"/>
        </w:rPr>
      </w:pPr>
      <w:r>
        <w:rPr>
          <w:rFonts w:ascii="Arial" w:cs="Arial" w:eastAsia="Arial" w:hAnsi="Arial"/>
          <w:sz w:val="17"/>
          <w:szCs w:val="17"/>
          <w:color w:val="auto"/>
        </w:rPr>
        <w:t>collaborators may deemphasize or not pursue development and commercialization of atacicept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26" w:lineRule="exact"/>
        <w:rPr>
          <w:rFonts w:ascii="MS PGothic" w:cs="MS PGothic" w:eastAsia="MS PGothic" w:hAnsi="MS PGothic"/>
          <w:sz w:val="12"/>
          <w:szCs w:val="12"/>
          <w:color w:val="auto"/>
        </w:rPr>
      </w:pPr>
    </w:p>
    <w:p>
      <w:pPr>
        <w:ind w:left="1020" w:right="200" w:hanging="425"/>
        <w:spacing w:after="0" w:line="239" w:lineRule="auto"/>
        <w:tabs>
          <w:tab w:leader="none" w:pos="1020" w:val="left"/>
        </w:tabs>
        <w:numPr>
          <w:ilvl w:val="0"/>
          <w:numId w:val="39"/>
        </w:numPr>
        <w:rPr>
          <w:rFonts w:ascii="MS PGothic" w:cs="MS PGothic" w:eastAsia="MS PGothic" w:hAnsi="MS PGothic"/>
          <w:sz w:val="12"/>
          <w:szCs w:val="12"/>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5" w:lineRule="exact"/>
        <w:rPr>
          <w:rFonts w:ascii="MS PGothic" w:cs="MS PGothic" w:eastAsia="MS PGothic" w:hAnsi="MS PGothic"/>
          <w:sz w:val="12"/>
          <w:szCs w:val="12"/>
          <w:color w:val="auto"/>
        </w:rPr>
      </w:pPr>
    </w:p>
    <w:p>
      <w:pPr>
        <w:ind w:left="1020" w:hanging="425"/>
        <w:spacing w:after="0" w:line="236" w:lineRule="auto"/>
        <w:tabs>
          <w:tab w:leader="none" w:pos="1020" w:val="left"/>
        </w:tabs>
        <w:numPr>
          <w:ilvl w:val="0"/>
          <w:numId w:val="39"/>
        </w:numPr>
        <w:rPr>
          <w:rFonts w:ascii="MS PGothic" w:cs="MS PGothic" w:eastAsia="MS PGothic" w:hAnsi="MS PGothic"/>
          <w:sz w:val="12"/>
          <w:szCs w:val="12"/>
          <w:color w:val="auto"/>
        </w:rPr>
      </w:pPr>
      <w:r>
        <w:rPr>
          <w:rFonts w:ascii="Arial" w:cs="Arial" w:eastAsia="Arial" w:hAnsi="Arial"/>
          <w:sz w:val="17"/>
          <w:szCs w:val="17"/>
          <w:color w:val="auto"/>
        </w:rPr>
        <w:t>collaborators could independently develop, or develop with third parties, products that compete directly or indirectly with atacicept if the collaborators believe that competitive products are more likely to be successfully developed or can be commercialized under terms that are more economically attractive than ours;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020" w:right="380" w:hanging="425"/>
        <w:spacing w:after="0" w:line="239" w:lineRule="auto"/>
        <w:tabs>
          <w:tab w:leader="none" w:pos="102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a collaborator with marketing and distribution rights to multiple products may not commit sufficient resources to the marketing and distribution of our product relative to other products;</w:t>
      </w:r>
    </w:p>
    <w:p>
      <w:pPr>
        <w:spacing w:after="0" w:line="25" w:lineRule="exact"/>
        <w:rPr>
          <w:rFonts w:ascii="MS PGothic" w:cs="MS PGothic" w:eastAsia="MS PGothic" w:hAnsi="MS PGothic"/>
          <w:sz w:val="12"/>
          <w:szCs w:val="12"/>
          <w:color w:val="auto"/>
        </w:rPr>
      </w:pPr>
    </w:p>
    <w:p>
      <w:pPr>
        <w:ind w:left="1020" w:right="320" w:hanging="425"/>
        <w:spacing w:after="0" w:line="234" w:lineRule="auto"/>
        <w:tabs>
          <w:tab w:leader="none" w:pos="102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26" w:lineRule="exact"/>
        <w:rPr>
          <w:rFonts w:ascii="MS PGothic" w:cs="MS PGothic" w:eastAsia="MS PGothic" w:hAnsi="MS PGothic"/>
          <w:sz w:val="12"/>
          <w:szCs w:val="12"/>
          <w:color w:val="auto"/>
        </w:rPr>
      </w:pPr>
    </w:p>
    <w:p>
      <w:pPr>
        <w:ind w:left="1020" w:right="700" w:hanging="425"/>
        <w:spacing w:after="0" w:line="259" w:lineRule="auto"/>
        <w:tabs>
          <w:tab w:leader="none" w:pos="1020" w:val="left"/>
        </w:tabs>
        <w:numPr>
          <w:ilvl w:val="0"/>
          <w:numId w:val="40"/>
        </w:numPr>
        <w:rPr>
          <w:rFonts w:ascii="MS PGothic" w:cs="MS PGothic" w:eastAsia="MS PGothic" w:hAnsi="MS PGothic"/>
          <w:sz w:val="12"/>
          <w:szCs w:val="12"/>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atacicept or that result in costly litigation or arbitration that diverts management attention and resources;</w:t>
      </w:r>
    </w:p>
    <w:p>
      <w:pPr>
        <w:spacing w:after="0" w:line="17" w:lineRule="exact"/>
        <w:rPr>
          <w:rFonts w:ascii="MS PGothic" w:cs="MS PGothic" w:eastAsia="MS PGothic" w:hAnsi="MS PGothic"/>
          <w:sz w:val="12"/>
          <w:szCs w:val="12"/>
          <w:color w:val="auto"/>
        </w:rPr>
      </w:pPr>
    </w:p>
    <w:p>
      <w:pPr>
        <w:ind w:left="1020" w:right="540" w:hanging="425"/>
        <w:spacing w:after="0" w:line="239" w:lineRule="auto"/>
        <w:tabs>
          <w:tab w:leader="none" w:pos="102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candidates;</w:t>
      </w:r>
    </w:p>
    <w:p>
      <w:pPr>
        <w:spacing w:after="0" w:line="25" w:lineRule="exact"/>
        <w:rPr>
          <w:rFonts w:ascii="MS PGothic" w:cs="MS PGothic" w:eastAsia="MS PGothic" w:hAnsi="MS PGothic"/>
          <w:sz w:val="12"/>
          <w:szCs w:val="12"/>
          <w:color w:val="auto"/>
        </w:rPr>
      </w:pPr>
    </w:p>
    <w:p>
      <w:pPr>
        <w:ind w:left="1020" w:right="160" w:hanging="425"/>
        <w:spacing w:after="0" w:line="239" w:lineRule="auto"/>
        <w:tabs>
          <w:tab w:leader="none" w:pos="102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collaboration agreements may not lead to development or commercialization of product candidates in the most efficient manner or at all; and</w:t>
      </w:r>
    </w:p>
    <w:p>
      <w:pPr>
        <w:spacing w:after="0" w:line="25" w:lineRule="exact"/>
        <w:rPr>
          <w:rFonts w:ascii="MS PGothic" w:cs="MS PGothic" w:eastAsia="MS PGothic" w:hAnsi="MS PGothic"/>
          <w:sz w:val="12"/>
          <w:szCs w:val="12"/>
          <w:color w:val="auto"/>
        </w:rPr>
      </w:pPr>
    </w:p>
    <w:p>
      <w:pPr>
        <w:ind w:left="1020" w:right="140" w:hanging="425"/>
        <w:spacing w:after="0" w:line="239" w:lineRule="auto"/>
        <w:tabs>
          <w:tab w:leader="none" w:pos="1020" w:val="left"/>
        </w:tabs>
        <w:numPr>
          <w:ilvl w:val="0"/>
          <w:numId w:val="40"/>
        </w:numPr>
        <w:rPr>
          <w:rFonts w:ascii="MS PGothic" w:cs="MS PGothic" w:eastAsia="MS PGothic" w:hAnsi="MS PGothic"/>
          <w:sz w:val="12"/>
          <w:szCs w:val="12"/>
          <w:color w:val="auto"/>
        </w:rPr>
      </w:pPr>
      <w:r>
        <w:rPr>
          <w:rFonts w:ascii="Arial" w:cs="Arial" w:eastAsia="Arial" w:hAnsi="Arial"/>
          <w:sz w:val="17"/>
          <w:szCs w:val="17"/>
          <w:color w:val="auto"/>
        </w:rPr>
        <w:t>if a collaborator of ours were to be involved in a business combination, the continued pursuit and emphasis on our drug development or commercialization program could be delayed, diminished or terminated.</w:t>
      </w:r>
    </w:p>
    <w:p>
      <w:pPr>
        <w:spacing w:after="0" w:line="45" w:lineRule="exact"/>
        <w:rPr>
          <w:sz w:val="20"/>
          <w:szCs w:val="20"/>
          <w:color w:val="auto"/>
        </w:rPr>
      </w:pPr>
    </w:p>
    <w:p>
      <w:pPr>
        <w:ind w:left="160" w:right="360"/>
        <w:spacing w:after="0" w:line="258" w:lineRule="auto"/>
        <w:rPr>
          <w:sz w:val="20"/>
          <w:szCs w:val="20"/>
          <w:color w:val="auto"/>
        </w:rPr>
      </w:pPr>
      <w:r>
        <w:rPr>
          <w:rFonts w:ascii="Arial" w:cs="Arial" w:eastAsia="Arial" w:hAnsi="Arial"/>
          <w:sz w:val="17"/>
          <w:szCs w:val="17"/>
          <w:b w:val="1"/>
          <w:bCs w:val="1"/>
          <w:i w:val="1"/>
          <w:iCs w:val="1"/>
          <w:color w:val="auto"/>
        </w:rPr>
        <w:t>If we decide to establish collaborations in the future, but are not able to establish those collaborations on commercially reasonable terms, we may have to alter our development and commercialization plans.</w:t>
      </w:r>
    </w:p>
    <w:p>
      <w:pPr>
        <w:spacing w:after="0" w:line="1" w:lineRule="exact"/>
        <w:rPr>
          <w:sz w:val="20"/>
          <w:szCs w:val="20"/>
          <w:color w:val="auto"/>
        </w:rPr>
      </w:pPr>
    </w:p>
    <w:p>
      <w:pPr>
        <w:ind w:left="160" w:right="260"/>
        <w:spacing w:after="0" w:line="233" w:lineRule="auto"/>
        <w:rPr>
          <w:sz w:val="20"/>
          <w:szCs w:val="20"/>
          <w:color w:val="auto"/>
        </w:rPr>
      </w:pPr>
      <w:r>
        <w:rPr>
          <w:rFonts w:ascii="Arial" w:cs="Arial" w:eastAsia="Arial" w:hAnsi="Arial"/>
          <w:sz w:val="17"/>
          <w:szCs w:val="17"/>
          <w:color w:val="auto"/>
        </w:rPr>
        <w:t>Our drug development programs and the potential commercialization of atacicept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48"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auto"/>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atacicept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46" w:lineRule="exact"/>
        <w:rPr>
          <w:sz w:val="20"/>
          <w:szCs w:val="20"/>
          <w:color w:val="auto"/>
        </w:rPr>
      </w:pPr>
    </w:p>
    <w:p>
      <w:pPr>
        <w:ind w:left="160" w:right="20"/>
        <w:spacing w:after="0" w:line="236" w:lineRule="auto"/>
        <w:rPr>
          <w:sz w:val="20"/>
          <w:szCs w:val="20"/>
          <w:color w:val="auto"/>
        </w:rPr>
      </w:pPr>
      <w:r>
        <w:rPr>
          <w:rFonts w:ascii="Arial" w:cs="Arial" w:eastAsia="Arial" w:hAnsi="Arial"/>
          <w:sz w:val="17"/>
          <w:szCs w:val="17"/>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46"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atacicept or any future product candidates we may develop or bring them to market and generate product revenue.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080"/>
          </w:cols>
          <w:pgMar w:left="320" w:top="456"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71" w:lineRule="exact"/>
        <w:rPr>
          <w:sz w:val="20"/>
          <w:szCs w:val="20"/>
          <w:color w:val="auto"/>
        </w:rPr>
      </w:pPr>
    </w:p>
    <w:p>
      <w:pPr>
        <w:jc w:val="both"/>
        <w:ind w:left="160" w:right="340"/>
        <w:spacing w:after="0" w:line="246" w:lineRule="auto"/>
        <w:rPr>
          <w:sz w:val="20"/>
          <w:szCs w:val="20"/>
          <w:color w:val="auto"/>
        </w:rPr>
      </w:pPr>
      <w:r>
        <w:rPr>
          <w:rFonts w:ascii="Arial" w:cs="Arial" w:eastAsia="Arial" w:hAnsi="Arial"/>
          <w:sz w:val="17"/>
          <w:szCs w:val="17"/>
          <w:b w:val="1"/>
          <w:bCs w:val="1"/>
          <w:i w:val="1"/>
          <w:iCs w:val="1"/>
          <w:color w:val="auto"/>
        </w:rPr>
        <w:t>There has been no prior public market for our Class A common stock. We do not know whether an active, liquid and orderly trading market will develop for our Class A common stock or what the market price of our Class A common stock will be, and as a result, it may be difficult for you to sell your shares of our Class A common stock.</w:t>
      </w:r>
    </w:p>
    <w:p>
      <w:pPr>
        <w:spacing w:after="0" w:line="7"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Prior to this offering, no public market for shares of our Class A common stock existed and an active trading market for our Class A common stock may never develop or be sustained following this offering. We will determine the initial public offering price for our Class A common stock through negotiations with the underwriters, and the negotiated price may not be indicative of the market price of our Class A common stock after this offering. The market value of our Class A common stock may decrease from the initial public offering price. As a result of these and other factors, you may be unable to resell your shares of our Class A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39"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The trading price of our Class A common stock following this offering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47" w:lineRule="exact"/>
        <w:rPr>
          <w:sz w:val="20"/>
          <w:szCs w:val="20"/>
          <w:color w:val="auto"/>
        </w:rPr>
      </w:pPr>
    </w:p>
    <w:p>
      <w:pPr>
        <w:ind w:left="160" w:right="620"/>
        <w:spacing w:after="0" w:line="269" w:lineRule="auto"/>
        <w:rPr>
          <w:sz w:val="20"/>
          <w:szCs w:val="20"/>
          <w:color w:val="auto"/>
        </w:rPr>
      </w:pPr>
      <w:r>
        <w:rPr>
          <w:rFonts w:ascii="Arial" w:cs="Arial" w:eastAsia="Arial" w:hAnsi="Arial"/>
          <w:sz w:val="16"/>
          <w:szCs w:val="16"/>
          <w:color w:val="auto"/>
        </w:rPr>
        <w:t>Broad market and industry factors may negatively affect the market price of our Class A common stock, regardless of our actual operating performance. In addition to the factors discussed in this “Risk Factors” section and elsewhere in this prospectus, these factors include:</w:t>
      </w:r>
    </w:p>
    <w:p>
      <w:pPr>
        <w:spacing w:after="0" w:line="163" w:lineRule="exact"/>
        <w:rPr>
          <w:sz w:val="20"/>
          <w:szCs w:val="20"/>
          <w:color w:val="auto"/>
        </w:rPr>
      </w:pPr>
    </w:p>
    <w:p>
      <w:pPr>
        <w:ind w:left="1020" w:right="320" w:hanging="425"/>
        <w:spacing w:after="0" w:line="239" w:lineRule="auto"/>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developments associated with our license with Ares, an affiliate of Merck KGaA, Darmstadt, Germany, including any termination or other change in our relationship with Ares or Merck KGaA, Darmstadt, Germany;</w:t>
      </w:r>
    </w:p>
    <w:p>
      <w:pPr>
        <w:spacing w:after="0" w:line="25" w:lineRule="exact"/>
        <w:rPr>
          <w:rFonts w:ascii="MS PGothic" w:cs="MS PGothic" w:eastAsia="MS PGothic" w:hAnsi="MS PGothic"/>
          <w:sz w:val="12"/>
          <w:szCs w:val="12"/>
          <w:color w:val="auto"/>
        </w:rPr>
      </w:pPr>
    </w:p>
    <w:p>
      <w:pPr>
        <w:ind w:left="1020" w:right="40" w:hanging="425"/>
        <w:spacing w:after="0" w:line="239" w:lineRule="auto"/>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the timing and results of nonclinical studies and clinical trials of atacicept or any future product candidates we may develop or those of our competitors;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the success of competitive products or announcements by potential competitors of their product development efforts;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regulatory actions with respect to our product candidate or our competitors’ products;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actual or anticipated changes in our growth rate relative to our competitors;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regulatory or legal developments in the United States and other countries;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developments or disputes concerning patent applications, issued patents or other proprietary rights;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the recruitment or departure of key personnel;</w:t>
      </w:r>
    </w:p>
    <w:p>
      <w:pPr>
        <w:spacing w:after="0" w:line="31" w:lineRule="exact"/>
        <w:rPr>
          <w:rFonts w:ascii="MS PGothic" w:cs="MS PGothic" w:eastAsia="MS PGothic" w:hAnsi="MS PGothic"/>
          <w:sz w:val="12"/>
          <w:szCs w:val="12"/>
          <w:color w:val="auto"/>
        </w:rPr>
      </w:pPr>
    </w:p>
    <w:p>
      <w:pPr>
        <w:ind w:left="1020" w:right="280" w:hanging="425"/>
        <w:spacing w:after="0" w:line="239" w:lineRule="auto"/>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announcements by us or our competitors of significant acquisitions, strategic collaborations, joint ventures, collaborations or capital commitments;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the results of our efforts to in-license or acquire additional product candidates or products;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2"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fluctuations in the valuation of companies perceived by investors to be comparable to us;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market conditions in the pharmaceutical and biotechnology sector;</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changes in the structure of healthcare payment systems;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share price and volume fluctuations attributable to inconsistent trading volume levels of our shares;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announcement or expectation of additional financing efforts;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sales of our securities by us, our insiders or our other stockholders;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expiration of market stand-off or lock-up agreements; and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1"/>
        </w:numPr>
        <w:rPr>
          <w:rFonts w:ascii="MS PGothic" w:cs="MS PGothic" w:eastAsia="MS PGothic" w:hAnsi="MS PGothic"/>
          <w:sz w:val="12"/>
          <w:szCs w:val="12"/>
          <w:color w:val="auto"/>
        </w:rPr>
      </w:pPr>
      <w:r>
        <w:rPr>
          <w:rFonts w:ascii="Arial" w:cs="Arial" w:eastAsia="Arial" w:hAnsi="Arial"/>
          <w:sz w:val="17"/>
          <w:szCs w:val="17"/>
          <w:color w:val="auto"/>
        </w:rPr>
        <w:t>general economic, industry and market conditions.</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080"/>
          </w:cols>
          <w:pgMar w:left="320" w:top="45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160" w:right="60"/>
        <w:spacing w:after="0" w:line="234" w:lineRule="auto"/>
        <w:rPr>
          <w:sz w:val="20"/>
          <w:szCs w:val="20"/>
          <w:color w:val="auto"/>
        </w:rPr>
      </w:pPr>
      <w:r>
        <w:rPr>
          <w:rFonts w:ascii="Arial" w:cs="Arial" w:eastAsia="Arial" w:hAnsi="Arial"/>
          <w:sz w:val="17"/>
          <w:szCs w:val="17"/>
          <w:color w:val="auto"/>
        </w:rPr>
        <w:t>In addition, the trading prices for common stock of other biotechnology companies have been highly volatile as a result of factors unrelated to the specific company or its technology, as well as due to the COVID-19 pandemic. The COVID-19 outbreak continues to rapidly evolve. The extent to which the outbreak may impact our business, nonclinical studies and clinical trials will depend on future developments, which are highly uncertain and cannot be predicted with confidence.</w:t>
      </w:r>
    </w:p>
    <w:p>
      <w:pPr>
        <w:spacing w:after="0" w:line="147" w:lineRule="exact"/>
        <w:rPr>
          <w:sz w:val="20"/>
          <w:szCs w:val="20"/>
          <w:color w:val="auto"/>
        </w:rPr>
      </w:pPr>
    </w:p>
    <w:p>
      <w:pPr>
        <w:ind w:left="160"/>
        <w:spacing w:after="0" w:line="239" w:lineRule="auto"/>
        <w:rPr>
          <w:sz w:val="20"/>
          <w:szCs w:val="20"/>
          <w:color w:val="auto"/>
        </w:rPr>
      </w:pPr>
      <w:r>
        <w:rPr>
          <w:rFonts w:ascii="Arial" w:cs="Arial" w:eastAsia="Arial" w:hAnsi="Arial"/>
          <w:sz w:val="17"/>
          <w:szCs w:val="17"/>
          <w:color w:val="auto"/>
        </w:rPr>
        <w:t>The realization of any of the above risks or any of a broad range of other risks, including those described in this “Risk Factors” section, could have a dramatic and adverse impact on the market price of our Class A common stock.</w:t>
      </w:r>
    </w:p>
    <w:p>
      <w:pPr>
        <w:spacing w:after="0" w:line="45" w:lineRule="exact"/>
        <w:rPr>
          <w:sz w:val="20"/>
          <w:szCs w:val="20"/>
          <w:color w:val="auto"/>
        </w:rPr>
      </w:pPr>
    </w:p>
    <w:p>
      <w:pPr>
        <w:ind w:left="160" w:right="160"/>
        <w:spacing w:after="0" w:line="241"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If our remediation of this material weakness is not effective, or if we experience additional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Class A common stock.</w:t>
      </w:r>
    </w:p>
    <w:p>
      <w:pPr>
        <w:spacing w:after="0" w:line="11"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Prior to the completion of this offering, we have been a private company with limited accounting personnel to adequately execute our accounting processes and other supervisory resources with which to address our internal control over financial reporting. In connection with the audit of our financial statements as of and for the years ended December 31, 2019 and 2020, we identified a material weakness in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The material weakness related to a lack of sufficient number of qualified personnel within our accounting function to adequately segregate duties, to perform sufficient reviews and approval of manual journal entries posted to the general ledger and to consistently execute review procedures over general ledger account reconciliations, financial statement preparation and accounting for non-routine transactions.</w:t>
      </w:r>
    </w:p>
    <w:p>
      <w:pPr>
        <w:spacing w:after="0" w:line="147" w:lineRule="exact"/>
        <w:rPr>
          <w:sz w:val="20"/>
          <w:szCs w:val="20"/>
          <w:color w:val="auto"/>
        </w:rPr>
      </w:pPr>
    </w:p>
    <w:p>
      <w:pPr>
        <w:ind w:left="160" w:right="240"/>
        <w:spacing w:after="0" w:line="239" w:lineRule="auto"/>
        <w:rPr>
          <w:sz w:val="20"/>
          <w:szCs w:val="20"/>
          <w:color w:val="auto"/>
        </w:rPr>
      </w:pPr>
      <w:r>
        <w:rPr>
          <w:rFonts w:ascii="Arial" w:cs="Arial" w:eastAsia="Arial" w:hAnsi="Arial"/>
          <w:sz w:val="17"/>
          <w:szCs w:val="17"/>
          <w:color w:val="auto"/>
        </w:rPr>
        <w:t>We are implementing measures designed to improve our internal control over financial reporting to remediate this material weakness, including the following:</w:t>
      </w:r>
    </w:p>
    <w:p>
      <w:pPr>
        <w:spacing w:after="0" w:line="186" w:lineRule="exact"/>
        <w:rPr>
          <w:sz w:val="20"/>
          <w:szCs w:val="20"/>
          <w:color w:val="auto"/>
        </w:rPr>
      </w:pPr>
    </w:p>
    <w:p>
      <w:pPr>
        <w:ind w:left="1020" w:hanging="425"/>
        <w:spacing w:after="0"/>
        <w:tabs>
          <w:tab w:leader="none" w:pos="1020" w:val="left"/>
        </w:tabs>
        <w:numPr>
          <w:ilvl w:val="0"/>
          <w:numId w:val="42"/>
        </w:numPr>
        <w:rPr>
          <w:rFonts w:ascii="MS PGothic" w:cs="MS PGothic" w:eastAsia="MS PGothic" w:hAnsi="MS PGothic"/>
          <w:sz w:val="12"/>
          <w:szCs w:val="12"/>
          <w:color w:val="auto"/>
        </w:rPr>
      </w:pPr>
      <w:r>
        <w:rPr>
          <w:rFonts w:ascii="Arial" w:cs="Arial" w:eastAsia="Arial" w:hAnsi="Arial"/>
          <w:sz w:val="17"/>
          <w:szCs w:val="17"/>
          <w:color w:val="auto"/>
        </w:rPr>
        <w:t>We are formalizing our internal control documentation and strengthening supervisory reviews by our management; and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2"/>
        </w:numPr>
        <w:rPr>
          <w:rFonts w:ascii="MS PGothic" w:cs="MS PGothic" w:eastAsia="MS PGothic" w:hAnsi="MS PGothic"/>
          <w:sz w:val="12"/>
          <w:szCs w:val="12"/>
          <w:color w:val="auto"/>
        </w:rPr>
      </w:pPr>
      <w:r>
        <w:rPr>
          <w:rFonts w:ascii="Arial" w:cs="Arial" w:eastAsia="Arial" w:hAnsi="Arial"/>
          <w:sz w:val="17"/>
          <w:szCs w:val="17"/>
          <w:color w:val="auto"/>
        </w:rPr>
        <w:t>We are in the process of adding additional accounting personnel and segregating duties amongst accounting personnel.</w:t>
      </w:r>
    </w:p>
    <w:p>
      <w:pPr>
        <w:spacing w:after="0" w:line="206"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We cannot assure you that the measures we have taken to date, and are continuing to implement, will be sufficient to remediate the material weakness we have identified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47" w:lineRule="exact"/>
        <w:rPr>
          <w:sz w:val="20"/>
          <w:szCs w:val="20"/>
          <w:color w:val="auto"/>
        </w:rPr>
      </w:pPr>
    </w:p>
    <w:p>
      <w:pPr>
        <w:ind w:left="160" w:right="200"/>
        <w:spacing w:after="0" w:line="232"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controls. Section 404 of the Sarbanes-Oxley Act requires that we evaluate and determine the effectiveness of our internal control over financial reporting and, beginning with our fifth annual report following this offering, which will be our year ending December 31, 2024, provide a management report on internal control over financial reporting. The Sarbanes-Oxley Act also requires that our management report on internal control over financial reporting be attested to by our independent registered public accounting firm, to the extent we are no longer an “emerging growth company,” as defined in the Jumpstart Our Business Startups Act of 2012 (JOBS Act). We do not expect our independent registered public accounting firm to attest to our management report on internal control over financial reporting for so long as we are an emerging growth company.</w:t>
      </w:r>
    </w:p>
    <w:p>
      <w:pPr>
        <w:spacing w:after="0" w:line="147" w:lineRule="exact"/>
        <w:rPr>
          <w:sz w:val="20"/>
          <w:szCs w:val="20"/>
          <w:color w:val="auto"/>
        </w:rPr>
      </w:pPr>
    </w:p>
    <w:p>
      <w:pPr>
        <w:ind w:left="160" w:right="200"/>
        <w:spacing w:after="0" w:line="233" w:lineRule="auto"/>
        <w:rPr>
          <w:sz w:val="20"/>
          <w:szCs w:val="20"/>
          <w:color w:val="auto"/>
        </w:rPr>
      </w:pPr>
      <w:r>
        <w:rPr>
          <w:rFonts w:ascii="Arial" w:cs="Arial" w:eastAsia="Arial" w:hAnsi="Arial"/>
          <w:sz w:val="17"/>
          <w:szCs w:val="17"/>
          <w:color w:val="auto"/>
        </w:rPr>
        <w:t>We are in the process of designing and implementing the internal control over financial reporting required to comply with this obligation, which process will be time consuming, costly and complicated. If we identify any additional material weaknesses in our internal control over financial reporting, if we are unable to comply with the requirements of Section 404 in a timely manner,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0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160" w:right="160"/>
        <w:spacing w:after="0" w:line="236" w:lineRule="auto"/>
        <w:rPr>
          <w:sz w:val="20"/>
          <w:szCs w:val="20"/>
          <w:color w:val="auto"/>
        </w:rPr>
      </w:pPr>
      <w:r>
        <w:rPr>
          <w:rFonts w:ascii="Arial" w:cs="Arial" w:eastAsia="Arial" w:hAnsi="Arial"/>
          <w:sz w:val="17"/>
          <w:szCs w:val="17"/>
          <w:color w:val="auto"/>
        </w:rPr>
        <w:t>the accuracy and completeness of our financial reports and the market price of our Class A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45" w:lineRule="exact"/>
        <w:rPr>
          <w:sz w:val="20"/>
          <w:szCs w:val="20"/>
          <w:color w:val="auto"/>
        </w:rPr>
      </w:pPr>
    </w:p>
    <w:p>
      <w:pPr>
        <w:ind w:left="160" w:right="120"/>
        <w:spacing w:after="0" w:line="258" w:lineRule="auto"/>
        <w:rPr>
          <w:sz w:val="20"/>
          <w:szCs w:val="20"/>
          <w:color w:val="auto"/>
        </w:rPr>
      </w:pPr>
      <w:r>
        <w:rPr>
          <w:rFonts w:ascii="Arial" w:cs="Arial" w:eastAsia="Arial" w:hAnsi="Arial"/>
          <w:sz w:val="17"/>
          <w:szCs w:val="17"/>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 w:lineRule="exact"/>
        <w:rPr>
          <w:sz w:val="20"/>
          <w:szCs w:val="20"/>
          <w:color w:val="auto"/>
        </w:rPr>
      </w:pPr>
    </w:p>
    <w:p>
      <w:pPr>
        <w:ind w:left="160" w:right="400"/>
        <w:spacing w:after="0" w:line="239" w:lineRule="auto"/>
        <w:rPr>
          <w:sz w:val="20"/>
          <w:szCs w:val="20"/>
          <w:color w:val="auto"/>
        </w:rPr>
      </w:pPr>
      <w:r>
        <w:rPr>
          <w:rFonts w:ascii="Arial" w:cs="Arial" w:eastAsia="Arial" w:hAnsi="Arial"/>
          <w:sz w:val="17"/>
          <w:szCs w:val="17"/>
          <w:color w:val="auto"/>
        </w:rPr>
        <w:t>We expect our operating results to be subject to quarterly fluctuations. Our net loss and other operating results will be affected by numerous factors, including:</w:t>
      </w:r>
    </w:p>
    <w:p>
      <w:pPr>
        <w:spacing w:after="0" w:line="186" w:lineRule="exact"/>
        <w:rPr>
          <w:sz w:val="20"/>
          <w:szCs w:val="20"/>
          <w:color w:val="auto"/>
        </w:rPr>
      </w:pPr>
    </w:p>
    <w:p>
      <w:pPr>
        <w:ind w:left="1020" w:hanging="425"/>
        <w:spacing w:after="0"/>
        <w:tabs>
          <w:tab w:leader="none" w:pos="102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timing and variations in the level of expense related to the ongoing development of atacicept or future development programs;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timing and status of enrollment for our clinical trials;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impacts from the COVID-19 pandemic on us or third parties with which we engage;</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results of clinical trials, or the addition or termination of clinical trials or funding support by us or potential future partners;</w:t>
      </w:r>
    </w:p>
    <w:p>
      <w:pPr>
        <w:spacing w:after="0" w:line="31" w:lineRule="exact"/>
        <w:rPr>
          <w:rFonts w:ascii="MS PGothic" w:cs="MS PGothic" w:eastAsia="MS PGothic" w:hAnsi="MS PGothic"/>
          <w:sz w:val="12"/>
          <w:szCs w:val="12"/>
          <w:color w:val="auto"/>
        </w:rPr>
      </w:pPr>
    </w:p>
    <w:p>
      <w:pPr>
        <w:ind w:left="1020" w:right="400" w:hanging="425"/>
        <w:spacing w:after="0" w:line="239" w:lineRule="auto"/>
        <w:tabs>
          <w:tab w:leader="none" w:pos="102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25" w:lineRule="exact"/>
        <w:rPr>
          <w:rFonts w:ascii="MS PGothic" w:cs="MS PGothic" w:eastAsia="MS PGothic" w:hAnsi="MS PGothic"/>
          <w:sz w:val="12"/>
          <w:szCs w:val="12"/>
          <w:color w:val="auto"/>
        </w:rPr>
      </w:pPr>
    </w:p>
    <w:p>
      <w:pPr>
        <w:ind w:left="1020" w:right="240" w:hanging="425"/>
        <w:spacing w:after="0" w:line="239" w:lineRule="auto"/>
        <w:tabs>
          <w:tab w:leader="none" w:pos="102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any intellectual property infringement, misappropriation or violation lawsuit or opposition, interference or cancellation proceeding in which we may become involved;</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additions and departures of key personnel;</w:t>
      </w:r>
    </w:p>
    <w:p>
      <w:pPr>
        <w:spacing w:after="0" w:line="31" w:lineRule="exact"/>
        <w:rPr>
          <w:rFonts w:ascii="MS PGothic" w:cs="MS PGothic" w:eastAsia="MS PGothic" w:hAnsi="MS PGothic"/>
          <w:sz w:val="12"/>
          <w:szCs w:val="12"/>
          <w:color w:val="auto"/>
        </w:rPr>
      </w:pPr>
    </w:p>
    <w:p>
      <w:pPr>
        <w:ind w:left="1020" w:right="460" w:hanging="425"/>
        <w:spacing w:after="0" w:line="239" w:lineRule="auto"/>
        <w:tabs>
          <w:tab w:leader="none" w:pos="102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strategic decisions by us or our competitors, such as acquisitions, divestitures, spin-offs, joint ventures, strategic investments or changes in business strategy;</w:t>
      </w:r>
    </w:p>
    <w:p>
      <w:pPr>
        <w:spacing w:after="0" w:line="105" w:lineRule="exact"/>
        <w:rPr>
          <w:rFonts w:ascii="MS PGothic" w:cs="MS PGothic" w:eastAsia="MS PGothic" w:hAnsi="MS PGothic"/>
          <w:sz w:val="12"/>
          <w:szCs w:val="12"/>
          <w:color w:val="auto"/>
        </w:rPr>
      </w:pPr>
    </w:p>
    <w:p>
      <w:pPr>
        <w:ind w:left="1020" w:right="200" w:hanging="425"/>
        <w:spacing w:after="0" w:line="239" w:lineRule="auto"/>
        <w:tabs>
          <w:tab w:leader="none" w:pos="102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if atacicept or any future product candidate we may develop receive regulatory approval, the timing and terms of such approval and market acceptance and demand for such product candidates;</w:t>
      </w:r>
    </w:p>
    <w:p>
      <w:pPr>
        <w:spacing w:after="0" w:line="25" w:lineRule="exact"/>
        <w:rPr>
          <w:rFonts w:ascii="MS PGothic" w:cs="MS PGothic" w:eastAsia="MS PGothic" w:hAnsi="MS PGothic"/>
          <w:sz w:val="12"/>
          <w:szCs w:val="12"/>
          <w:color w:val="auto"/>
        </w:rPr>
      </w:pPr>
    </w:p>
    <w:p>
      <w:pPr>
        <w:ind w:left="1020" w:right="340" w:hanging="425"/>
        <w:spacing w:after="0" w:line="239" w:lineRule="auto"/>
        <w:tabs>
          <w:tab w:leader="none" w:pos="102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regulatory developments affecting atacicept or any future product candidate we may develop or those of our competitors; and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3"/>
        </w:numPr>
        <w:rPr>
          <w:rFonts w:ascii="MS PGothic" w:cs="MS PGothic" w:eastAsia="MS PGothic" w:hAnsi="MS PGothic"/>
          <w:sz w:val="12"/>
          <w:szCs w:val="12"/>
          <w:color w:val="auto"/>
        </w:rPr>
      </w:pPr>
      <w:r>
        <w:rPr>
          <w:rFonts w:ascii="Arial" w:cs="Arial" w:eastAsia="Arial" w:hAnsi="Arial"/>
          <w:sz w:val="17"/>
          <w:szCs w:val="17"/>
          <w:color w:val="auto"/>
        </w:rPr>
        <w:t>changes in general market and economic conditions.</w:t>
      </w:r>
    </w:p>
    <w:p>
      <w:pPr>
        <w:spacing w:after="0" w:line="152" w:lineRule="exact"/>
        <w:rPr>
          <w:sz w:val="20"/>
          <w:szCs w:val="20"/>
          <w:color w:val="auto"/>
        </w:rPr>
      </w:pPr>
    </w:p>
    <w:p>
      <w:pPr>
        <w:ind w:left="160" w:right="180"/>
        <w:spacing w:after="0" w:line="234" w:lineRule="auto"/>
        <w:rPr>
          <w:sz w:val="20"/>
          <w:szCs w:val="20"/>
          <w:color w:val="auto"/>
        </w:rPr>
      </w:pPr>
      <w:r>
        <w:rPr>
          <w:rFonts w:ascii="Arial" w:cs="Arial" w:eastAsia="Arial" w:hAnsi="Arial"/>
          <w:sz w:val="17"/>
          <w:szCs w:val="17"/>
          <w:color w:val="auto"/>
        </w:rPr>
        <w:t>If our quarterly operating results fall below the expectations of investors or securities analysts, the price of our Class A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47" w:lineRule="exact"/>
        <w:rPr>
          <w:sz w:val="20"/>
          <w:szCs w:val="20"/>
          <w:color w:val="auto"/>
        </w:rPr>
      </w:pPr>
    </w:p>
    <w:p>
      <w:pPr>
        <w:ind w:left="160"/>
        <w:spacing w:after="0" w:line="258"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1"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Prior to this offering, our executive officers, directors, holders of 5% or more of our capital stock and their respective affiliates beneficially owned approximately 89.8% of our voting stock and, upon the closing of this offering, that same group will beneficially own a significant percentage of our outstanding voting stock. Therefore, even after this offering these stockholders will be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shares, and might affect the prevailing market price for our Class A common stock.</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020"/>
          </w:cols>
          <w:pgMar w:left="320" w:top="456" w:right="5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right="580"/>
        <w:spacing w:after="0" w:line="263" w:lineRule="auto"/>
        <w:rPr>
          <w:sz w:val="20"/>
          <w:szCs w:val="20"/>
          <w:color w:val="auto"/>
        </w:rPr>
      </w:pPr>
      <w:r>
        <w:rPr>
          <w:rFonts w:ascii="Arial" w:cs="Arial" w:eastAsia="Arial" w:hAnsi="Arial"/>
          <w:sz w:val="17"/>
          <w:szCs w:val="17"/>
          <w:b w:val="1"/>
          <w:bCs w:val="1"/>
          <w:i w:val="1"/>
          <w:iCs w:val="1"/>
          <w:color w:val="auto"/>
        </w:rPr>
        <w:t>If you purchase shares of our Class A common stock in our initial public offering, you will experience substantial and immediate dilution.</w:t>
      </w:r>
    </w:p>
    <w:p>
      <w:pPr>
        <w:spacing w:after="0" w:line="6"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The initial public offering price is substantially higher than the net tangible book value per share of our outstanding Class A common stock immediately following the closing of this offering. Based on the assumed initial public offering price of $15.00 per share, which is the midpoint of the price range set forth on the cover page of this prospectus, if you purchase shares of our Class A common stock in this offering, you will experience substantial and immediate dilution in the pro forma as adjusted net tangible book value per share of $9.58 per share as of December 31, 2020. That is because the price that you pay will be substantially greater than the pro forma net tangible book value per share of the Class A common stock that you acquire. This dilution is due in large part to the fact that our earlier investors paid substantially less than the initial public offering price when they purchased their shares of our capital stock. You will experience additional dilution when those holding stock options or warrants exercise their right to purchase Class A common stock under our equity incentive plans or when we otherwise issue additional shares of Class A common stock. See the section titled “Dilution.”</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Sales of a substantial number of shares of our Class A common stock in the public market could cause our stock price to fall.</w:t>
      </w:r>
    </w:p>
    <w:p>
      <w:pPr>
        <w:spacing w:after="0" w:line="52" w:lineRule="exact"/>
        <w:rPr>
          <w:sz w:val="20"/>
          <w:szCs w:val="20"/>
          <w:color w:val="auto"/>
        </w:rPr>
      </w:pPr>
    </w:p>
    <w:p>
      <w:pPr>
        <w:ind w:left="160" w:right="100"/>
        <w:spacing w:after="0" w:line="236" w:lineRule="auto"/>
        <w:rPr>
          <w:sz w:val="20"/>
          <w:szCs w:val="20"/>
          <w:color w:val="auto"/>
        </w:rPr>
      </w:pPr>
      <w:r>
        <w:rPr>
          <w:rFonts w:ascii="Arial" w:cs="Arial" w:eastAsia="Arial" w:hAnsi="Arial"/>
          <w:sz w:val="17"/>
          <w:szCs w:val="17"/>
          <w:color w:val="auto"/>
        </w:rPr>
        <w:t>Our Class A common stock price could decline as a result of sales of a large number of shares of Class A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spacing w:after="0" w:line="146"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Upon the closing of this offering, 20,479,310 shares of Class A common stock (including (i) 15,774,014 shares of Class A common stock issuable upon the conversion of all outstanding shares of our redeemable convertible preferred stock as of December 31, 2020 and (ii) 41,363 shares of unvested restricted Class A common stock subject to repurchase as of such date) and no shares of Class B common stock (together with Class A common stock, referred to herein as common stock) will be outstanding (21,131,810 shares if the underwriters exercise their option to purchase additional shares of Class A common stock from us in full), based on the number of shares of Class A common stock outstanding as of December 31, 2020.</w:t>
      </w:r>
    </w:p>
    <w:p>
      <w:pPr>
        <w:spacing w:after="0" w:line="145" w:lineRule="exact"/>
        <w:rPr>
          <w:sz w:val="20"/>
          <w:szCs w:val="20"/>
          <w:color w:val="auto"/>
        </w:rPr>
      </w:pPr>
    </w:p>
    <w:p>
      <w:pPr>
        <w:ind w:left="160" w:right="60"/>
        <w:spacing w:after="0" w:line="231" w:lineRule="auto"/>
        <w:rPr>
          <w:sz w:val="20"/>
          <w:szCs w:val="20"/>
          <w:color w:val="auto"/>
        </w:rPr>
      </w:pPr>
      <w:r>
        <w:rPr>
          <w:rFonts w:ascii="Arial" w:cs="Arial" w:eastAsia="Arial" w:hAnsi="Arial"/>
          <w:sz w:val="17"/>
          <w:szCs w:val="17"/>
          <w:color w:val="auto"/>
        </w:rPr>
        <w:t>All shares of Class A common stock expected to be sold in this offering will be freely tradable without restriction or further registration under the Securities Act of 1933, as amended (Securities Act), unless held by our “affiliates” as defined in Rule 144 under the Securities Act. The resale of the remaining 16,129,310 shares of Class A common stock and no shares of Class B common stock, or 78.8% and 0% of all of our outstanding shares of common stock, respectively, following this offering, is currently prohibited or otherwise restricted as a result of securities law provisions, market standoff agreements entered into by certain of our stockholders with us or lock-up agreements entered into by our stockholders with the underwriters in connection with this offering. However, subject to applicable securities law restrictions, these shares will be able to be sold in the public market beginning 181 days after the date of this prospectus. The representatives of the underwriters may release some or all of the shares of common stock subject to lock-up agreements at any time in their sole discretion and without notice, which would allow for earlier sales of shares in the public market.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the section titled “Shares Eligible for Future Sale” herein.</w:t>
      </w:r>
    </w:p>
    <w:p>
      <w:pPr>
        <w:spacing w:after="0" w:line="150"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Upon the closing of this offering, the holders of approximately 15,774,014 shares of Class A common stock and Class B common stock, or 77.0% of our outstanding shares of common stock following this offering, assuming no exercise of the underwriters’ option to purchase additional shares, will have rights, subject to certain conditions, to require us to file registration statements covering the sale of their shares or to include their shares in registration statements that we may file for ourselves or our other stockholders. We also intend to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 and the lock-up agreements described under the section titled “Underwriters” herein.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080"/>
          </w:cols>
          <w:pgMar w:left="320" w:top="45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45" w:lineRule="exact"/>
        <w:rPr>
          <w:sz w:val="20"/>
          <w:szCs w:val="20"/>
          <w:color w:val="auto"/>
        </w:rPr>
      </w:pPr>
    </w:p>
    <w:p>
      <w:pPr>
        <w:ind w:left="160" w:right="220"/>
        <w:spacing w:after="0" w:line="258" w:lineRule="auto"/>
        <w:rPr>
          <w:sz w:val="20"/>
          <w:szCs w:val="20"/>
          <w:color w:val="auto"/>
        </w:rPr>
      </w:pPr>
      <w:r>
        <w:rPr>
          <w:rFonts w:ascii="Arial" w:cs="Arial" w:eastAsia="Arial" w:hAnsi="Arial"/>
          <w:sz w:val="17"/>
          <w:szCs w:val="17"/>
          <w:b w:val="1"/>
          <w:bCs w:val="1"/>
          <w:i w:val="1"/>
          <w:iCs w:val="1"/>
          <w:color w:val="auto"/>
        </w:rPr>
        <w:t>Raising additional capital may cause dilution to our existing stockholders, restrict our operations or require us to relinquish rights to atacicept or future product candidates we may develop on unfavorable terms to us.</w:t>
      </w:r>
    </w:p>
    <w:p>
      <w:pPr>
        <w:spacing w:after="0" w:line="1" w:lineRule="exact"/>
        <w:rPr>
          <w:sz w:val="20"/>
          <w:szCs w:val="20"/>
          <w:color w:val="auto"/>
        </w:rPr>
      </w:pPr>
    </w:p>
    <w:p>
      <w:pPr>
        <w:ind w:left="160" w:right="160"/>
        <w:spacing w:after="0" w:line="247" w:lineRule="auto"/>
        <w:rPr>
          <w:sz w:val="20"/>
          <w:szCs w:val="20"/>
          <w:color w:val="auto"/>
        </w:rPr>
      </w:pPr>
      <w:r>
        <w:rPr>
          <w:rFonts w:ascii="Arial" w:cs="Arial" w:eastAsia="Arial" w:hAnsi="Arial"/>
          <w:sz w:val="16"/>
          <w:szCs w:val="16"/>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atacicept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43" w:lineRule="exact"/>
        <w:rPr>
          <w:sz w:val="20"/>
          <w:szCs w:val="20"/>
          <w:color w:val="auto"/>
        </w:rPr>
      </w:pPr>
    </w:p>
    <w:p>
      <w:pPr>
        <w:ind w:left="160" w:right="300"/>
        <w:spacing w:after="0" w:line="246"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Class A common stock less attractive to investors.</w:t>
      </w:r>
    </w:p>
    <w:p>
      <w:pPr>
        <w:spacing w:after="0" w:line="7" w:lineRule="exact"/>
        <w:rPr>
          <w:sz w:val="20"/>
          <w:szCs w:val="20"/>
          <w:color w:val="auto"/>
        </w:rPr>
      </w:pPr>
    </w:p>
    <w:p>
      <w:pPr>
        <w:ind w:left="160" w:right="60"/>
        <w:spacing w:after="0" w:line="236"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86" w:lineRule="exact"/>
        <w:rPr>
          <w:sz w:val="20"/>
          <w:szCs w:val="20"/>
          <w:color w:val="auto"/>
        </w:rPr>
      </w:pPr>
    </w:p>
    <w:p>
      <w:pPr>
        <w:ind w:left="1020" w:right="120" w:hanging="425"/>
        <w:spacing w:after="0" w:line="236" w:lineRule="auto"/>
        <w:tabs>
          <w:tab w:leader="none" w:pos="102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25" w:lineRule="exact"/>
        <w:rPr>
          <w:rFonts w:ascii="MS PGothic" w:cs="MS PGothic" w:eastAsia="MS PGothic" w:hAnsi="MS PGothic"/>
          <w:sz w:val="12"/>
          <w:szCs w:val="12"/>
          <w:color w:val="auto"/>
        </w:rPr>
      </w:pPr>
    </w:p>
    <w:p>
      <w:pPr>
        <w:ind w:left="1020" w:right="220" w:hanging="425"/>
        <w:spacing w:after="0" w:line="239" w:lineRule="auto"/>
        <w:tabs>
          <w:tab w:leader="none" w:pos="102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not being required to comply with the auditor attestation requirements of Section 404 of the Sarbanes-Oxley Act of 2002 (Sarbanes-Oxley Act);</w:t>
      </w:r>
    </w:p>
    <w:p>
      <w:pPr>
        <w:spacing w:after="0" w:line="25" w:lineRule="exact"/>
        <w:rPr>
          <w:rFonts w:ascii="MS PGothic" w:cs="MS PGothic" w:eastAsia="MS PGothic" w:hAnsi="MS PGothic"/>
          <w:sz w:val="12"/>
          <w:szCs w:val="12"/>
          <w:color w:val="auto"/>
        </w:rPr>
      </w:pPr>
    </w:p>
    <w:p>
      <w:pPr>
        <w:ind w:left="1020" w:hanging="425"/>
        <w:spacing w:after="0" w:line="236" w:lineRule="auto"/>
        <w:tabs>
          <w:tab w:leader="none" w:pos="102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5" w:lineRule="exact"/>
        <w:rPr>
          <w:rFonts w:ascii="MS PGothic" w:cs="MS PGothic" w:eastAsia="MS PGothic" w:hAnsi="MS PGothic"/>
          <w:sz w:val="12"/>
          <w:szCs w:val="12"/>
          <w:color w:val="auto"/>
        </w:rPr>
      </w:pPr>
    </w:p>
    <w:p>
      <w:pPr>
        <w:ind w:left="1020" w:right="240" w:hanging="425"/>
        <w:spacing w:after="0" w:line="239" w:lineRule="auto"/>
        <w:tabs>
          <w:tab w:leader="none" w:pos="102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reduced disclosure obligations regarding executive compensation in this prospectus and our periodic reports and proxy statements; and</w:t>
      </w:r>
    </w:p>
    <w:p>
      <w:pPr>
        <w:spacing w:after="0" w:line="25" w:lineRule="exact"/>
        <w:rPr>
          <w:rFonts w:ascii="MS PGothic" w:cs="MS PGothic" w:eastAsia="MS PGothic" w:hAnsi="MS PGothic"/>
          <w:sz w:val="12"/>
          <w:szCs w:val="12"/>
          <w:color w:val="auto"/>
        </w:rPr>
      </w:pPr>
    </w:p>
    <w:p>
      <w:pPr>
        <w:ind w:left="1020" w:right="440" w:hanging="425"/>
        <w:spacing w:after="0" w:line="239" w:lineRule="auto"/>
        <w:tabs>
          <w:tab w:leader="none" w:pos="1020" w:val="left"/>
        </w:tabs>
        <w:numPr>
          <w:ilvl w:val="0"/>
          <w:numId w:val="44"/>
        </w:numPr>
        <w:rPr>
          <w:rFonts w:ascii="MS PGothic" w:cs="MS PGothic" w:eastAsia="MS PGothic" w:hAnsi="MS PGothic"/>
          <w:sz w:val="12"/>
          <w:szCs w:val="12"/>
          <w:color w:val="auto"/>
        </w:rPr>
      </w:pPr>
      <w:r>
        <w:rPr>
          <w:rFonts w:ascii="Arial" w:cs="Arial" w:eastAsia="Arial" w:hAnsi="Arial"/>
          <w:sz w:val="17"/>
          <w:szCs w:val="17"/>
          <w:color w:val="auto"/>
        </w:rPr>
        <w:t>exemptions from the requirements of holding nonbinding advisory stockholder votes on executive compensation and stockholder approval of any golden parachute payments not previously approved.</w:t>
      </w:r>
    </w:p>
    <w:p>
      <w:pPr>
        <w:spacing w:after="0" w:line="146" w:lineRule="exact"/>
        <w:rPr>
          <w:sz w:val="20"/>
          <w:szCs w:val="20"/>
          <w:color w:val="auto"/>
        </w:rPr>
      </w:pPr>
    </w:p>
    <w:p>
      <w:pPr>
        <w:jc w:val="both"/>
        <w:ind w:left="160" w:right="20"/>
        <w:spacing w:after="0" w:line="236" w:lineRule="auto"/>
        <w:rPr>
          <w:sz w:val="20"/>
          <w:szCs w:val="20"/>
          <w:color w:val="auto"/>
        </w:rPr>
      </w:pPr>
      <w:r>
        <w:rPr>
          <w:rFonts w:ascii="Arial" w:cs="Arial" w:eastAsia="Arial" w:hAnsi="Arial"/>
          <w:sz w:val="17"/>
          <w:szCs w:val="17"/>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146" w:lineRule="exact"/>
        <w:rPr>
          <w:sz w:val="20"/>
          <w:szCs w:val="20"/>
          <w:color w:val="auto"/>
        </w:rPr>
      </w:pPr>
    </w:p>
    <w:p>
      <w:pPr>
        <w:ind w:left="160" w:right="320"/>
        <w:spacing w:after="0" w:line="234"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47" w:lineRule="exact"/>
        <w:rPr>
          <w:sz w:val="20"/>
          <w:szCs w:val="20"/>
          <w:color w:val="auto"/>
        </w:rPr>
      </w:pPr>
    </w:p>
    <w:p>
      <w:pPr>
        <w:ind w:left="160" w:right="220"/>
        <w:spacing w:after="0" w:line="234"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47" w:lineRule="exact"/>
        <w:rPr>
          <w:sz w:val="20"/>
          <w:szCs w:val="20"/>
          <w:color w:val="auto"/>
        </w:rPr>
      </w:pPr>
    </w:p>
    <w:p>
      <w:pPr>
        <w:ind w:left="160" w:right="520"/>
        <w:spacing w:after="0" w:line="239" w:lineRule="auto"/>
        <w:rPr>
          <w:sz w:val="20"/>
          <w:szCs w:val="20"/>
          <w:color w:val="auto"/>
        </w:rPr>
      </w:pPr>
      <w:r>
        <w:rPr>
          <w:rFonts w:ascii="Arial" w:cs="Arial" w:eastAsia="Arial" w:hAnsi="Arial"/>
          <w:sz w:val="17"/>
          <w:szCs w:val="17"/>
          <w:color w:val="auto"/>
        </w:rPr>
        <w:t>Pursuant to Section 404 of the Sarbanes-Oxley Act (Section 404) we will be required to furnish a report by our management on our internal control over financial reporting, including an attestation report on internal control over</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080"/>
          </w:cols>
          <w:pgMar w:left="320" w:top="456"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financial reporting issued by our independent registered public accounting firm. However, while we remain an EGC or a smaller reporting company with less than $100 million in annual revenue, we will not be required to include an attestation report on internal control over financial reporting issued by our independent registered public accounting firm. We could be an EGC for up to five years.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50" w:lineRule="exact"/>
        <w:rPr>
          <w:sz w:val="20"/>
          <w:szCs w:val="20"/>
          <w:color w:val="auto"/>
        </w:rPr>
      </w:pPr>
    </w:p>
    <w:p>
      <w:pPr>
        <w:ind w:left="160" w:right="140"/>
        <w:spacing w:after="0" w:line="233" w:lineRule="auto"/>
        <w:rPr>
          <w:sz w:val="20"/>
          <w:szCs w:val="20"/>
          <w:color w:val="auto"/>
        </w:rPr>
      </w:pPr>
      <w:r>
        <w:rPr>
          <w:rFonts w:ascii="Arial" w:cs="Arial" w:eastAsia="Arial" w:hAnsi="Arial"/>
          <w:sz w:val="17"/>
          <w:szCs w:val="17"/>
          <w:color w:val="auto"/>
        </w:rPr>
        <w:t>Additionally, 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w:t>
      </w:r>
    </w:p>
    <w:p>
      <w:pPr>
        <w:spacing w:after="0" w:line="145" w:lineRule="exact"/>
        <w:rPr>
          <w:sz w:val="20"/>
          <w:szCs w:val="20"/>
          <w:color w:val="auto"/>
        </w:rPr>
      </w:pPr>
    </w:p>
    <w:p>
      <w:pPr>
        <w:ind w:left="160" w:right="200"/>
        <w:spacing w:after="0" w:line="236" w:lineRule="auto"/>
        <w:rPr>
          <w:sz w:val="20"/>
          <w:szCs w:val="20"/>
          <w:color w:val="auto"/>
        </w:rPr>
      </w:pPr>
      <w:r>
        <w:rPr>
          <w:rFonts w:ascii="Arial" w:cs="Arial" w:eastAsia="Arial" w:hAnsi="Arial"/>
          <w:sz w:val="17"/>
          <w:szCs w:val="17"/>
          <w:color w:val="auto"/>
        </w:rPr>
        <w:t>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45" w:lineRule="exact"/>
        <w:rPr>
          <w:sz w:val="20"/>
          <w:szCs w:val="20"/>
          <w:color w:val="auto"/>
        </w:rPr>
      </w:pPr>
    </w:p>
    <w:p>
      <w:pPr>
        <w:ind w:left="160" w:right="220"/>
        <w:spacing w:after="0" w:line="258" w:lineRule="auto"/>
        <w:rPr>
          <w:sz w:val="20"/>
          <w:szCs w:val="20"/>
          <w:color w:val="auto"/>
        </w:rPr>
      </w:pPr>
      <w:r>
        <w:rPr>
          <w:rFonts w:ascii="Arial" w:cs="Arial" w:eastAsia="Arial" w:hAnsi="Arial"/>
          <w:sz w:val="17"/>
          <w:szCs w:val="17"/>
          <w:b w:val="1"/>
          <w:bCs w:val="1"/>
          <w:i w:val="1"/>
          <w:iCs w:val="1"/>
          <w:color w:val="auto"/>
        </w:rPr>
        <w:t>Our management team has broad discretion to use the net proceeds from this offering and its investment of these proceeds may not yield a favorable return. They may invest the net proceeds from this offering in ways with which investors disagree.</w:t>
      </w:r>
    </w:p>
    <w:p>
      <w:pPr>
        <w:spacing w:after="0" w:line="1"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We intend to use a portion of the net proceeds from this offering to advance and expand our clinical and nonclinical development programs and for working capital and for other general corporate purposes, which may include the hiring of additional personnel, capital expenditures and the costs of operating as a public company. See the section titled “Use of Proceeds.” However, within the scope of our plan, and in light of the various risks to our business, including those discussed in this “Risk Factors” section and elsewhere in this prospectus, our management will have broad discretion over the use of net proceeds from this offering, and could spend the net proceeds in ways our stockholders may not agree with or that do not yield a favorable return, if at all. If we do not invest or apply the net proceeds from this offering in ways that improve our operating results, we may fail to achieve expected financial results, which could cause our stock price to decline.</w:t>
      </w:r>
    </w:p>
    <w:p>
      <w:pPr>
        <w:spacing w:after="0" w:line="48" w:lineRule="exact"/>
        <w:rPr>
          <w:sz w:val="20"/>
          <w:szCs w:val="20"/>
          <w:color w:val="auto"/>
        </w:rPr>
      </w:pPr>
    </w:p>
    <w:p>
      <w:pPr>
        <w:ind w:left="160" w:right="140"/>
        <w:spacing w:after="0" w:line="258" w:lineRule="auto"/>
        <w:rPr>
          <w:sz w:val="20"/>
          <w:szCs w:val="20"/>
          <w:color w:val="auto"/>
        </w:rPr>
      </w:pPr>
      <w:r>
        <w:rPr>
          <w:rFonts w:ascii="Arial" w:cs="Arial" w:eastAsia="Arial" w:hAnsi="Arial"/>
          <w:sz w:val="17"/>
          <w:szCs w:val="17"/>
          <w:b w:val="1"/>
          <w:bCs w:val="1"/>
          <w:i w:val="1"/>
          <w:iCs w:val="1"/>
          <w:color w:val="auto"/>
        </w:rPr>
        <w:t>We do not currently intend to pay dividends on our Class A common stock and, consequently, your ability to achieve a return on your investment will depend on appreciation of the value of our Class A common stock.</w:t>
      </w:r>
    </w:p>
    <w:p>
      <w:pPr>
        <w:spacing w:after="0" w:line="1" w:lineRule="exact"/>
        <w:rPr>
          <w:sz w:val="20"/>
          <w:szCs w:val="20"/>
          <w:color w:val="auto"/>
        </w:rPr>
      </w:pPr>
    </w:p>
    <w:p>
      <w:pPr>
        <w:ind w:left="160" w:right="220"/>
        <w:spacing w:after="0" w:line="236" w:lineRule="auto"/>
        <w:rPr>
          <w:sz w:val="20"/>
          <w:szCs w:val="20"/>
          <w:color w:val="auto"/>
        </w:rPr>
      </w:pPr>
      <w:r>
        <w:rPr>
          <w:rFonts w:ascii="Arial" w:cs="Arial" w:eastAsia="Arial" w:hAnsi="Arial"/>
          <w:sz w:val="17"/>
          <w:szCs w:val="17"/>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Class A common stock, which is not certain.</w:t>
      </w:r>
    </w:p>
    <w:p>
      <w:pPr>
        <w:spacing w:after="0" w:line="45" w:lineRule="exact"/>
        <w:rPr>
          <w:sz w:val="20"/>
          <w:szCs w:val="20"/>
          <w:color w:val="auto"/>
        </w:rPr>
      </w:pPr>
    </w:p>
    <w:p>
      <w:pPr>
        <w:jc w:val="both"/>
        <w:ind w:left="160"/>
        <w:spacing w:after="0" w:line="246" w:lineRule="auto"/>
        <w:rPr>
          <w:sz w:val="20"/>
          <w:szCs w:val="20"/>
          <w:color w:val="auto"/>
        </w:rPr>
      </w:pPr>
      <w:r>
        <w:rPr>
          <w:rFonts w:ascii="Arial" w:cs="Arial" w:eastAsia="Arial" w:hAnsi="Arial"/>
          <w:sz w:val="17"/>
          <w:szCs w:val="17"/>
          <w:b w:val="1"/>
          <w:bCs w:val="1"/>
          <w:i w:val="1"/>
          <w:iCs w:val="1"/>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7" w:lineRule="exact"/>
        <w:rPr>
          <w:sz w:val="20"/>
          <w:szCs w:val="20"/>
          <w:color w:val="auto"/>
        </w:rPr>
      </w:pPr>
    </w:p>
    <w:p>
      <w:pPr>
        <w:ind w:left="160" w:right="140"/>
        <w:spacing w:after="0" w:line="250" w:lineRule="auto"/>
        <w:rPr>
          <w:sz w:val="20"/>
          <w:szCs w:val="20"/>
          <w:color w:val="auto"/>
        </w:rPr>
      </w:pPr>
      <w:r>
        <w:rPr>
          <w:rFonts w:ascii="Arial" w:cs="Arial" w:eastAsia="Arial" w:hAnsi="Arial"/>
          <w:sz w:val="16"/>
          <w:szCs w:val="16"/>
          <w:color w:val="auto"/>
        </w:rPr>
        <w:t>Our amended and restated certificate of incorporation and amended and restated bylaws that will become effective upon the closing of this offering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060"/>
          </w:cols>
          <w:pgMar w:left="320" w:top="456"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860"/>
        <w:spacing w:after="0" w:line="239" w:lineRule="auto"/>
        <w:rPr>
          <w:sz w:val="20"/>
          <w:szCs w:val="20"/>
          <w:color w:val="auto"/>
        </w:rPr>
      </w:pPr>
      <w:r>
        <w:rPr>
          <w:rFonts w:ascii="Arial" w:cs="Arial" w:eastAsia="Arial" w:hAnsi="Arial"/>
          <w:sz w:val="17"/>
          <w:szCs w:val="17"/>
          <w:color w:val="auto"/>
        </w:rPr>
        <w:t>may frustrate or prevent any attempts by our stockholders to replace or remove our current management by making it more difficult for stockholders to replace members of our board of directors. Among other things, these provisions:</w:t>
      </w:r>
    </w:p>
    <w:p>
      <w:pPr>
        <w:spacing w:after="0" w:line="186" w:lineRule="exact"/>
        <w:rPr>
          <w:sz w:val="20"/>
          <w:szCs w:val="20"/>
          <w:color w:val="auto"/>
        </w:rPr>
      </w:pPr>
    </w:p>
    <w:p>
      <w:pPr>
        <w:ind w:left="1020" w:hanging="425"/>
        <w:spacing w:after="0"/>
        <w:tabs>
          <w:tab w:leader="none" w:pos="1020" w:val="left"/>
        </w:tabs>
        <w:numPr>
          <w:ilvl w:val="0"/>
          <w:numId w:val="45"/>
        </w:numPr>
        <w:rPr>
          <w:rFonts w:ascii="MS PGothic" w:cs="MS PGothic" w:eastAsia="MS PGothic" w:hAnsi="MS PGothic"/>
          <w:sz w:val="12"/>
          <w:szCs w:val="12"/>
          <w:color w:val="auto"/>
        </w:rPr>
      </w:pPr>
      <w:r>
        <w:rPr>
          <w:rFonts w:ascii="Arial" w:cs="Arial" w:eastAsia="Arial" w:hAnsi="Arial"/>
          <w:sz w:val="17"/>
          <w:szCs w:val="17"/>
          <w:color w:val="auto"/>
        </w:rPr>
        <w:t>establish a classified board of directors such that not all members of the board are elected at one time;</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5"/>
        </w:numPr>
        <w:rPr>
          <w:rFonts w:ascii="MS PGothic" w:cs="MS PGothic" w:eastAsia="MS PGothic" w:hAnsi="MS PGothic"/>
          <w:sz w:val="12"/>
          <w:szCs w:val="12"/>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5"/>
        </w:numPr>
        <w:rPr>
          <w:rFonts w:ascii="MS PGothic" w:cs="MS PGothic" w:eastAsia="MS PGothic" w:hAnsi="MS PGothic"/>
          <w:sz w:val="12"/>
          <w:szCs w:val="12"/>
          <w:color w:val="auto"/>
        </w:rPr>
      </w:pPr>
      <w:r>
        <w:rPr>
          <w:rFonts w:ascii="Arial" w:cs="Arial" w:eastAsia="Arial" w:hAnsi="Arial"/>
          <w:sz w:val="17"/>
          <w:szCs w:val="17"/>
          <w:color w:val="auto"/>
        </w:rPr>
        <w:t>limit the manner in which stockholders can remove directors from the board;</w:t>
      </w:r>
    </w:p>
    <w:p>
      <w:pPr>
        <w:spacing w:after="0" w:line="31" w:lineRule="exact"/>
        <w:rPr>
          <w:rFonts w:ascii="MS PGothic" w:cs="MS PGothic" w:eastAsia="MS PGothic" w:hAnsi="MS PGothic"/>
          <w:sz w:val="12"/>
          <w:szCs w:val="12"/>
          <w:color w:val="auto"/>
        </w:rPr>
      </w:pPr>
    </w:p>
    <w:p>
      <w:pPr>
        <w:ind w:left="1020" w:right="20" w:hanging="425"/>
        <w:spacing w:after="0" w:line="239" w:lineRule="auto"/>
        <w:tabs>
          <w:tab w:leader="none" w:pos="1020" w:val="left"/>
        </w:tabs>
        <w:numPr>
          <w:ilvl w:val="0"/>
          <w:numId w:val="45"/>
        </w:numPr>
        <w:rPr>
          <w:rFonts w:ascii="MS PGothic" w:cs="MS PGothic" w:eastAsia="MS PGothic" w:hAnsi="MS PGothic"/>
          <w:sz w:val="12"/>
          <w:szCs w:val="12"/>
          <w:color w:val="auto"/>
        </w:rPr>
      </w:pPr>
      <w:r>
        <w:rPr>
          <w:rFonts w:ascii="Arial" w:cs="Arial" w:eastAsia="Arial" w:hAnsi="Arial"/>
          <w:sz w:val="17"/>
          <w:szCs w:val="17"/>
          <w:color w:val="auto"/>
        </w:rPr>
        <w:t>establish advance notice requirements for stockholder proposals that can be acted on at stockholder meetings and nominations to our board of directors;</w:t>
      </w:r>
    </w:p>
    <w:p>
      <w:pPr>
        <w:spacing w:after="0" w:line="25" w:lineRule="exact"/>
        <w:rPr>
          <w:rFonts w:ascii="MS PGothic" w:cs="MS PGothic" w:eastAsia="MS PGothic" w:hAnsi="MS PGothic"/>
          <w:sz w:val="12"/>
          <w:szCs w:val="12"/>
          <w:color w:val="auto"/>
        </w:rPr>
      </w:pPr>
    </w:p>
    <w:p>
      <w:pPr>
        <w:ind w:left="1020" w:right="400" w:hanging="425"/>
        <w:spacing w:after="0" w:line="239" w:lineRule="auto"/>
        <w:tabs>
          <w:tab w:leader="none" w:pos="1020" w:val="left"/>
        </w:tabs>
        <w:numPr>
          <w:ilvl w:val="0"/>
          <w:numId w:val="45"/>
        </w:numPr>
        <w:rPr>
          <w:rFonts w:ascii="MS PGothic" w:cs="MS PGothic" w:eastAsia="MS PGothic" w:hAnsi="MS PGothic"/>
          <w:sz w:val="12"/>
          <w:szCs w:val="12"/>
          <w:color w:val="auto"/>
        </w:rPr>
      </w:pPr>
      <w:r>
        <w:rPr>
          <w:rFonts w:ascii="Arial" w:cs="Arial" w:eastAsia="Arial" w:hAnsi="Arial"/>
          <w:sz w:val="17"/>
          <w:szCs w:val="17"/>
          <w:color w:val="auto"/>
        </w:rPr>
        <w:t>require that stockholder actions must be effected at a duly called stockholder meeting and prohibit actions by our stockholders by written consent;</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5"/>
        </w:numPr>
        <w:rPr>
          <w:rFonts w:ascii="MS PGothic" w:cs="MS PGothic" w:eastAsia="MS PGothic" w:hAnsi="MS PGothic"/>
          <w:sz w:val="12"/>
          <w:szCs w:val="12"/>
          <w:color w:val="auto"/>
        </w:rPr>
      </w:pPr>
      <w:r>
        <w:rPr>
          <w:rFonts w:ascii="Arial" w:cs="Arial" w:eastAsia="Arial" w:hAnsi="Arial"/>
          <w:sz w:val="17"/>
          <w:szCs w:val="17"/>
          <w:color w:val="auto"/>
        </w:rPr>
        <w:t>prohibit our stockholders from calling a special meeting of our stockholders;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5"/>
        </w:numPr>
        <w:rPr>
          <w:rFonts w:ascii="MS PGothic" w:cs="MS PGothic" w:eastAsia="MS PGothic" w:hAnsi="MS PGothic"/>
          <w:sz w:val="12"/>
          <w:szCs w:val="12"/>
          <w:color w:val="auto"/>
        </w:rPr>
      </w:pPr>
      <w:r>
        <w:rPr>
          <w:rFonts w:ascii="Arial" w:cs="Arial" w:eastAsia="Arial" w:hAnsi="Arial"/>
          <w:sz w:val="17"/>
          <w:szCs w:val="17"/>
          <w:color w:val="auto"/>
        </w:rPr>
        <w:t>prohibit cumulative voting;</w:t>
      </w:r>
    </w:p>
    <w:p>
      <w:pPr>
        <w:spacing w:after="0" w:line="31" w:lineRule="exact"/>
        <w:rPr>
          <w:rFonts w:ascii="MS PGothic" w:cs="MS PGothic" w:eastAsia="MS PGothic" w:hAnsi="MS PGothic"/>
          <w:sz w:val="12"/>
          <w:szCs w:val="12"/>
          <w:color w:val="auto"/>
        </w:rPr>
      </w:pPr>
    </w:p>
    <w:p>
      <w:pPr>
        <w:ind w:left="1020" w:right="40" w:hanging="425"/>
        <w:spacing w:after="0" w:line="236" w:lineRule="auto"/>
        <w:tabs>
          <w:tab w:leader="none" w:pos="1020" w:val="left"/>
        </w:tabs>
        <w:numPr>
          <w:ilvl w:val="0"/>
          <w:numId w:val="45"/>
        </w:numPr>
        <w:rPr>
          <w:rFonts w:ascii="MS PGothic" w:cs="MS PGothic" w:eastAsia="MS PGothic" w:hAnsi="MS PGothic"/>
          <w:sz w:val="12"/>
          <w:szCs w:val="12"/>
          <w:color w:val="auto"/>
        </w:rPr>
      </w:pPr>
      <w:r>
        <w:rPr>
          <w:rFonts w:ascii="Arial" w:cs="Arial" w:eastAsia="Arial" w:hAnsi="Arial"/>
          <w:sz w:val="17"/>
          <w:szCs w:val="17"/>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25" w:lineRule="exact"/>
        <w:rPr>
          <w:rFonts w:ascii="MS PGothic" w:cs="MS PGothic" w:eastAsia="MS PGothic" w:hAnsi="MS PGothic"/>
          <w:sz w:val="12"/>
          <w:szCs w:val="12"/>
          <w:color w:val="auto"/>
        </w:rPr>
      </w:pPr>
    </w:p>
    <w:p>
      <w:pPr>
        <w:ind w:left="1020" w:right="440" w:hanging="425"/>
        <w:spacing w:after="0" w:line="239" w:lineRule="auto"/>
        <w:tabs>
          <w:tab w:leader="none" w:pos="1020" w:val="left"/>
        </w:tabs>
        <w:numPr>
          <w:ilvl w:val="0"/>
          <w:numId w:val="45"/>
        </w:numPr>
        <w:rPr>
          <w:rFonts w:ascii="MS PGothic" w:cs="MS PGothic" w:eastAsia="MS PGothic" w:hAnsi="MS PGothic"/>
          <w:sz w:val="12"/>
          <w:szCs w:val="12"/>
          <w:color w:val="auto"/>
        </w:rPr>
      </w:pPr>
      <w:r>
        <w:rPr>
          <w:rFonts w:ascii="Arial" w:cs="Arial" w:eastAsia="Arial" w:hAnsi="Arial"/>
          <w:sz w:val="17"/>
          <w:szCs w:val="17"/>
          <w:color w:val="auto"/>
        </w:rPr>
        <w:t>require the approval of the holders of at least 66 2/3% of the votes that all our stockholders would be entitled to cast to amend or repeal certain provisions of our amended and restated certificate of incorporations or amended and restated bylaws.</w:t>
      </w:r>
    </w:p>
    <w:p>
      <w:pPr>
        <w:spacing w:after="0" w:line="146"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Class A common stock, including transactions that may be in your best interests. These provisions may also prevent changes in our management or limit the price that investors are willing to pay for our stock.</w:t>
      </w:r>
    </w:p>
    <w:p>
      <w:pPr>
        <w:spacing w:after="0" w:line="48" w:lineRule="exact"/>
        <w:rPr>
          <w:sz w:val="20"/>
          <w:szCs w:val="20"/>
          <w:color w:val="auto"/>
        </w:rPr>
      </w:pPr>
    </w:p>
    <w:p>
      <w:pPr>
        <w:ind w:left="160" w:right="60"/>
        <w:spacing w:after="0" w:line="241" w:lineRule="auto"/>
        <w:rPr>
          <w:sz w:val="20"/>
          <w:szCs w:val="20"/>
          <w:color w:val="auto"/>
        </w:rPr>
      </w:pPr>
      <w:r>
        <w:rPr>
          <w:rFonts w:ascii="Arial" w:cs="Arial" w:eastAsia="Arial" w:hAnsi="Arial"/>
          <w:sz w:val="17"/>
          <w:szCs w:val="17"/>
          <w:b w:val="1"/>
          <w:bCs w:val="1"/>
          <w:i w:val="1"/>
          <w:iCs w:val="1"/>
          <w:color w:val="auto"/>
        </w:rPr>
        <w:t>Our amended and restated certificate of incorporation and amended and restated bylaws will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Our amended and restated certificate of incorporation and amended and restated bylaws will provide that the Court of Chancery of the State of</w:t>
      </w:r>
    </w:p>
    <w:p>
      <w:pPr>
        <w:ind w:left="160"/>
        <w:spacing w:after="0"/>
        <w:rPr>
          <w:sz w:val="20"/>
          <w:szCs w:val="20"/>
          <w:color w:val="auto"/>
        </w:rPr>
      </w:pPr>
      <w:r>
        <w:rPr>
          <w:rFonts w:ascii="Arial" w:cs="Arial" w:eastAsia="Arial" w:hAnsi="Arial"/>
          <w:sz w:val="17"/>
          <w:szCs w:val="17"/>
          <w:color w:val="auto"/>
        </w:rPr>
        <w:t>Delaware is the exclusive forum for the following types of actions or proceedings under Delaware statutory or common law:</w:t>
      </w:r>
    </w:p>
    <w:p>
      <w:pPr>
        <w:spacing w:after="0" w:line="192" w:lineRule="exact"/>
        <w:rPr>
          <w:sz w:val="20"/>
          <w:szCs w:val="20"/>
          <w:color w:val="auto"/>
        </w:rPr>
      </w:pPr>
    </w:p>
    <w:p>
      <w:pPr>
        <w:ind w:left="1020" w:hanging="425"/>
        <w:spacing w:after="0"/>
        <w:tabs>
          <w:tab w:leader="none" w:pos="102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any derivative action or proceeding brought on our behalf;</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any action asserting a claim of breach of fiduciary duty;</w:t>
      </w:r>
    </w:p>
    <w:p>
      <w:pPr>
        <w:spacing w:after="0" w:line="31" w:lineRule="exact"/>
        <w:rPr>
          <w:rFonts w:ascii="MS PGothic" w:cs="MS PGothic" w:eastAsia="MS PGothic" w:hAnsi="MS PGothic"/>
          <w:sz w:val="12"/>
          <w:szCs w:val="12"/>
          <w:color w:val="auto"/>
        </w:rPr>
      </w:pPr>
    </w:p>
    <w:p>
      <w:pPr>
        <w:ind w:left="1020" w:hanging="425"/>
        <w:spacing w:after="0" w:line="239" w:lineRule="auto"/>
        <w:tabs>
          <w:tab w:leader="none" w:pos="102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any action asserting a claim against us arising under the DGCL, our amended and restated certificate of incorporation or our amended and restated bylaws; and</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6"/>
        </w:numPr>
        <w:rPr>
          <w:rFonts w:ascii="MS PGothic" w:cs="MS PGothic" w:eastAsia="MS PGothic" w:hAnsi="MS PGothic"/>
          <w:sz w:val="12"/>
          <w:szCs w:val="12"/>
          <w:color w:val="auto"/>
        </w:rPr>
      </w:pPr>
      <w:r>
        <w:rPr>
          <w:rFonts w:ascii="Arial" w:cs="Arial" w:eastAsia="Arial" w:hAnsi="Arial"/>
          <w:sz w:val="17"/>
          <w:szCs w:val="17"/>
          <w:color w:val="auto"/>
        </w:rPr>
        <w:t>any action asserting a claim against us that is governed by the internal-affairs doctrine or otherwise related to our internal affairs.</w:t>
      </w:r>
    </w:p>
    <w:p>
      <w:pPr>
        <w:spacing w:after="0" w:line="152"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060"/>
          </w:cols>
          <w:pgMar w:left="320" w:top="456"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48" w:lineRule="exact"/>
        <w:rPr>
          <w:sz w:val="20"/>
          <w:szCs w:val="20"/>
          <w:color w:val="auto"/>
        </w:rPr>
      </w:pPr>
    </w:p>
    <w:p>
      <w:pPr>
        <w:ind w:left="160" w:right="120"/>
        <w:spacing w:after="0" w:line="23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 Risk Factors</w:t>
      </w:r>
    </w:p>
    <w:p>
      <w:pPr>
        <w:spacing w:after="0" w:line="71" w:lineRule="exact"/>
        <w:rPr>
          <w:sz w:val="20"/>
          <w:szCs w:val="20"/>
          <w:color w:val="auto"/>
        </w:rPr>
      </w:pPr>
    </w:p>
    <w:p>
      <w:pPr>
        <w:jc w:val="both"/>
        <w:ind w:left="160" w:right="80"/>
        <w:spacing w:after="0" w:line="238" w:lineRule="auto"/>
        <w:rPr>
          <w:sz w:val="20"/>
          <w:szCs w:val="20"/>
          <w:color w:val="auto"/>
        </w:rPr>
      </w:pPr>
      <w:r>
        <w:rPr>
          <w:rFonts w:ascii="Arial" w:cs="Arial" w:eastAsia="Arial" w:hAnsi="Arial"/>
          <w:sz w:val="17"/>
          <w:szCs w:val="17"/>
          <w:b w:val="1"/>
          <w:bCs w:val="1"/>
          <w:i w:val="1"/>
          <w:iCs w:val="1"/>
          <w:color w:val="auto"/>
        </w:rPr>
        <w:t>Our information technology systems, or those of any of our CROs, manufacturers, other contractors, consultants, third party vendors, collaborators, or potential future collaborators, may fail or suffer cybersecurity incidents, breaches or other unauthorized or improper access to, use of, or destruction of our proprietary or confidential data, employee data, or personal information, which could result in additional costs, loss of revenue, significant liabilities, harm to our brand and material disruption of our operations, or otherwise harm our business.</w:t>
      </w:r>
    </w:p>
    <w:p>
      <w:pPr>
        <w:spacing w:after="0" w:line="14"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In the course of our business, we collect, store and transmit proprietary, confidential and sensitive information, including personal information. The information and data processed and stored in our technology systems, and those of our research collaborators, CROs, contractors, consultants, and other third parties on which we depend to operate our business, may be vulnerable to security breaches, loss, damage, corruption, unauthorized access, use or disclosure, or misappropriation. Such incidents may also result from errors or malfeasance by our personnel or the personnel of the third parties we work with, malware, viruses, software vulnerabilities, hacking, denial of service attacks, social engineering (including phishing), ransomware, credential stuffing or other cyberattacks, including attacks by state-sponsored organizations or sophisticated groups of hackers.</w:t>
      </w:r>
    </w:p>
    <w:p>
      <w:pPr>
        <w:spacing w:after="0" w:line="148"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While we have developed systems and processes designed to protect the integrity, confidentiality and security of the confidential and personal information under our control, we cannot assure you that any security measures that we or our third party service providers have implemented will be effective in preventing cybersecurity incidents. There are many different cybercrime and hacking techniques and as such techniques continue to evolve, we may be unable to anticipate attempted security breaches, identify them before our information is exploited, or react in a timely manner.</w:t>
      </w:r>
    </w:p>
    <w:p>
      <w:pPr>
        <w:spacing w:after="0" w:line="148" w:lineRule="exact"/>
        <w:rPr>
          <w:sz w:val="20"/>
          <w:szCs w:val="20"/>
          <w:color w:val="auto"/>
        </w:rPr>
      </w:pPr>
    </w:p>
    <w:p>
      <w:pPr>
        <w:ind w:left="160" w:right="160"/>
        <w:spacing w:after="0" w:line="234" w:lineRule="auto"/>
        <w:rPr>
          <w:sz w:val="20"/>
          <w:szCs w:val="20"/>
          <w:color w:val="auto"/>
        </w:rPr>
      </w:pPr>
      <w:r>
        <w:rPr>
          <w:rFonts w:ascii="Arial" w:cs="Arial" w:eastAsia="Arial" w:hAnsi="Arial"/>
          <w:sz w:val="17"/>
          <w:szCs w:val="17"/>
          <w:color w:val="auto"/>
        </w:rPr>
        <w:t>Additionally, as a result of the ongoing COVID-19 pandemic, certain functional areas of our workforce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147"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Despite our efforts to strengthen security and authentication measures, we have experienced an overall increase in cybersecurity incidents, none of which have caused material disruption to our business, or to our knowledge, involved a material security breach. However, we or the third parties we rely on could experience a material system failure, security breach or other cybersecurity incident in the future, which could interrupt our operations disrupt our development programs and have a material adverse effect on our business, financial condition and results of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cybersecurity incidents experienced by these third parties could have a material adverse effect on</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060"/>
          </w:cols>
          <w:pgMar w:left="320" w:top="456"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520"/>
        <w:spacing w:after="0" w:line="239" w:lineRule="auto"/>
        <w:rPr>
          <w:sz w:val="20"/>
          <w:szCs w:val="20"/>
          <w:color w:val="auto"/>
        </w:rPr>
      </w:pPr>
      <w:r>
        <w:rPr>
          <w:rFonts w:ascii="Arial" w:cs="Arial" w:eastAsia="Arial" w:hAnsi="Arial"/>
          <w:sz w:val="17"/>
          <w:szCs w:val="17"/>
          <w:color w:val="auto"/>
        </w:rPr>
        <w:t>our business. Security breaches and other cybersecurity incidents affecting us or the third parties we rely on could also result in substantial remediation costs and expose us to litigation, regulatory enforcement action, fines, penalties, and other liabilities.</w:t>
      </w:r>
    </w:p>
    <w:p>
      <w:pPr>
        <w:spacing w:after="0" w:line="146" w:lineRule="exact"/>
        <w:rPr>
          <w:sz w:val="20"/>
          <w:szCs w:val="20"/>
          <w:color w:val="auto"/>
        </w:rPr>
      </w:pPr>
    </w:p>
    <w:p>
      <w:pPr>
        <w:ind w:left="160" w:right="100"/>
        <w:spacing w:after="0" w:line="233" w:lineRule="auto"/>
        <w:rPr>
          <w:sz w:val="20"/>
          <w:szCs w:val="20"/>
          <w:color w:val="auto"/>
        </w:rPr>
      </w:pPr>
      <w:r>
        <w:rPr>
          <w:rFonts w:ascii="Arial" w:cs="Arial" w:eastAsia="Arial" w:hAnsi="Arial"/>
          <w:sz w:val="17"/>
          <w:szCs w:val="17"/>
          <w:color w:val="auto"/>
        </w:rPr>
        <w:t>We cannot be certain that our insurance coverage will be adequate for data security liabilities actually incurred,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39" w:lineRule="exact"/>
        <w:rPr>
          <w:sz w:val="20"/>
          <w:szCs w:val="20"/>
          <w:color w:val="auto"/>
        </w:rPr>
      </w:pPr>
    </w:p>
    <w:p>
      <w:pPr>
        <w:ind w:left="160"/>
        <w:spacing w:after="0" w:line="252" w:lineRule="auto"/>
        <w:rPr>
          <w:sz w:val="20"/>
          <w:szCs w:val="20"/>
          <w:color w:val="auto"/>
        </w:rPr>
      </w:pPr>
      <w:r>
        <w:rPr>
          <w:rFonts w:ascii="Arial" w:cs="Arial" w:eastAsia="Arial" w:hAnsi="Arial"/>
          <w:sz w:val="16"/>
          <w:szCs w:val="16"/>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37"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47" w:lineRule="exact"/>
        <w:rPr>
          <w:sz w:val="20"/>
          <w:szCs w:val="20"/>
          <w:color w:val="auto"/>
        </w:rPr>
      </w:pPr>
    </w:p>
    <w:p>
      <w:pPr>
        <w:ind w:left="160" w:right="80"/>
        <w:spacing w:after="0" w:line="258" w:lineRule="auto"/>
        <w:rPr>
          <w:sz w:val="20"/>
          <w:szCs w:val="20"/>
          <w:color w:val="auto"/>
        </w:rPr>
      </w:pPr>
      <w:r>
        <w:rPr>
          <w:rFonts w:ascii="Arial" w:cs="Arial" w:eastAsia="Arial" w:hAnsi="Arial"/>
          <w:sz w:val="17"/>
          <w:szCs w:val="17"/>
          <w:b w:val="1"/>
          <w:bCs w:val="1"/>
          <w:i w:val="1"/>
          <w:iCs w:val="1"/>
          <w:color w:val="auto"/>
        </w:rPr>
        <w:t>Future changes in financial accounting standards or practices may cause adverse and unexpected revenue fluctuations and adversely affect our reported results of operations.</w:t>
      </w:r>
    </w:p>
    <w:p>
      <w:pPr>
        <w:spacing w:after="0" w:line="1"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See the section titled “Management’s Discussion and Analysis of Financial Condition and Results of Operations —Recent Accounting Pronouncements.”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result in more litigation and divert management’s attention.</w:t>
      </w:r>
    </w:p>
    <w:p>
      <w:pPr>
        <w:spacing w:after="0" w:line="39"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As a public company, we will be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spacing w:after="0" w:line="150" w:lineRule="exact"/>
        <w:rPr>
          <w:sz w:val="20"/>
          <w:szCs w:val="20"/>
          <w:color w:val="auto"/>
        </w:rPr>
      </w:pPr>
    </w:p>
    <w:p>
      <w:pPr>
        <w:ind w:left="160" w:right="240"/>
        <w:spacing w:after="0" w:line="239"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060"/>
          </w:cols>
          <w:pgMar w:left="320" w:top="456" w:right="5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60"/>
        <w:spacing w:after="0" w:line="232" w:lineRule="auto"/>
        <w:rPr>
          <w:sz w:val="20"/>
          <w:szCs w:val="20"/>
          <w:color w:val="auto"/>
        </w:rPr>
      </w:pPr>
      <w:r>
        <w:rPr>
          <w:rFonts w:ascii="Arial" w:cs="Arial" w:eastAsia="Arial" w:hAnsi="Arial"/>
          <w:sz w:val="17"/>
          <w:szCs w:val="17"/>
          <w:color w:val="auto"/>
        </w:rPr>
        <w:t>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harmed.</w:t>
      </w:r>
    </w:p>
    <w:p>
      <w:pPr>
        <w:spacing w:after="0" w:line="147"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7" w:lineRule="exact"/>
        <w:rPr>
          <w:sz w:val="20"/>
          <w:szCs w:val="20"/>
          <w:color w:val="auto"/>
        </w:rPr>
      </w:pPr>
    </w:p>
    <w:p>
      <w:pPr>
        <w:ind w:left="160" w:right="220"/>
        <w:spacing w:after="0" w:line="233" w:lineRule="auto"/>
        <w:rPr>
          <w:sz w:val="20"/>
          <w:szCs w:val="20"/>
          <w:color w:val="auto"/>
        </w:rPr>
      </w:pPr>
      <w:r>
        <w:rPr>
          <w:rFonts w:ascii="Arial" w:cs="Arial" w:eastAsia="Arial" w:hAnsi="Arial"/>
          <w:sz w:val="17"/>
          <w:szCs w:val="17"/>
          <w:color w:val="auto"/>
        </w:rPr>
        <w:t>By disclosing information in this prospectus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financial condition, results of operations and prospects.</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39"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The market price of our Class A common stock may be volatile and, in the past, companies that have experienced volatility in the market price of their stock have been subject to securities class action litigation and shareholder derivative actions. We may be the target of these types of litigation and claims in the future. These claims and litigation against us could result in substantial costs and divert our management’s attention from other business concerns, which could seriously harm our business, financial condition, results of operations and prospects.</w:t>
      </w:r>
    </w:p>
    <w:p>
      <w:pPr>
        <w:spacing w:after="0" w:line="47" w:lineRule="exact"/>
        <w:rPr>
          <w:sz w:val="20"/>
          <w:szCs w:val="20"/>
          <w:color w:val="auto"/>
        </w:rPr>
      </w:pPr>
    </w:p>
    <w:p>
      <w:pPr>
        <w:ind w:left="160" w:right="480"/>
        <w:spacing w:after="0" w:line="25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000"/>
          </w:cols>
          <w:pgMar w:left="320" w:top="456" w:right="5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1"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nonclinical studies and clinical trials, results of nonclinical studies,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48"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86" w:lineRule="exact"/>
        <w:rPr>
          <w:sz w:val="20"/>
          <w:szCs w:val="20"/>
          <w:color w:val="auto"/>
        </w:rPr>
      </w:pPr>
    </w:p>
    <w:p>
      <w:pPr>
        <w:ind w:left="1020" w:hanging="425"/>
        <w:spacing w:after="0"/>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our financial performance;</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the sufficiency of our existing cash to fund our future operating expenses and capital expenditure requirements;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31" w:lineRule="exact"/>
        <w:rPr>
          <w:rFonts w:ascii="MS PGothic" w:cs="MS PGothic" w:eastAsia="MS PGothic" w:hAnsi="MS PGothic"/>
          <w:sz w:val="12"/>
          <w:szCs w:val="12"/>
          <w:color w:val="auto"/>
        </w:rPr>
      </w:pPr>
    </w:p>
    <w:p>
      <w:pPr>
        <w:ind w:left="1020" w:right="420" w:hanging="425"/>
        <w:spacing w:after="0" w:line="239" w:lineRule="auto"/>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the scope, progress, results and costs of developing atacicept or any other product candidates we may develop, and conducting nonclinical studies and clinical trials, including our atacicept Phase 2b clinical trial;</w:t>
      </w:r>
    </w:p>
    <w:p>
      <w:pPr>
        <w:spacing w:after="0" w:line="25" w:lineRule="exact"/>
        <w:rPr>
          <w:rFonts w:ascii="MS PGothic" w:cs="MS PGothic" w:eastAsia="MS PGothic" w:hAnsi="MS PGothic"/>
          <w:sz w:val="12"/>
          <w:szCs w:val="12"/>
          <w:color w:val="auto"/>
        </w:rPr>
      </w:pPr>
    </w:p>
    <w:p>
      <w:pPr>
        <w:ind w:left="1020" w:right="60" w:hanging="425"/>
        <w:spacing w:after="0" w:line="236" w:lineRule="auto"/>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the timing and costs involved in obtaining and maintaining regulatory approval of atacicept or any other product candidates we may develop, and the timing or likelihood of regulatory filings and approvals, including our expectation to seek special designations for our product candidates for various diseases;</w:t>
      </w:r>
    </w:p>
    <w:p>
      <w:pPr>
        <w:spacing w:after="0" w:line="25" w:lineRule="exact"/>
        <w:rPr>
          <w:rFonts w:ascii="MS PGothic" w:cs="MS PGothic" w:eastAsia="MS PGothic" w:hAnsi="MS PGothic"/>
          <w:sz w:val="12"/>
          <w:szCs w:val="12"/>
          <w:color w:val="auto"/>
        </w:rPr>
      </w:pPr>
    </w:p>
    <w:p>
      <w:pPr>
        <w:ind w:left="1020" w:right="720" w:hanging="425"/>
        <w:spacing w:after="0" w:line="239" w:lineRule="auto"/>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our plans relating to commercializing atacicept and any other product candidates we may develop, if approved, including the geographic areas of focus and our ability to grow a sales team;</w:t>
      </w:r>
    </w:p>
    <w:p>
      <w:pPr>
        <w:spacing w:after="0" w:line="25" w:lineRule="exact"/>
        <w:rPr>
          <w:rFonts w:ascii="MS PGothic" w:cs="MS PGothic" w:eastAsia="MS PGothic" w:hAnsi="MS PGothic"/>
          <w:sz w:val="12"/>
          <w:szCs w:val="12"/>
          <w:color w:val="auto"/>
        </w:rPr>
      </w:pPr>
    </w:p>
    <w:p>
      <w:pPr>
        <w:ind w:left="1020" w:right="240" w:hanging="425"/>
        <w:spacing w:after="0" w:line="239" w:lineRule="auto"/>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the ability to license additional intellectual property relating to any future product candidates and to comply with our existing license agreements;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the impact of the ongoing COVID-19 pandemic on our business and operations, including enrollment in our clinical trial;</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the implementation of our strategic plans for our business and atacicept or any other product candidates we may develop;</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the size of the market opportunity for atacicept or any other product candidates we may develop in each of the diseases we target;</w:t>
      </w:r>
    </w:p>
    <w:p>
      <w:pPr>
        <w:spacing w:after="0" w:line="31" w:lineRule="exact"/>
        <w:rPr>
          <w:rFonts w:ascii="MS PGothic" w:cs="MS PGothic" w:eastAsia="MS PGothic" w:hAnsi="MS PGothic"/>
          <w:sz w:val="12"/>
          <w:szCs w:val="12"/>
          <w:color w:val="auto"/>
        </w:rPr>
      </w:pPr>
    </w:p>
    <w:p>
      <w:pPr>
        <w:ind w:left="1020" w:right="380" w:hanging="425"/>
        <w:spacing w:after="0" w:line="239" w:lineRule="auto"/>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our reliance on third parties to conduct nonclinical research activities, and for the manufacture of atacicept and any other product candidates we may develop;</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the beneficial characteristics, safety, efficacy and therapeutic effects of atacicept and any other product candidates we may develop;</w:t>
      </w:r>
    </w:p>
    <w:p>
      <w:pPr>
        <w:spacing w:after="0" w:line="31" w:lineRule="exact"/>
        <w:rPr>
          <w:rFonts w:ascii="MS PGothic" w:cs="MS PGothic" w:eastAsia="MS PGothic" w:hAnsi="MS PGothic"/>
          <w:sz w:val="12"/>
          <w:szCs w:val="12"/>
          <w:color w:val="auto"/>
        </w:rPr>
      </w:pPr>
    </w:p>
    <w:p>
      <w:pPr>
        <w:ind w:left="1020" w:right="160" w:hanging="425"/>
        <w:spacing w:after="0" w:line="239" w:lineRule="auto"/>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our estimates of the number of patients in the United States who suffer from the diseases we target and the number of subjects that will enroll in our clinical trials;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the progress and focus of our current and future clinical trials, and the reporting of data from those trials;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our ability to advance product candidates into and successfully complete clinical trials;</w:t>
      </w:r>
    </w:p>
    <w:p>
      <w:pPr>
        <w:spacing w:after="0" w:line="31" w:lineRule="exact"/>
        <w:rPr>
          <w:rFonts w:ascii="MS PGothic" w:cs="MS PGothic" w:eastAsia="MS PGothic" w:hAnsi="MS PGothic"/>
          <w:sz w:val="12"/>
          <w:szCs w:val="12"/>
          <w:color w:val="auto"/>
        </w:rPr>
      </w:pPr>
    </w:p>
    <w:p>
      <w:pPr>
        <w:ind w:left="1020" w:right="140" w:hanging="425"/>
        <w:spacing w:after="0" w:line="239" w:lineRule="auto"/>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the ability of our clinical trials to demonstrate the safety and efficacy of atacicept and any other product candidates we may develop, and other positive results;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the success of competing therapies that are or may become available;</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7"/>
        </w:numPr>
        <w:rPr>
          <w:rFonts w:ascii="MS PGothic" w:cs="MS PGothic" w:eastAsia="MS PGothic" w:hAnsi="MS PGothic"/>
          <w:sz w:val="12"/>
          <w:szCs w:val="12"/>
          <w:color w:val="auto"/>
        </w:rPr>
      </w:pPr>
      <w:r>
        <w:rPr>
          <w:rFonts w:ascii="Arial" w:cs="Arial" w:eastAsia="Arial" w:hAnsi="Arial"/>
          <w:sz w:val="17"/>
          <w:szCs w:val="17"/>
          <w:color w:val="auto"/>
        </w:rPr>
        <w:t>developments relating to our competitors and our industry, including competing product candidates and therapies;</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020"/>
          </w:cols>
          <w:pgMar w:left="320" w:top="456" w:right="5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020" w:right="460" w:hanging="425"/>
        <w:spacing w:after="0" w:line="239" w:lineRule="auto"/>
        <w:tabs>
          <w:tab w:leader="none" w:pos="1020" w:val="left"/>
        </w:tabs>
        <w:numPr>
          <w:ilvl w:val="0"/>
          <w:numId w:val="48"/>
        </w:numPr>
        <w:rPr>
          <w:rFonts w:ascii="MS PGothic" w:cs="MS PGothic" w:eastAsia="MS PGothic" w:hAnsi="MS PGothic"/>
          <w:sz w:val="12"/>
          <w:szCs w:val="12"/>
          <w:color w:val="auto"/>
        </w:rPr>
      </w:pPr>
      <w:r>
        <w:rPr>
          <w:rFonts w:ascii="Arial" w:cs="Arial" w:eastAsia="Arial" w:hAnsi="Arial"/>
          <w:sz w:val="17"/>
          <w:szCs w:val="17"/>
          <w:color w:val="auto"/>
        </w:rPr>
        <w:t>our plans relating to the further development and manufacturing of atacicept and any other product candidates we may develop, including additional indications that we may pursue;</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8"/>
        </w:numPr>
        <w:rPr>
          <w:rFonts w:ascii="MS PGothic" w:cs="MS PGothic" w:eastAsia="MS PGothic" w:hAnsi="MS PGothic"/>
          <w:sz w:val="12"/>
          <w:szCs w:val="12"/>
          <w:color w:val="auto"/>
        </w:rPr>
      </w:pPr>
      <w:r>
        <w:rPr>
          <w:rFonts w:ascii="Arial" w:cs="Arial" w:eastAsia="Arial" w:hAnsi="Arial"/>
          <w:sz w:val="17"/>
          <w:szCs w:val="17"/>
          <w:color w:val="auto"/>
        </w:rPr>
        <w:t>existing regulations and regulatory developments in the United States and other jurisdictions;</w:t>
      </w:r>
    </w:p>
    <w:p>
      <w:pPr>
        <w:spacing w:after="0" w:line="31" w:lineRule="exact"/>
        <w:rPr>
          <w:rFonts w:ascii="MS PGothic" w:cs="MS PGothic" w:eastAsia="MS PGothic" w:hAnsi="MS PGothic"/>
          <w:sz w:val="12"/>
          <w:szCs w:val="12"/>
          <w:color w:val="auto"/>
        </w:rPr>
      </w:pPr>
    </w:p>
    <w:p>
      <w:pPr>
        <w:ind w:left="1020" w:right="480" w:hanging="425"/>
        <w:spacing w:after="0" w:line="239" w:lineRule="auto"/>
        <w:tabs>
          <w:tab w:leader="none" w:pos="1020" w:val="left"/>
        </w:tabs>
        <w:numPr>
          <w:ilvl w:val="0"/>
          <w:numId w:val="48"/>
        </w:numPr>
        <w:rPr>
          <w:rFonts w:ascii="MS PGothic" w:cs="MS PGothic" w:eastAsia="MS PGothic" w:hAnsi="MS PGothic"/>
          <w:sz w:val="12"/>
          <w:szCs w:val="12"/>
          <w:color w:val="auto"/>
        </w:rPr>
      </w:pPr>
      <w:r>
        <w:rPr>
          <w:rFonts w:ascii="Arial" w:cs="Arial" w:eastAsia="Arial" w:hAnsi="Arial"/>
          <w:sz w:val="17"/>
          <w:szCs w:val="17"/>
          <w:color w:val="auto"/>
        </w:rPr>
        <w:t>our potential and ability to successfully manufacture and supply atacicept and any other product candidates we may develop for clinical trials and for commercial use, if approved;</w:t>
      </w:r>
    </w:p>
    <w:p>
      <w:pPr>
        <w:spacing w:after="0" w:line="25" w:lineRule="exact"/>
        <w:rPr>
          <w:rFonts w:ascii="MS PGothic" w:cs="MS PGothic" w:eastAsia="MS PGothic" w:hAnsi="MS PGothic"/>
          <w:sz w:val="12"/>
          <w:szCs w:val="12"/>
          <w:color w:val="auto"/>
        </w:rPr>
      </w:pPr>
    </w:p>
    <w:p>
      <w:pPr>
        <w:ind w:left="1020" w:right="140" w:hanging="425"/>
        <w:spacing w:after="0" w:line="239" w:lineRule="auto"/>
        <w:tabs>
          <w:tab w:leader="none" w:pos="1020" w:val="left"/>
        </w:tabs>
        <w:numPr>
          <w:ilvl w:val="0"/>
          <w:numId w:val="48"/>
        </w:numPr>
        <w:rPr>
          <w:rFonts w:ascii="MS PGothic" w:cs="MS PGothic" w:eastAsia="MS PGothic" w:hAnsi="MS PGothic"/>
          <w:sz w:val="12"/>
          <w:szCs w:val="12"/>
          <w:color w:val="auto"/>
        </w:rPr>
      </w:pPr>
      <w:r>
        <w:rPr>
          <w:rFonts w:ascii="Arial" w:cs="Arial" w:eastAsia="Arial" w:hAnsi="Arial"/>
          <w:sz w:val="17"/>
          <w:szCs w:val="17"/>
          <w:color w:val="auto"/>
        </w:rPr>
        <w:t>the rate and degree of market acceptance of atacicept and any other product candidates we may develop, as well as the pricing and reimbursement of atacicept and any other product candidates we may develop, if approved;</w:t>
      </w:r>
    </w:p>
    <w:p>
      <w:pPr>
        <w:spacing w:after="0" w:line="25" w:lineRule="exact"/>
        <w:rPr>
          <w:rFonts w:ascii="MS PGothic" w:cs="MS PGothic" w:eastAsia="MS PGothic" w:hAnsi="MS PGothic"/>
          <w:sz w:val="12"/>
          <w:szCs w:val="12"/>
          <w:color w:val="auto"/>
        </w:rPr>
      </w:pPr>
    </w:p>
    <w:p>
      <w:pPr>
        <w:ind w:left="1020" w:right="520" w:hanging="425"/>
        <w:spacing w:after="0" w:line="239" w:lineRule="auto"/>
        <w:tabs>
          <w:tab w:leader="none" w:pos="1020" w:val="left"/>
        </w:tabs>
        <w:numPr>
          <w:ilvl w:val="0"/>
          <w:numId w:val="48"/>
        </w:numPr>
        <w:rPr>
          <w:rFonts w:ascii="MS PGothic" w:cs="MS PGothic" w:eastAsia="MS PGothic" w:hAnsi="MS PGothic"/>
          <w:sz w:val="12"/>
          <w:szCs w:val="12"/>
          <w:color w:val="auto"/>
        </w:rPr>
      </w:pPr>
      <w:r>
        <w:rPr>
          <w:rFonts w:ascii="Arial" w:cs="Arial" w:eastAsia="Arial" w:hAnsi="Arial"/>
          <w:sz w:val="17"/>
          <w:szCs w:val="17"/>
          <w:color w:val="auto"/>
        </w:rPr>
        <w:t>our continued reliance on third parties to conduct additional clinical trials of atacicept and any other product candidates we may develop, and for the manufacture of our product candidates;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8"/>
        </w:numPr>
        <w:rPr>
          <w:rFonts w:ascii="MS PGothic" w:cs="MS PGothic" w:eastAsia="MS PGothic" w:hAnsi="MS PGothic"/>
          <w:sz w:val="12"/>
          <w:szCs w:val="12"/>
          <w:color w:val="auto"/>
        </w:rPr>
      </w:pPr>
      <w:r>
        <w:rPr>
          <w:rFonts w:ascii="Arial" w:cs="Arial" w:eastAsia="Arial" w:hAnsi="Arial"/>
          <w:sz w:val="17"/>
          <w:szCs w:val="17"/>
          <w:color w:val="auto"/>
        </w:rPr>
        <w:t>our plans and ability to obtain and protect intellectual property rights;</w:t>
      </w:r>
    </w:p>
    <w:p>
      <w:pPr>
        <w:spacing w:after="0" w:line="31" w:lineRule="exact"/>
        <w:rPr>
          <w:rFonts w:ascii="MS PGothic" w:cs="MS PGothic" w:eastAsia="MS PGothic" w:hAnsi="MS PGothic"/>
          <w:sz w:val="12"/>
          <w:szCs w:val="12"/>
          <w:color w:val="auto"/>
        </w:rPr>
      </w:pPr>
    </w:p>
    <w:p>
      <w:pPr>
        <w:ind w:left="1020" w:right="60" w:hanging="425"/>
        <w:spacing w:after="0" w:line="239" w:lineRule="auto"/>
        <w:tabs>
          <w:tab w:leader="none" w:pos="1020" w:val="left"/>
        </w:tabs>
        <w:numPr>
          <w:ilvl w:val="0"/>
          <w:numId w:val="48"/>
        </w:numPr>
        <w:rPr>
          <w:rFonts w:ascii="MS PGothic" w:cs="MS PGothic" w:eastAsia="MS PGothic" w:hAnsi="MS PGothic"/>
          <w:sz w:val="12"/>
          <w:szCs w:val="12"/>
          <w:color w:val="auto"/>
        </w:rPr>
      </w:pPr>
      <w:r>
        <w:rPr>
          <w:rFonts w:ascii="Arial" w:cs="Arial" w:eastAsia="Arial" w:hAnsi="Arial"/>
          <w:sz w:val="17"/>
          <w:szCs w:val="17"/>
          <w:color w:val="auto"/>
        </w:rPr>
        <w:t>the scope of protection we are able to establish and maintain for intellectual property rights, including atacicept and any other product candidates we may develop;</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8"/>
        </w:numPr>
        <w:rPr>
          <w:rFonts w:ascii="MS PGothic" w:cs="MS PGothic" w:eastAsia="MS PGothic" w:hAnsi="MS PGothic"/>
          <w:sz w:val="12"/>
          <w:szCs w:val="12"/>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31" w:lineRule="exact"/>
        <w:rPr>
          <w:rFonts w:ascii="MS PGothic" w:cs="MS PGothic" w:eastAsia="MS PGothic" w:hAnsi="MS PGothic"/>
          <w:sz w:val="12"/>
          <w:szCs w:val="12"/>
          <w:color w:val="auto"/>
        </w:rPr>
      </w:pPr>
    </w:p>
    <w:p>
      <w:pPr>
        <w:ind w:left="1020" w:right="920" w:hanging="425"/>
        <w:spacing w:after="0" w:line="239" w:lineRule="auto"/>
        <w:tabs>
          <w:tab w:leader="none" w:pos="1020" w:val="left"/>
        </w:tabs>
        <w:numPr>
          <w:ilvl w:val="0"/>
          <w:numId w:val="48"/>
        </w:numPr>
        <w:rPr>
          <w:rFonts w:ascii="MS PGothic" w:cs="MS PGothic" w:eastAsia="MS PGothic" w:hAnsi="MS PGothic"/>
          <w:sz w:val="12"/>
          <w:szCs w:val="12"/>
          <w:color w:val="auto"/>
        </w:rPr>
      </w:pPr>
      <w:r>
        <w:rPr>
          <w:rFonts w:ascii="Arial" w:cs="Arial" w:eastAsia="Arial" w:hAnsi="Arial"/>
          <w:sz w:val="17"/>
          <w:szCs w:val="17"/>
          <w:color w:val="auto"/>
        </w:rPr>
        <w:t>our expectations regarding the impact of the COVID-19 pandemic on our business and operations, including clinical trials, manufacturing suppliers, collaborators, use of CROs and employees;</w:t>
      </w:r>
    </w:p>
    <w:p>
      <w:pPr>
        <w:spacing w:after="0" w:line="25" w:lineRule="exact"/>
        <w:rPr>
          <w:rFonts w:ascii="MS PGothic" w:cs="MS PGothic" w:eastAsia="MS PGothic" w:hAnsi="MS PGothic"/>
          <w:sz w:val="12"/>
          <w:szCs w:val="12"/>
          <w:color w:val="auto"/>
        </w:rPr>
      </w:pPr>
    </w:p>
    <w:p>
      <w:pPr>
        <w:ind w:left="1020" w:right="400" w:hanging="425"/>
        <w:spacing w:after="0" w:line="239" w:lineRule="auto"/>
        <w:tabs>
          <w:tab w:leader="none" w:pos="1020" w:val="left"/>
        </w:tabs>
        <w:numPr>
          <w:ilvl w:val="0"/>
          <w:numId w:val="48"/>
        </w:numPr>
        <w:rPr>
          <w:rFonts w:ascii="MS PGothic" w:cs="MS PGothic" w:eastAsia="MS PGothic" w:hAnsi="MS PGothic"/>
          <w:sz w:val="12"/>
          <w:szCs w:val="12"/>
          <w:color w:val="auto"/>
        </w:rPr>
      </w:pPr>
      <w:r>
        <w:rPr>
          <w:rFonts w:ascii="Arial" w:cs="Arial" w:eastAsia="Arial" w:hAnsi="Arial"/>
          <w:sz w:val="17"/>
          <w:szCs w:val="17"/>
          <w:color w:val="auto"/>
        </w:rPr>
        <w:t>our expectations regarding the period during which we will qualify as an emerging growth company under the JOBS Act and as a smaller reporting company under the Exchange Act; and</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8"/>
        </w:numPr>
        <w:rPr>
          <w:rFonts w:ascii="MS PGothic" w:cs="MS PGothic" w:eastAsia="MS PGothic" w:hAnsi="MS PGothic"/>
          <w:sz w:val="12"/>
          <w:szCs w:val="12"/>
          <w:color w:val="auto"/>
        </w:rPr>
      </w:pPr>
      <w:r>
        <w:rPr>
          <w:rFonts w:ascii="Arial" w:cs="Arial" w:eastAsia="Arial" w:hAnsi="Arial"/>
          <w:sz w:val="17"/>
          <w:szCs w:val="17"/>
          <w:color w:val="auto"/>
        </w:rPr>
        <w:t>our anticipated use of our existing cash and cash equivalents and the proceeds from this offering.</w:t>
      </w:r>
    </w:p>
    <w:p>
      <w:pPr>
        <w:spacing w:after="0" w:line="152" w:lineRule="exact"/>
        <w:rPr>
          <w:sz w:val="20"/>
          <w:szCs w:val="20"/>
          <w:color w:val="auto"/>
        </w:rPr>
      </w:pPr>
    </w:p>
    <w:p>
      <w:pPr>
        <w:ind w:left="160" w:right="220"/>
        <w:spacing w:after="0" w:line="247"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41"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040"/>
          </w:cols>
          <w:pgMar w:left="320" w:top="456" w:right="5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INDUSTRY AND OTHER DATA</w:t>
      </w:r>
    </w:p>
    <w:p>
      <w:pPr>
        <w:spacing w:after="0" w:line="331"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while we believe the industry, market and competitive position data included in this prospectus is reliable and based on reasonable assumptions, such data involve risks and uncertainties and are subject to change based on various factors, including those discussed in the section titled “Risk Factors.” These and other factors could cause results to differ materially from those expressed in the estimates made by the independent parties or by us.</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040"/>
          </w:cols>
          <w:pgMar w:left="320" w:top="456" w:right="5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331" w:lineRule="exact"/>
        <w:rPr>
          <w:sz w:val="20"/>
          <w:szCs w:val="20"/>
          <w:color w:val="auto"/>
        </w:rPr>
      </w:pPr>
    </w:p>
    <w:p>
      <w:pPr>
        <w:jc w:val="both"/>
        <w:ind w:left="160" w:right="100"/>
        <w:spacing w:after="0" w:line="236" w:lineRule="auto"/>
        <w:rPr>
          <w:sz w:val="20"/>
          <w:szCs w:val="20"/>
          <w:color w:val="auto"/>
        </w:rPr>
      </w:pPr>
      <w:r>
        <w:rPr>
          <w:rFonts w:ascii="Arial" w:cs="Arial" w:eastAsia="Arial" w:hAnsi="Arial"/>
          <w:sz w:val="17"/>
          <w:szCs w:val="17"/>
          <w:color w:val="auto"/>
        </w:rPr>
        <w:t>We estimate that we will receive net proceeds from this offering of approximately $60.7 million (or approximately $69.8 million if the underwriters’ option to purchase 652,500 additional shares of our Class A common stock is exercised in full) based on the assumed initial public offering price of $15.00 per share, after deducting underwriting discounts and commissions and estimated offering expenses payable by us.</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Each $1.00 increase or decrease in the assumed initial public offering price of $15.00 per share would increase or decrease, as applicable, the</w:t>
      </w:r>
    </w:p>
    <w:p>
      <w:pPr>
        <w:ind w:left="160"/>
        <w:spacing w:after="0" w:line="229" w:lineRule="auto"/>
        <w:rPr>
          <w:sz w:val="20"/>
          <w:szCs w:val="20"/>
          <w:color w:val="auto"/>
        </w:rPr>
      </w:pPr>
      <w:r>
        <w:rPr>
          <w:rFonts w:ascii="Arial" w:cs="Arial" w:eastAsia="Arial" w:hAnsi="Arial"/>
          <w:sz w:val="17"/>
          <w:szCs w:val="17"/>
          <w:color w:val="auto"/>
        </w:rPr>
        <w:t>net proceeds to us from this offering by approximately $4.0 million, assuming the number of shares offered by us, as set forth on the cover page</w:t>
      </w:r>
    </w:p>
    <w:p>
      <w:pPr>
        <w:ind w:left="160"/>
        <w:spacing w:after="0" w:line="230" w:lineRule="auto"/>
        <w:rPr>
          <w:sz w:val="20"/>
          <w:szCs w:val="20"/>
          <w:color w:val="auto"/>
        </w:rPr>
      </w:pPr>
      <w:r>
        <w:rPr>
          <w:rFonts w:ascii="Arial" w:cs="Arial" w:eastAsia="Arial" w:hAnsi="Arial"/>
          <w:sz w:val="17"/>
          <w:szCs w:val="17"/>
          <w:color w:val="auto"/>
        </w:rPr>
        <w:t>of this prospectus, remains the same, and after deducting underwriting discounts and commissions and estimated offering expenses payable by</w:t>
      </w:r>
    </w:p>
    <w:p>
      <w:pPr>
        <w:ind w:left="160"/>
        <w:spacing w:after="0" w:line="230" w:lineRule="auto"/>
        <w:rPr>
          <w:sz w:val="20"/>
          <w:szCs w:val="20"/>
          <w:color w:val="auto"/>
        </w:rPr>
      </w:pPr>
      <w:r>
        <w:rPr>
          <w:rFonts w:ascii="Arial" w:cs="Arial" w:eastAsia="Arial" w:hAnsi="Arial"/>
          <w:sz w:val="17"/>
          <w:szCs w:val="17"/>
          <w:color w:val="auto"/>
        </w:rPr>
        <w:t>us. Similarly, each increase or decrease of 1.0 million shares in the number of shares of Class A common stock offered by us would increase or</w:t>
      </w:r>
    </w:p>
    <w:p>
      <w:pPr>
        <w:ind w:left="160"/>
        <w:spacing w:after="0" w:line="230" w:lineRule="auto"/>
        <w:rPr>
          <w:sz w:val="20"/>
          <w:szCs w:val="20"/>
          <w:color w:val="auto"/>
        </w:rPr>
      </w:pPr>
      <w:r>
        <w:rPr>
          <w:rFonts w:ascii="Arial" w:cs="Arial" w:eastAsia="Arial" w:hAnsi="Arial"/>
          <w:sz w:val="17"/>
          <w:szCs w:val="17"/>
          <w:color w:val="auto"/>
        </w:rPr>
        <w:t>decrease, as applicable, the net proceeds to us from this offering by approximately $14.0 million, assuming the initial public offering price of</w:t>
      </w:r>
    </w:p>
    <w:p>
      <w:pPr>
        <w:ind w:left="160"/>
        <w:spacing w:after="0" w:line="230" w:lineRule="auto"/>
        <w:rPr>
          <w:sz w:val="20"/>
          <w:szCs w:val="20"/>
          <w:color w:val="auto"/>
        </w:rPr>
      </w:pPr>
      <w:r>
        <w:rPr>
          <w:rFonts w:ascii="Arial" w:cs="Arial" w:eastAsia="Arial" w:hAnsi="Arial"/>
          <w:sz w:val="17"/>
          <w:szCs w:val="17"/>
          <w:color w:val="auto"/>
        </w:rPr>
        <w:t>$15.00 per share remains the same, and after deducting underwriting discounts and commissions and estimated offering expenses payable by</w:t>
      </w:r>
    </w:p>
    <w:p>
      <w:pPr>
        <w:ind w:left="160"/>
        <w:spacing w:after="0"/>
        <w:rPr>
          <w:sz w:val="20"/>
          <w:szCs w:val="20"/>
          <w:color w:val="auto"/>
        </w:rPr>
      </w:pPr>
      <w:r>
        <w:rPr>
          <w:rFonts w:ascii="Arial" w:cs="Arial" w:eastAsia="Arial" w:hAnsi="Arial"/>
          <w:sz w:val="17"/>
          <w:szCs w:val="17"/>
          <w:color w:val="auto"/>
        </w:rPr>
        <w:t>us.</w:t>
      </w:r>
    </w:p>
    <w:p>
      <w:pPr>
        <w:spacing w:after="0" w:line="152" w:lineRule="exact"/>
        <w:rPr>
          <w:sz w:val="20"/>
          <w:szCs w:val="20"/>
          <w:color w:val="auto"/>
        </w:rPr>
      </w:pPr>
    </w:p>
    <w:p>
      <w:pPr>
        <w:ind w:left="160" w:right="40"/>
        <w:spacing w:after="0" w:line="239"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establish a public market for our Class A common stock and facilitate our future access to the public capital markets.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We currently intend to use the net proceeds we receive from this offering, together with our existing cash and cash equivalents, as follows:</w:t>
      </w:r>
    </w:p>
    <w:p>
      <w:pPr>
        <w:spacing w:after="0" w:line="192" w:lineRule="exact"/>
        <w:rPr>
          <w:sz w:val="20"/>
          <w:szCs w:val="20"/>
          <w:color w:val="auto"/>
        </w:rPr>
      </w:pPr>
    </w:p>
    <w:p>
      <w:pPr>
        <w:ind w:left="1020" w:hanging="425"/>
        <w:spacing w:after="0"/>
        <w:tabs>
          <w:tab w:leader="none" w:pos="102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approximately $30.0 million to $35.0 million to complete our current Phase 2b clinical trial of atacicept in IgAN;</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approximately $15.0 million to $20.0 million to initiate a Phase 2b or Phase 3 clinical trial for atacicept in patients with LN; and</w:t>
      </w:r>
    </w:p>
    <w:p>
      <w:pPr>
        <w:spacing w:after="0" w:line="31" w:lineRule="exact"/>
        <w:rPr>
          <w:rFonts w:ascii="MS PGothic" w:cs="MS PGothic" w:eastAsia="MS PGothic" w:hAnsi="MS PGothic"/>
          <w:sz w:val="12"/>
          <w:szCs w:val="12"/>
          <w:color w:val="auto"/>
        </w:rPr>
      </w:pPr>
    </w:p>
    <w:p>
      <w:pPr>
        <w:ind w:left="1020" w:right="520" w:hanging="425"/>
        <w:spacing w:after="0" w:line="239" w:lineRule="auto"/>
        <w:tabs>
          <w:tab w:leader="none" w:pos="1020" w:val="left"/>
        </w:tabs>
        <w:numPr>
          <w:ilvl w:val="0"/>
          <w:numId w:val="49"/>
        </w:numPr>
        <w:rPr>
          <w:rFonts w:ascii="MS PGothic" w:cs="MS PGothic" w:eastAsia="MS PGothic" w:hAnsi="MS PGothic"/>
          <w:sz w:val="12"/>
          <w:szCs w:val="12"/>
          <w:color w:val="auto"/>
        </w:rPr>
      </w:pPr>
      <w:r>
        <w:rPr>
          <w:rFonts w:ascii="Arial" w:cs="Arial" w:eastAsia="Arial" w:hAnsi="Arial"/>
          <w:sz w:val="17"/>
          <w:szCs w:val="17"/>
          <w:color w:val="auto"/>
        </w:rPr>
        <w:t>the remainder for research and development activities, including developing atacicept in potential additional indications, general corporate purposes, including working capital, operating expenses and capital expenditures.</w:t>
      </w:r>
    </w:p>
    <w:p>
      <w:pPr>
        <w:spacing w:after="0" w:line="146" w:lineRule="exact"/>
        <w:rPr>
          <w:sz w:val="20"/>
          <w:szCs w:val="20"/>
          <w:color w:val="auto"/>
        </w:rPr>
      </w:pPr>
    </w:p>
    <w:p>
      <w:pPr>
        <w:ind w:left="160" w:right="820"/>
        <w:spacing w:after="0" w:line="239" w:lineRule="auto"/>
        <w:rPr>
          <w:sz w:val="20"/>
          <w:szCs w:val="20"/>
          <w:color w:val="auto"/>
        </w:rPr>
      </w:pPr>
      <w:r>
        <w:rPr>
          <w:rFonts w:ascii="Arial" w:cs="Arial" w:eastAsia="Arial" w:hAnsi="Arial"/>
          <w:sz w:val="17"/>
          <w:szCs w:val="17"/>
          <w:color w:val="auto"/>
        </w:rPr>
        <w:t>We may also use a portion of the remaining net proceeds and our existing cash and cash equivalents to in-license, acquire, or invest in complementary businesses, technologies, products or assets. However, we have no current commitments or obligations to do so.</w:t>
      </w:r>
    </w:p>
    <w:p>
      <w:pPr>
        <w:spacing w:after="0" w:line="146"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We believe, based on our current operating plan, that the net proceeds from this offering, together with our existing cash and cash equivalents, will be sufficient to fund our operations for at least the next 18 months. In particular, we expect that the net proceeds from this offering will allow us to complete our current Phase 2b clinical trial for atacicept in patients with IgAN, and initiate a Phase 2b or Phase 3 clinical trial for atacicept in patients with LN. However, our expected use of proceeds from this offering described above represents our current intentions based on our present plans and business condition. As of the date of this prospectus, we cannot predict with certainty all of the particular uses for the proceeds to be received upon the closing of this offering or the actual amounts that we will spend on the uses set forth above. The net proceeds from this offering, together with our cash and cash equivalents, will not be sufficient for us to fund atacicept in IgAN or LN through regulatory approval, and we will need to raise additional capital to complete the development and commercialization of atacicept in IgAN, LN, and any future product candidates we may develop.</w:t>
      </w:r>
    </w:p>
    <w:p>
      <w:pPr>
        <w:spacing w:after="0" w:line="145"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The amounts and timing of our actual expenditures will depend on numerous factors, including the time and cost necessary to conduct our planned clinical trials, the results of our planned clinical trials and other factors described in the section titled “Risk Factors” in this prospectus, as well as the amount of cash used in our operations and any unforeseen cash needs. Therefore, our actual expenditures may differ materially from the estimates described above. We may find it necessary or advisable to use the net proceeds for other purposes.</w:t>
      </w:r>
    </w:p>
    <w:p>
      <w:pPr>
        <w:spacing w:after="0" w:line="147" w:lineRule="exact"/>
        <w:rPr>
          <w:sz w:val="20"/>
          <w:szCs w:val="20"/>
          <w:color w:val="auto"/>
        </w:rPr>
      </w:pPr>
    </w:p>
    <w:p>
      <w:pPr>
        <w:ind w:left="160" w:right="520"/>
        <w:spacing w:after="0" w:line="239" w:lineRule="auto"/>
        <w:rPr>
          <w:sz w:val="20"/>
          <w:szCs w:val="20"/>
          <w:color w:val="auto"/>
        </w:rPr>
      </w:pPr>
      <w:r>
        <w:rPr>
          <w:rFonts w:ascii="Arial" w:cs="Arial" w:eastAsia="Arial" w:hAnsi="Arial"/>
          <w:sz w:val="17"/>
          <w:szCs w:val="17"/>
          <w:color w:val="auto"/>
        </w:rPr>
        <w:t>We will have broad discretion over how to use the net proceeds to us from this offering. We intend to invest the net proceeds to us from the offering that are not used as described above in short-term, investment-grade, interest-bearing instruments.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080"/>
          </w:cols>
          <w:pgMar w:left="320" w:top="456"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331"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We do not anticipate declaring or paying, in the foreseeable future, any cash dividends on our capital stock. We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w:t>
      </w:r>
    </w:p>
    <w:p>
      <w:pPr>
        <w:spacing w:after="0" w:line="148" w:lineRule="exact"/>
        <w:rPr>
          <w:sz w:val="20"/>
          <w:szCs w:val="20"/>
          <w:color w:val="auto"/>
        </w:rPr>
      </w:pPr>
    </w:p>
    <w:p>
      <w:pPr>
        <w:ind w:left="160"/>
        <w:spacing w:after="0" w:line="239" w:lineRule="auto"/>
        <w:rPr>
          <w:sz w:val="20"/>
          <w:szCs w:val="20"/>
          <w:color w:val="auto"/>
        </w:rPr>
      </w:pPr>
      <w:r>
        <w:rPr>
          <w:rFonts w:ascii="Arial" w:cs="Arial" w:eastAsia="Arial" w:hAnsi="Arial"/>
          <w:sz w:val="17"/>
          <w:szCs w:val="17"/>
          <w:color w:val="auto"/>
        </w:rPr>
        <w:t>In addition, our ability to pay cash dividends on our capital stock in the future may be limited by the terms of any future debt or preferred securities we issue or any credit facilities we enter into.</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060"/>
          </w:cols>
          <w:pgMar w:left="320" w:top="456" w:right="5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33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sets forth our cash and cash equivalents and capitalization as of December 31, 2020 on:</w:t>
      </w:r>
    </w:p>
    <w:p>
      <w:pPr>
        <w:spacing w:after="0" w:line="192" w:lineRule="exact"/>
        <w:rPr>
          <w:sz w:val="20"/>
          <w:szCs w:val="20"/>
          <w:color w:val="auto"/>
        </w:rPr>
      </w:pPr>
    </w:p>
    <w:p>
      <w:pPr>
        <w:ind w:left="1020" w:hanging="425"/>
        <w:spacing w:after="0"/>
        <w:tabs>
          <w:tab w:leader="none" w:pos="1020" w:val="left"/>
        </w:tabs>
        <w:numPr>
          <w:ilvl w:val="0"/>
          <w:numId w:val="50"/>
        </w:numPr>
        <w:rPr>
          <w:rFonts w:ascii="MS PGothic" w:cs="MS PGothic" w:eastAsia="MS PGothic" w:hAnsi="MS PGothic"/>
          <w:sz w:val="12"/>
          <w:szCs w:val="12"/>
          <w:color w:val="auto"/>
        </w:rPr>
      </w:pPr>
      <w:r>
        <w:rPr>
          <w:rFonts w:ascii="Arial" w:cs="Arial" w:eastAsia="Arial" w:hAnsi="Arial"/>
          <w:sz w:val="17"/>
          <w:szCs w:val="17"/>
          <w:color w:val="auto"/>
        </w:rPr>
        <w:t>an actual basis;</w:t>
      </w:r>
    </w:p>
    <w:p>
      <w:pPr>
        <w:spacing w:after="0" w:line="31" w:lineRule="exact"/>
        <w:rPr>
          <w:rFonts w:ascii="MS PGothic" w:cs="MS PGothic" w:eastAsia="MS PGothic" w:hAnsi="MS PGothic"/>
          <w:sz w:val="12"/>
          <w:szCs w:val="12"/>
          <w:color w:val="auto"/>
        </w:rPr>
      </w:pPr>
    </w:p>
    <w:p>
      <w:pPr>
        <w:ind w:left="1020" w:right="20" w:hanging="425"/>
        <w:spacing w:after="0" w:line="233" w:lineRule="auto"/>
        <w:tabs>
          <w:tab w:leader="none" w:pos="1020" w:val="left"/>
        </w:tabs>
        <w:numPr>
          <w:ilvl w:val="0"/>
          <w:numId w:val="50"/>
        </w:numPr>
        <w:rPr>
          <w:rFonts w:ascii="MS PGothic" w:cs="MS PGothic" w:eastAsia="MS PGothic" w:hAnsi="MS PGothic"/>
          <w:sz w:val="12"/>
          <w:szCs w:val="12"/>
          <w:color w:val="auto"/>
        </w:rPr>
      </w:pPr>
      <w:r>
        <w:rPr>
          <w:rFonts w:ascii="Arial" w:cs="Arial" w:eastAsia="Arial" w:hAnsi="Arial"/>
          <w:sz w:val="17"/>
          <w:szCs w:val="17"/>
          <w:color w:val="auto"/>
        </w:rPr>
        <w:t>a pro forma basis, giving effect to the (i) automatic conversion of all outstanding shares of our redeemable convertible preferred stock into an aggregate of 15,774,014 shares of our Class A common stock which will occur upon the closing of this offering, and the related reclassification of the carrying value of our redeemable convertible preferred stock to permanent equity upon the closing of this offering, and (ii) filing and effectiveness of our amended and restated certificate of incorporation that will be in effect immediately after the closing of this offering; and</w:t>
      </w:r>
    </w:p>
    <w:p>
      <w:pPr>
        <w:spacing w:after="0" w:line="27" w:lineRule="exact"/>
        <w:rPr>
          <w:rFonts w:ascii="MS PGothic" w:cs="MS PGothic" w:eastAsia="MS PGothic" w:hAnsi="MS PGothic"/>
          <w:sz w:val="12"/>
          <w:szCs w:val="12"/>
          <w:color w:val="auto"/>
        </w:rPr>
      </w:pPr>
    </w:p>
    <w:p>
      <w:pPr>
        <w:ind w:left="1020" w:right="160" w:hanging="425"/>
        <w:spacing w:after="0" w:line="236" w:lineRule="auto"/>
        <w:tabs>
          <w:tab w:leader="none" w:pos="1020" w:val="left"/>
        </w:tabs>
        <w:numPr>
          <w:ilvl w:val="0"/>
          <w:numId w:val="50"/>
        </w:numPr>
        <w:rPr>
          <w:rFonts w:ascii="MS PGothic" w:cs="MS PGothic" w:eastAsia="MS PGothic" w:hAnsi="MS PGothic"/>
          <w:sz w:val="12"/>
          <w:szCs w:val="12"/>
          <w:color w:val="auto"/>
        </w:rPr>
      </w:pPr>
      <w:r>
        <w:rPr>
          <w:rFonts w:ascii="Arial" w:cs="Arial" w:eastAsia="Arial" w:hAnsi="Arial"/>
          <w:sz w:val="17"/>
          <w:szCs w:val="17"/>
          <w:color w:val="auto"/>
        </w:rPr>
        <w:t>a pro forma as adjusted basis, giving effect to the (i) pro forma adjustments set forth above and (ii) our receipt of net proceeds from the sale of 4,350,000 shares of Class A common stock in this offering at the assumed initial public offering price of $15.00 per share, after deducting underwriting discounts and commissions and estimated offering expenses payable by us.</w:t>
      </w:r>
    </w:p>
    <w:p>
      <w:pPr>
        <w:spacing w:after="0" w:line="146" w:lineRule="exact"/>
        <w:rPr>
          <w:sz w:val="20"/>
          <w:szCs w:val="20"/>
          <w:color w:val="auto"/>
        </w:rPr>
      </w:pPr>
    </w:p>
    <w:p>
      <w:pPr>
        <w:ind w:left="160" w:right="180"/>
        <w:spacing w:after="0" w:line="239" w:lineRule="auto"/>
        <w:rPr>
          <w:sz w:val="20"/>
          <w:szCs w:val="20"/>
          <w:color w:val="auto"/>
        </w:rPr>
      </w:pPr>
      <w:r>
        <w:rPr>
          <w:rFonts w:ascii="Arial" w:cs="Arial" w:eastAsia="Arial" w:hAnsi="Arial"/>
          <w:sz w:val="17"/>
          <w:szCs w:val="17"/>
          <w:color w:val="auto"/>
        </w:rPr>
        <w:t>The pro forma as adjusted information below is illustrative only, and our capitalization following the closing of this offering will be adjusted based on the actual initial public offering price and other terms of this offering determined at pricing.</w:t>
      </w:r>
    </w:p>
    <w:p>
      <w:pPr>
        <w:spacing w:after="0" w:line="146" w:lineRule="exact"/>
        <w:rPr>
          <w:sz w:val="20"/>
          <w:szCs w:val="20"/>
          <w:color w:val="auto"/>
        </w:rPr>
      </w:pPr>
    </w:p>
    <w:p>
      <w:pPr>
        <w:ind w:left="160" w:right="720"/>
        <w:spacing w:after="0" w:line="239" w:lineRule="auto"/>
        <w:rPr>
          <w:sz w:val="20"/>
          <w:szCs w:val="20"/>
          <w:color w:val="auto"/>
        </w:rPr>
      </w:pPr>
      <w:r>
        <w:rPr>
          <w:rFonts w:ascii="Arial" w:cs="Arial" w:eastAsia="Arial" w:hAnsi="Arial"/>
          <w:sz w:val="17"/>
          <w:szCs w:val="17"/>
          <w:color w:val="auto"/>
        </w:rPr>
        <w:t>You should read this table together with the sections titled “Management’s Discussion and Analysis of Financial Condition and Results of Operations,” “Description of Capital Stock” and our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8"/>
              </w:rPr>
              <w:t>PRO</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PRO</w:t>
            </w:r>
          </w:p>
        </w:tc>
        <w:tc>
          <w:tcPr>
            <w:tcW w:w="14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4"/>
        </w:trPr>
        <w:tc>
          <w:tcPr>
            <w:tcW w:w="79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9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FORMA</w:t>
            </w:r>
          </w:p>
        </w:tc>
        <w:tc>
          <w:tcPr>
            <w:tcW w:w="140" w:type="dxa"/>
            <w:vAlign w:val="bottom"/>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4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53,654</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53,654</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$ 114,336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40" w:type="dxa"/>
            <w:vAlign w:val="bottom"/>
          </w:tcPr>
          <w:p>
            <w:pPr>
              <w:ind w:left="480"/>
              <w:spacing w:after="0" w:line="181" w:lineRule="exact"/>
              <w:rPr>
                <w:sz w:val="20"/>
                <w:szCs w:val="20"/>
                <w:color w:val="auto"/>
              </w:rPr>
            </w:pPr>
            <w:r>
              <w:rPr>
                <w:rFonts w:ascii="Arial" w:cs="Arial" w:eastAsia="Arial" w:hAnsi="Arial"/>
                <w:sz w:val="17"/>
                <w:szCs w:val="17"/>
                <w:color w:val="auto"/>
              </w:rPr>
              <w:t>Redeemable convertible preferred stock, $0.001 par value; 182,772,372 shares authorized,</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40" w:type="dxa"/>
            <w:vAlign w:val="bottom"/>
          </w:tcPr>
          <w:p>
            <w:pPr>
              <w:ind w:left="740"/>
              <w:spacing w:after="0" w:line="194" w:lineRule="exact"/>
              <w:rPr>
                <w:sz w:val="20"/>
                <w:szCs w:val="20"/>
                <w:color w:val="auto"/>
              </w:rPr>
            </w:pPr>
            <w:r>
              <w:rPr>
                <w:rFonts w:ascii="Arial" w:cs="Arial" w:eastAsia="Arial" w:hAnsi="Arial"/>
                <w:sz w:val="17"/>
                <w:szCs w:val="17"/>
                <w:color w:val="auto"/>
              </w:rPr>
              <w:t>issued and outstanding as of December 31, 2020</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w w:val="97"/>
              </w:rPr>
              <w:t>139,576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8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9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Stockholders’ deficit (equity)</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40" w:type="dxa"/>
            <w:vAlign w:val="bottom"/>
          </w:tcPr>
          <w:p>
            <w:pPr>
              <w:ind w:left="480"/>
              <w:spacing w:after="0" w:line="181" w:lineRule="exact"/>
              <w:rPr>
                <w:sz w:val="20"/>
                <w:szCs w:val="20"/>
                <w:color w:val="auto"/>
              </w:rPr>
            </w:pPr>
            <w:r>
              <w:rPr>
                <w:rFonts w:ascii="Arial" w:cs="Arial" w:eastAsia="Arial" w:hAnsi="Arial"/>
                <w:sz w:val="17"/>
                <w:szCs w:val="17"/>
                <w:color w:val="auto"/>
              </w:rPr>
              <w:t>Class A Common stock, $0.001 par value; 273,986,920 shares authorized and 355,296 shares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40" w:type="dxa"/>
            <w:vAlign w:val="bottom"/>
          </w:tcPr>
          <w:p>
            <w:pPr>
              <w:ind w:left="740"/>
              <w:spacing w:after="0" w:line="194" w:lineRule="exact"/>
              <w:rPr>
                <w:sz w:val="20"/>
                <w:szCs w:val="20"/>
                <w:color w:val="auto"/>
              </w:rPr>
            </w:pPr>
            <w:r>
              <w:rPr>
                <w:rFonts w:ascii="Arial" w:cs="Arial" w:eastAsia="Arial" w:hAnsi="Arial"/>
                <w:sz w:val="17"/>
                <w:szCs w:val="17"/>
                <w:color w:val="auto"/>
              </w:rPr>
              <w:t>issued and outstanding as of December 31, 2020</w:t>
            </w:r>
          </w:p>
        </w:tc>
        <w:tc>
          <w:tcPr>
            <w:tcW w:w="100" w:type="dxa"/>
            <w:vAlign w:val="bottom"/>
          </w:tcPr>
          <w:p>
            <w:pPr>
              <w:spacing w:after="0"/>
              <w:rPr>
                <w:sz w:val="16"/>
                <w:szCs w:val="16"/>
                <w:color w:val="auto"/>
              </w:rPr>
            </w:pPr>
          </w:p>
        </w:tc>
        <w:tc>
          <w:tcPr>
            <w:tcW w:w="800" w:type="dxa"/>
            <w:vAlign w:val="bottom"/>
            <w:gridSpan w:val="2"/>
          </w:tcPr>
          <w:p>
            <w:pPr>
              <w:jc w:val="right"/>
              <w:ind w:right="28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2</w:t>
            </w:r>
          </w:p>
        </w:tc>
        <w:tc>
          <w:tcPr>
            <w:tcW w:w="102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40" w:type="dxa"/>
            <w:vAlign w:val="bottom"/>
            <w:shd w:val="clear" w:color="auto" w:fill="CCEEFF"/>
          </w:tcPr>
          <w:p>
            <w:pPr>
              <w:ind w:left="480"/>
              <w:spacing w:after="0" w:line="181" w:lineRule="exact"/>
              <w:rPr>
                <w:sz w:val="20"/>
                <w:szCs w:val="20"/>
                <w:color w:val="auto"/>
              </w:rPr>
            </w:pPr>
            <w:r>
              <w:rPr>
                <w:rFonts w:ascii="Arial" w:cs="Arial" w:eastAsia="Arial" w:hAnsi="Arial"/>
                <w:sz w:val="17"/>
                <w:szCs w:val="17"/>
                <w:color w:val="auto"/>
              </w:rPr>
              <w:t>Class B Common stock, $0.001 par value; 21,593,607 shares authorized and no shares issued</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40" w:type="dxa"/>
            <w:vAlign w:val="bottom"/>
            <w:shd w:val="clear" w:color="auto" w:fill="CCEEFF"/>
          </w:tcPr>
          <w:p>
            <w:pPr>
              <w:ind w:left="740"/>
              <w:spacing w:after="0" w:line="194" w:lineRule="exact"/>
              <w:rPr>
                <w:sz w:val="20"/>
                <w:szCs w:val="20"/>
                <w:color w:val="auto"/>
              </w:rPr>
            </w:pPr>
            <w:r>
              <w:rPr>
                <w:rFonts w:ascii="Arial" w:cs="Arial" w:eastAsia="Arial" w:hAnsi="Arial"/>
                <w:sz w:val="17"/>
                <w:szCs w:val="17"/>
                <w:color w:val="auto"/>
              </w:rPr>
              <w:t>and outstanding as of December 31, 2020</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940" w:type="dxa"/>
            <w:vAlign w:val="bottom"/>
          </w:tcPr>
          <w:p>
            <w:pPr>
              <w:spacing w:after="0" w:line="187" w:lineRule="exact"/>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line="187" w:lineRule="exact"/>
              <w:rPr>
                <w:sz w:val="20"/>
                <w:szCs w:val="20"/>
                <w:color w:val="auto"/>
              </w:rPr>
            </w:pPr>
            <w:r>
              <w:rPr>
                <w:rFonts w:ascii="Arial" w:cs="Arial" w:eastAsia="Arial" w:hAnsi="Arial"/>
                <w:sz w:val="17"/>
                <w:szCs w:val="17"/>
                <w:color w:val="auto"/>
              </w:rPr>
              <w:t>2,099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line="187" w:lineRule="exact"/>
              <w:rPr>
                <w:sz w:val="20"/>
                <w:szCs w:val="20"/>
                <w:color w:val="auto"/>
              </w:rPr>
            </w:pPr>
            <w:r>
              <w:rPr>
                <w:rFonts w:ascii="Arial" w:cs="Arial" w:eastAsia="Arial" w:hAnsi="Arial"/>
                <w:sz w:val="17"/>
                <w:szCs w:val="17"/>
                <w:color w:val="auto"/>
                <w:w w:val="97"/>
              </w:rPr>
              <w:t>141,673</w:t>
            </w:r>
          </w:p>
        </w:tc>
        <w:tc>
          <w:tcPr>
            <w:tcW w:w="1020" w:type="dxa"/>
            <w:vAlign w:val="bottom"/>
            <w:gridSpan w:val="3"/>
          </w:tcPr>
          <w:p>
            <w:pPr>
              <w:jc w:val="right"/>
              <w:ind w:right="100"/>
              <w:spacing w:after="0" w:line="187" w:lineRule="exact"/>
              <w:rPr>
                <w:sz w:val="20"/>
                <w:szCs w:val="20"/>
                <w:color w:val="auto"/>
              </w:rPr>
            </w:pPr>
            <w:r>
              <w:rPr>
                <w:rFonts w:ascii="Arial" w:cs="Arial" w:eastAsia="Arial" w:hAnsi="Arial"/>
                <w:sz w:val="17"/>
                <w:szCs w:val="17"/>
                <w:color w:val="auto"/>
              </w:rPr>
              <w:t>202,355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9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(91,447)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(91,447)</w:t>
            </w:r>
          </w:p>
        </w:tc>
        <w:tc>
          <w:tcPr>
            <w:tcW w:w="1020" w:type="dxa"/>
            <w:vAlign w:val="bottom"/>
            <w:gridSpan w:val="3"/>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(91,447)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940" w:type="dxa"/>
            <w:vAlign w:val="bottom"/>
          </w:tcPr>
          <w:p>
            <w:pPr>
              <w:spacing w:after="0" w:line="187" w:lineRule="exact"/>
              <w:rPr>
                <w:sz w:val="20"/>
                <w:szCs w:val="20"/>
                <w:color w:val="auto"/>
              </w:rPr>
            </w:pPr>
            <w:r>
              <w:rPr>
                <w:rFonts w:ascii="Arial" w:cs="Arial" w:eastAsia="Arial" w:hAnsi="Arial"/>
                <w:sz w:val="17"/>
                <w:szCs w:val="17"/>
                <w:color w:val="auto"/>
              </w:rPr>
              <w:t>Total stockholders’ equity (deficit)</w:t>
            </w:r>
          </w:p>
        </w:tc>
        <w:tc>
          <w:tcPr>
            <w:tcW w:w="100" w:type="dxa"/>
            <w:vAlign w:val="bottom"/>
          </w:tcPr>
          <w:p>
            <w:pPr>
              <w:spacing w:after="0"/>
              <w:rPr>
                <w:sz w:val="16"/>
                <w:szCs w:val="16"/>
                <w:color w:val="auto"/>
              </w:rPr>
            </w:pPr>
          </w:p>
        </w:tc>
        <w:tc>
          <w:tcPr>
            <w:tcW w:w="8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(89,348)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line="187" w:lineRule="exact"/>
              <w:rPr>
                <w:sz w:val="20"/>
                <w:szCs w:val="20"/>
                <w:color w:val="auto"/>
              </w:rPr>
            </w:pPr>
            <w:r>
              <w:rPr>
                <w:rFonts w:ascii="Arial" w:cs="Arial" w:eastAsia="Arial" w:hAnsi="Arial"/>
                <w:sz w:val="17"/>
                <w:szCs w:val="17"/>
                <w:color w:val="auto"/>
              </w:rPr>
              <w:t>50,228</w:t>
            </w:r>
          </w:p>
        </w:tc>
        <w:tc>
          <w:tcPr>
            <w:tcW w:w="1020" w:type="dxa"/>
            <w:vAlign w:val="bottom"/>
            <w:gridSpan w:val="3"/>
          </w:tcPr>
          <w:p>
            <w:pPr>
              <w:jc w:val="right"/>
              <w:ind w:right="100"/>
              <w:spacing w:after="0" w:line="187" w:lineRule="exact"/>
              <w:rPr>
                <w:sz w:val="20"/>
                <w:szCs w:val="20"/>
                <w:color w:val="auto"/>
              </w:rPr>
            </w:pPr>
            <w:r>
              <w:rPr>
                <w:rFonts w:ascii="Arial" w:cs="Arial" w:eastAsia="Arial" w:hAnsi="Arial"/>
                <w:sz w:val="17"/>
                <w:szCs w:val="17"/>
                <w:color w:val="auto"/>
              </w:rPr>
              <w:t>110,910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79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Total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50,228</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80"/>
              <w:spacing w:after="0" w:line="187" w:lineRule="exact"/>
              <w:rPr>
                <w:sz w:val="20"/>
                <w:szCs w:val="20"/>
                <w:color w:val="auto"/>
              </w:rPr>
            </w:pPr>
            <w:r>
              <w:rPr>
                <w:rFonts w:ascii="Arial" w:cs="Arial" w:eastAsia="Arial" w:hAnsi="Arial"/>
                <w:sz w:val="17"/>
                <w:szCs w:val="17"/>
                <w:color w:val="auto"/>
              </w:rPr>
              <w:t>50,228</w:t>
            </w:r>
          </w:p>
        </w:tc>
        <w:tc>
          <w:tcPr>
            <w:tcW w:w="1020" w:type="dxa"/>
            <w:vAlign w:val="bottom"/>
            <w:gridSpan w:val="3"/>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$ 110,910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A $1.00 increase (decrease) in the assumed initial public offering price of $15.00 per share would increase (decrease) each of our pro forma as adjusted cash and cash equivalents, additional paid-in capital, total stockholders’ equity (deficit) and total capitalization by approximately $4.0 million, assuming the number of shares offered by us, as set forth on the cover page of this prospectus, remains the same, and after deducting underwriting discounts and commissions and estimated offering expenses payable by us. Similarly, each increase (decrease) of 1.0 million shares in the number of shares Class A common stock offered by us would increase (decrease) each of our pro forma as adjusted cash and cash equivalents, additional paid-in capital, total stockholders’ equity (deficit) and total capitalization by approximately $14.0 million, assuming the assumed initial public offering price of $15.00 per share remains the same, and after deducting underwriting discounts and commissions and estimated offering expenses payable by us.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080"/>
          </w:cols>
          <w:pgMar w:left="320" w:top="456"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260"/>
        <w:spacing w:after="0" w:line="239" w:lineRule="auto"/>
        <w:rPr>
          <w:sz w:val="20"/>
          <w:szCs w:val="20"/>
          <w:color w:val="auto"/>
        </w:rPr>
      </w:pPr>
      <w:r>
        <w:rPr>
          <w:rFonts w:ascii="Arial" w:cs="Arial" w:eastAsia="Arial" w:hAnsi="Arial"/>
          <w:sz w:val="17"/>
          <w:szCs w:val="17"/>
          <w:color w:val="auto"/>
        </w:rPr>
        <w:t>The number of shares in the table above, pro forma and pro forma as adjusted, assumes no issuance of Class B common stock in connection with this offering, and excludes:</w:t>
      </w:r>
    </w:p>
    <w:p>
      <w:pPr>
        <w:spacing w:after="0" w:line="186" w:lineRule="exact"/>
        <w:rPr>
          <w:sz w:val="20"/>
          <w:szCs w:val="20"/>
          <w:color w:val="auto"/>
        </w:rPr>
      </w:pPr>
    </w:p>
    <w:p>
      <w:pPr>
        <w:ind w:left="1020" w:right="300" w:hanging="425"/>
        <w:spacing w:after="0" w:line="239" w:lineRule="auto"/>
        <w:tabs>
          <w:tab w:leader="none" w:pos="102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1,855,507 shares of our Class A common stock issuable upon the exercise of outstanding stock options as of December 31, 2020 under our 2017 Plan, with a weighted-average exercise price of $2.99 per share;</w:t>
      </w:r>
    </w:p>
    <w:p>
      <w:pPr>
        <w:spacing w:after="0" w:line="25" w:lineRule="exact"/>
        <w:rPr>
          <w:rFonts w:ascii="MS PGothic" w:cs="MS PGothic" w:eastAsia="MS PGothic" w:hAnsi="MS PGothic"/>
          <w:sz w:val="12"/>
          <w:szCs w:val="12"/>
          <w:color w:val="auto"/>
        </w:rPr>
      </w:pPr>
    </w:p>
    <w:p>
      <w:pPr>
        <w:ind w:left="1020" w:right="660" w:hanging="425"/>
        <w:spacing w:after="0" w:line="239" w:lineRule="auto"/>
        <w:tabs>
          <w:tab w:leader="none" w:pos="102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484,956 shares of our Class A common stock issuable upon the exercise of outstanding stock options granted subsequent to December 31, 2020 under our 2017 Plan, with a weighted-average exercise price of $3.93 per share;</w:t>
      </w:r>
    </w:p>
    <w:p>
      <w:pPr>
        <w:spacing w:after="0" w:line="25" w:lineRule="exact"/>
        <w:rPr>
          <w:rFonts w:ascii="MS PGothic" w:cs="MS PGothic" w:eastAsia="MS PGothic" w:hAnsi="MS PGothic"/>
          <w:sz w:val="12"/>
          <w:szCs w:val="12"/>
          <w:color w:val="auto"/>
        </w:rPr>
      </w:pPr>
    </w:p>
    <w:p>
      <w:pPr>
        <w:ind w:left="1020" w:hanging="425"/>
        <w:spacing w:after="0" w:line="233" w:lineRule="auto"/>
        <w:tabs>
          <w:tab w:leader="none" w:pos="102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1,762,009 shares of our Class A common stock reserved for future issuance under our 2021 Plan, which will become effective once the registration statement of which this prospectus forms a part is declared effective, as well as any future automatic annual increases in the number of shares of Class A common stock reserved for issuance under our 2021 Plan and any shares underlying outstanding stock awards granted under our 2017 Plan, that expire or are repurchased, forfeited, cancelled or withheld, as more fully described in the section titled “Executive Compensation—Equity Benefit Plans”;</w:t>
      </w:r>
    </w:p>
    <w:p>
      <w:pPr>
        <w:spacing w:after="0" w:line="27" w:lineRule="exact"/>
        <w:rPr>
          <w:rFonts w:ascii="MS PGothic" w:cs="MS PGothic" w:eastAsia="MS PGothic" w:hAnsi="MS PGothic"/>
          <w:sz w:val="12"/>
          <w:szCs w:val="12"/>
          <w:color w:val="auto"/>
        </w:rPr>
      </w:pPr>
    </w:p>
    <w:p>
      <w:pPr>
        <w:ind w:left="1020" w:right="160" w:hanging="425"/>
        <w:spacing w:after="0" w:line="254" w:lineRule="auto"/>
        <w:tabs>
          <w:tab w:leader="none" w:pos="1020" w:val="left"/>
        </w:tabs>
        <w:numPr>
          <w:ilvl w:val="0"/>
          <w:numId w:val="51"/>
        </w:numPr>
        <w:rPr>
          <w:rFonts w:ascii="MS PGothic" w:cs="MS PGothic" w:eastAsia="MS PGothic" w:hAnsi="MS PGothic"/>
          <w:sz w:val="12"/>
          <w:szCs w:val="12"/>
          <w:color w:val="auto"/>
        </w:rPr>
      </w:pPr>
      <w:r>
        <w:rPr>
          <w:rFonts w:ascii="Arial" w:cs="Arial" w:eastAsia="Arial" w:hAnsi="Arial"/>
          <w:sz w:val="16"/>
          <w:szCs w:val="16"/>
          <w:color w:val="auto"/>
        </w:rPr>
        <w:t>220,251 shares of our Class A common stock reserved for issuance under our 2021 Employee Stock Purchase Plan (ESPP), which will become effective once the registration statement of which this prospectus forms a part is declared effective, and any future automatic annual increases in the number of shares of Class A common stock reserved for future issuance under our ESPP; and</w:t>
      </w:r>
    </w:p>
    <w:p>
      <w:pPr>
        <w:spacing w:after="0" w:line="17" w:lineRule="exact"/>
        <w:rPr>
          <w:rFonts w:ascii="MS PGothic" w:cs="MS PGothic" w:eastAsia="MS PGothic" w:hAnsi="MS PGothic"/>
          <w:sz w:val="12"/>
          <w:szCs w:val="12"/>
          <w:color w:val="auto"/>
        </w:rPr>
      </w:pPr>
    </w:p>
    <w:p>
      <w:pPr>
        <w:ind w:left="1020" w:right="20" w:hanging="425"/>
        <w:spacing w:after="0" w:line="236" w:lineRule="auto"/>
        <w:tabs>
          <w:tab w:leader="none" w:pos="1020" w:val="left"/>
        </w:tabs>
        <w:numPr>
          <w:ilvl w:val="0"/>
          <w:numId w:val="51"/>
        </w:numPr>
        <w:rPr>
          <w:rFonts w:ascii="MS PGothic" w:cs="MS PGothic" w:eastAsia="MS PGothic" w:hAnsi="MS PGothic"/>
          <w:sz w:val="12"/>
          <w:szCs w:val="12"/>
          <w:color w:val="auto"/>
        </w:rPr>
      </w:pPr>
      <w:r>
        <w:rPr>
          <w:rFonts w:ascii="Arial" w:cs="Arial" w:eastAsia="Arial" w:hAnsi="Arial"/>
          <w:sz w:val="17"/>
          <w:szCs w:val="17"/>
          <w:color w:val="auto"/>
        </w:rPr>
        <w:t>450,326 shares of our Class A common stock issuable upon the exercise of options to purchase shares of our Class A common stock granted to certain of our officers, directors and employees under our 2021 Plan, which will become effective in connection with this offering, at an exercise price per share equal to the initial public offering price in this offering.</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020"/>
          </w:cols>
          <w:pgMar w:left="320" w:top="456" w:right="5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331" w:lineRule="exact"/>
        <w:rPr>
          <w:sz w:val="20"/>
          <w:szCs w:val="20"/>
          <w:color w:val="auto"/>
        </w:rPr>
      </w:pPr>
    </w:p>
    <w:p>
      <w:pPr>
        <w:ind w:left="160" w:right="80"/>
        <w:spacing w:after="0" w:line="269" w:lineRule="auto"/>
        <w:rPr>
          <w:sz w:val="20"/>
          <w:szCs w:val="20"/>
          <w:color w:val="auto"/>
        </w:rPr>
      </w:pPr>
      <w:r>
        <w:rPr>
          <w:rFonts w:ascii="Arial" w:cs="Arial" w:eastAsia="Arial" w:hAnsi="Arial"/>
          <w:sz w:val="16"/>
          <w:szCs w:val="16"/>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23" w:lineRule="exact"/>
        <w:rPr>
          <w:sz w:val="20"/>
          <w:szCs w:val="20"/>
          <w:color w:val="auto"/>
        </w:rPr>
      </w:pPr>
    </w:p>
    <w:p>
      <w:pPr>
        <w:ind w:left="160" w:right="180"/>
        <w:spacing w:after="0" w:line="233" w:lineRule="auto"/>
        <w:rPr>
          <w:sz w:val="20"/>
          <w:szCs w:val="20"/>
          <w:color w:val="auto"/>
        </w:rPr>
      </w:pPr>
      <w:r>
        <w:rPr>
          <w:rFonts w:ascii="Arial" w:cs="Arial" w:eastAsia="Arial" w:hAnsi="Arial"/>
          <w:sz w:val="17"/>
          <w:szCs w:val="17"/>
          <w:color w:val="auto"/>
        </w:rPr>
        <w:t>As of December 31, 2020, we had a historical net tangible book value of $50.2 million, or $141.37 per share of common stock based on the 355,296 shares of common stock outstanding as of such date, including 41,363 shares subject to repurchase as of such date. Our historical net tangible book value per share represents total tangible assets less total liabilities and convertible preferred stock, which is not included within permanent equity, divided by the number of shares of Class A common stock outstanding as of December 31, 2020, including 41,363 shares of Class A common stock subject to repurchase as of such date.</w:t>
      </w:r>
    </w:p>
    <w:p>
      <w:pPr>
        <w:spacing w:after="0" w:line="148"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Our pro forma net tangible book value as of December 31, 2020 was $50.2 million, or $3.11 per share. Pro forma net tangible book value per share represents the amount of our total tangible assets less our total liabilities, divided by 20,479,310 shares of all common stock outstanding as of such date, after giving effect to (i) the automatic conversion of all outstanding shares of our convertible preferred stock into an aggregate of 15,774,014 shares of our Class A common stock and the related reclassification of the carrying value of our convertible preferred stock to permanent equity upon the closing of this offering, and (ii) the filing and effectiveness of our amended and restated certificate of incorporation that will be in effect immediately after the closing of this offering.</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After giving effect to the sale by us of 4,350,000 shares of Class A common stock in this offering at the assumed initial public offering price of</w:t>
      </w:r>
    </w:p>
    <w:p>
      <w:pPr>
        <w:ind w:left="160" w:right="80"/>
        <w:spacing w:after="0" w:line="233" w:lineRule="auto"/>
        <w:rPr>
          <w:sz w:val="20"/>
          <w:szCs w:val="20"/>
          <w:color w:val="auto"/>
        </w:rPr>
      </w:pPr>
      <w:r>
        <w:rPr>
          <w:rFonts w:ascii="Arial" w:cs="Arial" w:eastAsia="Arial" w:hAnsi="Arial"/>
          <w:sz w:val="17"/>
          <w:szCs w:val="17"/>
          <w:color w:val="auto"/>
        </w:rPr>
        <w:t>$15.00 per share, and after deducting underwriting discounts and commissions and estimated offering expenses payable by us, our pro forma as adjusted net tangible book value as of December 31, 2020 would have been $110.9 million, or $5.42 per share. This amount represents an immediate increase in pro forma as adjusted net tangible book value of $2.31 per share to our existing stockholders and an immediate dilution in pro forma as adjusted net tangible book value of $9.58 per share to investors purchasing Class A common stock in this offering. We determine dilution by subtracting the pro forma as adjusted net tangible book value per share after this offering from the amount of cash paid by an investor for a share of Class A common stock in this offering. The following table illustrates this dilution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15.00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140" w:type="dxa"/>
            <w:vAlign w:val="bottom"/>
          </w:tcPr>
          <w:p>
            <w:pPr>
              <w:ind w:left="480"/>
              <w:spacing w:after="0" w:line="187" w:lineRule="exact"/>
              <w:rPr>
                <w:sz w:val="20"/>
                <w:szCs w:val="20"/>
                <w:color w:val="auto"/>
              </w:rPr>
            </w:pPr>
            <w:r>
              <w:rPr>
                <w:rFonts w:ascii="Arial" w:cs="Arial" w:eastAsia="Arial" w:hAnsi="Arial"/>
                <w:sz w:val="17"/>
                <w:szCs w:val="17"/>
                <w:color w:val="auto"/>
              </w:rPr>
              <w:t>Historical net tangible book value per share as of December 31, 2020</w:t>
            </w:r>
          </w:p>
        </w:tc>
        <w:tc>
          <w:tcPr>
            <w:tcW w:w="28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141.37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140" w:type="dxa"/>
            <w:vAlign w:val="bottom"/>
          </w:tcPr>
          <w:p>
            <w:pPr>
              <w:ind w:left="480"/>
              <w:spacing w:after="0" w:line="181" w:lineRule="exact"/>
              <w:rPr>
                <w:sz w:val="20"/>
                <w:szCs w:val="20"/>
                <w:color w:val="auto"/>
              </w:rPr>
            </w:pPr>
            <w:r>
              <w:rPr>
                <w:rFonts w:ascii="Arial" w:cs="Arial" w:eastAsia="Arial" w:hAnsi="Arial"/>
                <w:sz w:val="17"/>
                <w:szCs w:val="17"/>
                <w:color w:val="auto"/>
              </w:rPr>
              <w:t>Pro forma decrease in historical net tangible book value per share attributable to the pro forma transactions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140" w:type="dxa"/>
            <w:vAlign w:val="bottom"/>
          </w:tcPr>
          <w:p>
            <w:pPr>
              <w:ind w:left="740"/>
              <w:spacing w:after="0" w:line="194" w:lineRule="exact"/>
              <w:rPr>
                <w:sz w:val="20"/>
                <w:szCs w:val="20"/>
                <w:color w:val="auto"/>
              </w:rPr>
            </w:pPr>
            <w:r>
              <w:rPr>
                <w:rFonts w:ascii="Arial" w:cs="Arial" w:eastAsia="Arial" w:hAnsi="Arial"/>
                <w:sz w:val="17"/>
                <w:szCs w:val="17"/>
                <w:color w:val="auto"/>
              </w:rPr>
              <w:t>described in the preceding paragraphs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80"/>
              <w:spacing w:after="0" w:line="194" w:lineRule="exact"/>
              <w:rPr>
                <w:sz w:val="20"/>
                <w:szCs w:val="20"/>
                <w:color w:val="auto"/>
              </w:rPr>
            </w:pPr>
            <w:r>
              <w:rPr>
                <w:rFonts w:ascii="Arial" w:cs="Arial" w:eastAsia="Arial" w:hAnsi="Arial"/>
                <w:sz w:val="17"/>
                <w:szCs w:val="17"/>
                <w:color w:val="auto"/>
                <w:w w:val="94"/>
              </w:rPr>
              <w:t>(138.26)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140" w:type="dxa"/>
            <w:vAlign w:val="bottom"/>
            <w:shd w:val="clear" w:color="auto" w:fill="CCEEFF"/>
          </w:tcPr>
          <w:p>
            <w:pPr>
              <w:ind w:left="480"/>
              <w:spacing w:after="0" w:line="187" w:lineRule="exact"/>
              <w:rPr>
                <w:sz w:val="20"/>
                <w:szCs w:val="20"/>
                <w:color w:val="auto"/>
              </w:rPr>
            </w:pPr>
            <w:r>
              <w:rPr>
                <w:rFonts w:ascii="Arial" w:cs="Arial" w:eastAsia="Arial" w:hAnsi="Arial"/>
                <w:sz w:val="17"/>
                <w:szCs w:val="17"/>
                <w:color w:val="auto"/>
              </w:rPr>
              <w:t>Pro forma net tangible book value per share as of December 31, 2020</w:t>
            </w: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3.11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140" w:type="dxa"/>
            <w:vAlign w:val="bottom"/>
            <w:shd w:val="clear" w:color="auto" w:fill="CCEEFF"/>
          </w:tcPr>
          <w:p>
            <w:pPr>
              <w:ind w:left="480"/>
              <w:spacing w:after="0" w:line="181" w:lineRule="exact"/>
              <w:rPr>
                <w:sz w:val="20"/>
                <w:szCs w:val="20"/>
                <w:color w:val="auto"/>
              </w:rPr>
            </w:pPr>
            <w:r>
              <w:rPr>
                <w:rFonts w:ascii="Arial" w:cs="Arial" w:eastAsia="Arial" w:hAnsi="Arial"/>
                <w:sz w:val="17"/>
                <w:szCs w:val="17"/>
                <w:color w:val="auto"/>
              </w:rPr>
              <w:t>Increase in pro forma as adjusted net tangible book value per share attributable to investors purchasing shares in</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140" w:type="dxa"/>
            <w:vAlign w:val="bottom"/>
            <w:shd w:val="clear" w:color="auto" w:fill="CCEEFF"/>
          </w:tcPr>
          <w:p>
            <w:pPr>
              <w:ind w:left="740"/>
              <w:spacing w:after="0" w:line="194" w:lineRule="exact"/>
              <w:rPr>
                <w:sz w:val="20"/>
                <w:szCs w:val="20"/>
                <w:color w:val="auto"/>
              </w:rPr>
            </w:pPr>
            <w:r>
              <w:rPr>
                <w:rFonts w:ascii="Arial" w:cs="Arial" w:eastAsia="Arial" w:hAnsi="Arial"/>
                <w:sz w:val="17"/>
                <w:szCs w:val="17"/>
                <w:color w:val="auto"/>
              </w:rPr>
              <w:t>this offering</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2.31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160" w:type="dxa"/>
            <w:vAlign w:val="bottom"/>
            <w:gridSpan w:val="2"/>
          </w:tcPr>
          <w:p>
            <w:pPr>
              <w:spacing w:after="0" w:line="194" w:lineRule="exact"/>
              <w:rPr>
                <w:sz w:val="20"/>
                <w:szCs w:val="20"/>
                <w:color w:val="auto"/>
              </w:rPr>
            </w:pPr>
            <w:r>
              <w:rPr>
                <w:rFonts w:ascii="Arial" w:cs="Arial" w:eastAsia="Arial" w:hAnsi="Arial"/>
                <w:sz w:val="17"/>
                <w:szCs w:val="17"/>
                <w:color w:val="auto"/>
              </w:rPr>
              <w:t>Pro forma as adjusted net tangible book value per share after this offering</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5.42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91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Dilution in pro forma as adjusted net tangible book value per share to investors purchasing shares in this offering</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The dilution information discussed above is illustrative only and may change based on the actual initial public offering price and other terms of this offering. Each $1.00 increase or decrease in the assumed initial public offering price of $15.00 per share would increase or decrease, as applicable, our pro forma as adjusted net tangible book value per share after this offering by $0.19 per share and increase or decrease, as applicable, the dilution to investors purchasing shares in this offering by $0.81 per share, in each case assuming the number of shares of Class A common stock offered by us, as set forth on the cover page of this prospectus, remains the same, and after deducting underwriting discounts and commissions and estimated offering expenses payable by us. Similarly, an increase of 1.0 million in the number of shares of common stock offered by us would increase the pro forma as adjusted net tangible book value after this offering by $0.39 per share and decrease the dilution per share to new investors participating in this offering by $0.39 per share, and a decrease of 1.0 million shares of common stock</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080"/>
          </w:cols>
          <w:pgMar w:left="320" w:top="45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240"/>
        <w:spacing w:after="0" w:line="236" w:lineRule="auto"/>
        <w:rPr>
          <w:sz w:val="20"/>
          <w:szCs w:val="20"/>
          <w:color w:val="auto"/>
        </w:rPr>
      </w:pPr>
      <w:r>
        <w:rPr>
          <w:rFonts w:ascii="Arial" w:cs="Arial" w:eastAsia="Arial" w:hAnsi="Arial"/>
          <w:sz w:val="17"/>
          <w:szCs w:val="17"/>
          <w:color w:val="auto"/>
        </w:rPr>
        <w:t>offered by us would decrease the pro forma as adjusted net tangible book value by $0.44 per share, and increase the dilution per share to new investors in this offering by $0.44 per share, in each case assuming the assumed initial public offering price of $15.00 per share remains the same, and after deducting underwriting discounts and commissions and estimated offering expenses payable by us.</w:t>
      </w:r>
    </w:p>
    <w:p>
      <w:pPr>
        <w:spacing w:after="0" w:line="146" w:lineRule="exact"/>
        <w:rPr>
          <w:sz w:val="20"/>
          <w:szCs w:val="20"/>
          <w:color w:val="auto"/>
        </w:rPr>
      </w:pPr>
    </w:p>
    <w:p>
      <w:pPr>
        <w:ind w:left="160" w:right="140"/>
        <w:spacing w:after="0" w:line="236" w:lineRule="auto"/>
        <w:rPr>
          <w:sz w:val="20"/>
          <w:szCs w:val="20"/>
          <w:color w:val="auto"/>
        </w:rPr>
      </w:pPr>
      <w:r>
        <w:rPr>
          <w:rFonts w:ascii="Arial" w:cs="Arial" w:eastAsia="Arial" w:hAnsi="Arial"/>
          <w:sz w:val="17"/>
          <w:szCs w:val="17"/>
          <w:color w:val="auto"/>
        </w:rPr>
        <w:t>If the underwriters exercise their option to purchase additional shares of Class A common stock in full, the pro forma net tangible book value per share, as adjusted to give effect to this offering, would be $5.68 per share, and the dilution in pro forma net tangible book value per share to investors in this offering would be $9.32 per share.</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foregoing discussion and tables above assumes no issuance of Class B common stock in connection with this offering, and excludes:</w:t>
      </w:r>
    </w:p>
    <w:p>
      <w:pPr>
        <w:spacing w:after="0" w:line="192" w:lineRule="exact"/>
        <w:rPr>
          <w:sz w:val="20"/>
          <w:szCs w:val="20"/>
          <w:color w:val="auto"/>
        </w:rPr>
      </w:pPr>
    </w:p>
    <w:p>
      <w:pPr>
        <w:ind w:left="1020" w:right="340" w:hanging="425"/>
        <w:spacing w:after="0" w:line="239" w:lineRule="auto"/>
        <w:tabs>
          <w:tab w:leader="none" w:pos="1020" w:val="left"/>
        </w:tabs>
        <w:numPr>
          <w:ilvl w:val="0"/>
          <w:numId w:val="52"/>
        </w:numPr>
        <w:rPr>
          <w:rFonts w:ascii="MS PGothic" w:cs="MS PGothic" w:eastAsia="MS PGothic" w:hAnsi="MS PGothic"/>
          <w:sz w:val="12"/>
          <w:szCs w:val="12"/>
          <w:color w:val="auto"/>
        </w:rPr>
      </w:pPr>
      <w:r>
        <w:rPr>
          <w:rFonts w:ascii="Arial" w:cs="Arial" w:eastAsia="Arial" w:hAnsi="Arial"/>
          <w:sz w:val="17"/>
          <w:szCs w:val="17"/>
          <w:color w:val="auto"/>
        </w:rPr>
        <w:t>1,855,507 shares of our Class A common stock issuable upon the exercise of outstanding stock options as of December 31, 2020 under our 2017 Plan, with a weighted-average exercise price of $2.99 per share;</w:t>
      </w:r>
    </w:p>
    <w:p>
      <w:pPr>
        <w:spacing w:after="0" w:line="25" w:lineRule="exact"/>
        <w:rPr>
          <w:rFonts w:ascii="MS PGothic" w:cs="MS PGothic" w:eastAsia="MS PGothic" w:hAnsi="MS PGothic"/>
          <w:sz w:val="12"/>
          <w:szCs w:val="12"/>
          <w:color w:val="auto"/>
        </w:rPr>
      </w:pPr>
    </w:p>
    <w:p>
      <w:pPr>
        <w:ind w:left="1020" w:right="700" w:hanging="425"/>
        <w:spacing w:after="0" w:line="239" w:lineRule="auto"/>
        <w:tabs>
          <w:tab w:leader="none" w:pos="1020" w:val="left"/>
        </w:tabs>
        <w:numPr>
          <w:ilvl w:val="0"/>
          <w:numId w:val="52"/>
        </w:numPr>
        <w:rPr>
          <w:rFonts w:ascii="MS PGothic" w:cs="MS PGothic" w:eastAsia="MS PGothic" w:hAnsi="MS PGothic"/>
          <w:sz w:val="12"/>
          <w:szCs w:val="12"/>
          <w:color w:val="auto"/>
        </w:rPr>
      </w:pPr>
      <w:r>
        <w:rPr>
          <w:rFonts w:ascii="Arial" w:cs="Arial" w:eastAsia="Arial" w:hAnsi="Arial"/>
          <w:sz w:val="17"/>
          <w:szCs w:val="17"/>
          <w:color w:val="auto"/>
        </w:rPr>
        <w:t>484,956 shares of our Class A common stock issuable upon the exercise of outstanding stock options granted subsequent to December 31, 2020 under our 2017 Plan, with a weighted-average exercise price of $3.93 per share;</w:t>
      </w:r>
    </w:p>
    <w:p>
      <w:pPr>
        <w:spacing w:after="0" w:line="25" w:lineRule="exact"/>
        <w:rPr>
          <w:rFonts w:ascii="MS PGothic" w:cs="MS PGothic" w:eastAsia="MS PGothic" w:hAnsi="MS PGothic"/>
          <w:sz w:val="12"/>
          <w:szCs w:val="12"/>
          <w:color w:val="auto"/>
        </w:rPr>
      </w:pPr>
    </w:p>
    <w:p>
      <w:pPr>
        <w:ind w:left="1020" w:right="40" w:hanging="425"/>
        <w:spacing w:after="0" w:line="233" w:lineRule="auto"/>
        <w:tabs>
          <w:tab w:leader="none" w:pos="1020" w:val="left"/>
        </w:tabs>
        <w:numPr>
          <w:ilvl w:val="0"/>
          <w:numId w:val="52"/>
        </w:numPr>
        <w:rPr>
          <w:rFonts w:ascii="MS PGothic" w:cs="MS PGothic" w:eastAsia="MS PGothic" w:hAnsi="MS PGothic"/>
          <w:sz w:val="12"/>
          <w:szCs w:val="12"/>
          <w:color w:val="auto"/>
        </w:rPr>
      </w:pPr>
      <w:r>
        <w:rPr>
          <w:rFonts w:ascii="Arial" w:cs="Arial" w:eastAsia="Arial" w:hAnsi="Arial"/>
          <w:sz w:val="17"/>
          <w:szCs w:val="17"/>
          <w:color w:val="auto"/>
        </w:rPr>
        <w:t>1,762,009 shares of our Class A common stock reserved for future issuance under our 2021 Plan, which will become effective once the registration statement of which this prospectus forms a part is declared effective, as well as any future automatic annual increases in the number of shares of common stock reserved for issuance under our 2021 Plan and any shares underlying outstanding stock awards granted under our 2017 Plan that expire or are repurchased, forfeited, cancelled or withheld, as more fully described in the section titled “Executive Compensation—Equity Benefit Plans”;</w:t>
      </w:r>
    </w:p>
    <w:p>
      <w:pPr>
        <w:spacing w:after="0" w:line="27" w:lineRule="exact"/>
        <w:rPr>
          <w:rFonts w:ascii="MS PGothic" w:cs="MS PGothic" w:eastAsia="MS PGothic" w:hAnsi="MS PGothic"/>
          <w:sz w:val="12"/>
          <w:szCs w:val="12"/>
          <w:color w:val="auto"/>
        </w:rPr>
      </w:pPr>
    </w:p>
    <w:p>
      <w:pPr>
        <w:ind w:left="1020" w:hanging="425"/>
        <w:spacing w:after="0" w:line="236" w:lineRule="auto"/>
        <w:tabs>
          <w:tab w:leader="none" w:pos="1020" w:val="left"/>
        </w:tabs>
        <w:numPr>
          <w:ilvl w:val="0"/>
          <w:numId w:val="52"/>
        </w:numPr>
        <w:rPr>
          <w:rFonts w:ascii="MS PGothic" w:cs="MS PGothic" w:eastAsia="MS PGothic" w:hAnsi="MS PGothic"/>
          <w:sz w:val="12"/>
          <w:szCs w:val="12"/>
          <w:color w:val="auto"/>
        </w:rPr>
      </w:pPr>
      <w:r>
        <w:rPr>
          <w:rFonts w:ascii="Arial" w:cs="Arial" w:eastAsia="Arial" w:hAnsi="Arial"/>
          <w:sz w:val="17"/>
          <w:szCs w:val="17"/>
          <w:color w:val="auto"/>
        </w:rPr>
        <w:t>220,251 shares of our Class A common stock reserved for issuance under our ESPP, which will become effective once the registration statement of which this prospectus forms a part is declared effective, and any future automatic annual increases in the number of shares of common stock reserved for future issuance under our ESPP; and</w:t>
      </w:r>
    </w:p>
    <w:p>
      <w:pPr>
        <w:spacing w:after="0" w:line="25" w:lineRule="exact"/>
        <w:rPr>
          <w:rFonts w:ascii="MS PGothic" w:cs="MS PGothic" w:eastAsia="MS PGothic" w:hAnsi="MS PGothic"/>
          <w:sz w:val="12"/>
          <w:szCs w:val="12"/>
          <w:color w:val="auto"/>
        </w:rPr>
      </w:pPr>
    </w:p>
    <w:p>
      <w:pPr>
        <w:ind w:left="1020" w:right="60" w:hanging="425"/>
        <w:spacing w:after="0" w:line="236" w:lineRule="auto"/>
        <w:tabs>
          <w:tab w:leader="none" w:pos="1020" w:val="left"/>
        </w:tabs>
        <w:numPr>
          <w:ilvl w:val="0"/>
          <w:numId w:val="52"/>
        </w:numPr>
        <w:rPr>
          <w:rFonts w:ascii="MS PGothic" w:cs="MS PGothic" w:eastAsia="MS PGothic" w:hAnsi="MS PGothic"/>
          <w:sz w:val="12"/>
          <w:szCs w:val="12"/>
          <w:color w:val="auto"/>
        </w:rPr>
      </w:pPr>
      <w:r>
        <w:rPr>
          <w:rFonts w:ascii="Arial" w:cs="Arial" w:eastAsia="Arial" w:hAnsi="Arial"/>
          <w:sz w:val="17"/>
          <w:szCs w:val="17"/>
          <w:color w:val="auto"/>
        </w:rPr>
        <w:t>450,326 shares of our Class A common stock issuable upon the exercise of options to purchase shares of our Class A common stock granted to certain of our officers, directors and employees under our 2021 Plan, which will become effective in connection with this offering, at an exercise price per share equal to the initial public offering price in this offering.</w:t>
      </w:r>
    </w:p>
    <w:p>
      <w:pPr>
        <w:spacing w:after="0" w:line="146" w:lineRule="exact"/>
        <w:rPr>
          <w:sz w:val="20"/>
          <w:szCs w:val="20"/>
          <w:color w:val="auto"/>
        </w:rPr>
      </w:pPr>
    </w:p>
    <w:p>
      <w:pPr>
        <w:ind w:left="160" w:right="140"/>
        <w:spacing w:after="0" w:line="236" w:lineRule="auto"/>
        <w:rPr>
          <w:sz w:val="20"/>
          <w:szCs w:val="20"/>
          <w:color w:val="auto"/>
        </w:rPr>
      </w:pPr>
      <w:r>
        <w:rPr>
          <w:rFonts w:ascii="Arial" w:cs="Arial" w:eastAsia="Arial" w:hAnsi="Arial"/>
          <w:sz w:val="17"/>
          <w:szCs w:val="17"/>
          <w:color w:val="auto"/>
        </w:rPr>
        <w:t>To the extent that any outstanding options are exercised or new options are issued under our stock-based compensation plans, or we issue additional shares of Class A common stock and Class B common stock in the future, there will be further dilution to investors participating in this offering.</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060"/>
          </w:cols>
          <w:pgMar w:left="320" w:top="456"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RESULTS OF OPERATIONS</w:t>
      </w:r>
    </w:p>
    <w:p>
      <w:pPr>
        <w:spacing w:after="0" w:line="291" w:lineRule="exact"/>
        <w:rPr>
          <w:sz w:val="20"/>
          <w:szCs w:val="20"/>
          <w:color w:val="auto"/>
        </w:rPr>
      </w:pPr>
    </w:p>
    <w:p>
      <w:pPr>
        <w:ind w:left="160" w:right="60"/>
        <w:spacing w:after="0" w:line="235" w:lineRule="auto"/>
        <w:rPr>
          <w:sz w:val="20"/>
          <w:szCs w:val="20"/>
          <w:color w:val="auto"/>
        </w:rPr>
      </w:pPr>
      <w:r>
        <w:rPr>
          <w:rFonts w:ascii="Arial" w:cs="Arial" w:eastAsia="Arial" w:hAnsi="Arial"/>
          <w:sz w:val="17"/>
          <w:szCs w:val="17"/>
          <w:i w:val="1"/>
          <w:iCs w:val="1"/>
          <w:color w:val="auto"/>
        </w:rPr>
        <w:t>The following discussion should be read in conjunction with our financial statements and related notes thereto included elsewhere in this prospectus.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titled “Special Note Regarding Forward-Looking Statements”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 Therefore, no reader of this document should rely on these statements being current as of any time other than the time at which this document is declared effective by the SEC.</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91"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We are a clinical stage biotechnology company focused on developing and commercializing transformative treatments for patients with serious immunological diseases. Our lead product candidate is atacicept, a fusion protein self-administered as a subcutaneous injection once weekly that blocks both B lymphocyte stimulator (BLyS) and a proliferation-inducing ligand (APRIL), which stimulate B cells and plasma cells to produce autoantibodies contributing to certain autoimmune diseases. We are conducting a Phase 2b clinical trial of atacicept in patients with immunoglobulin A nephropathy (IgAN), a disease with a high unmet medical need and no approved therapies. IgAN is a serious and progressive autoimmune disease of the kidney that is driven by the production of immunogenic galactose-deficient IgA1 (Gd-IgA1). IgAN patients with elevated Gd-IgA1 are at increased risk of kidney-related morbidity and mortality. As reported in a Phase 2a clinical trial of 16 patients conducted by Merck KGaA, Darmstadt, Germany, atacicept is the first and only molecule currently in development to demonstrate a 60% reduction in plasma Gd-IgA1 in IgAN patients (75 mg dose, n=4 at 24 weeks), which we believe can be disease modifying. We plan to initiate patient screening for our Phase 2b clinical trial in IgAN in the second quarter of 2021, and we expect to report topline results in the fourth quarter of 2022. In addition, we are evaluating additional diseases where atacicept’s reduction of autoantibodies may prove medically useful, including lupus nephritis (LN), a severe renal manifestation of systemic lupus erythematosus (SLE).</w:t>
      </w:r>
    </w:p>
    <w:p>
      <w:pPr>
        <w:spacing w:after="0" w:line="150" w:lineRule="exact"/>
        <w:rPr>
          <w:sz w:val="20"/>
          <w:szCs w:val="20"/>
          <w:color w:val="auto"/>
        </w:rPr>
      </w:pPr>
    </w:p>
    <w:p>
      <w:pPr>
        <w:ind w:left="160" w:right="100"/>
        <w:spacing w:after="0" w:line="236" w:lineRule="auto"/>
        <w:rPr>
          <w:sz w:val="20"/>
          <w:szCs w:val="20"/>
          <w:color w:val="auto"/>
        </w:rPr>
      </w:pPr>
      <w:r>
        <w:rPr>
          <w:rFonts w:ascii="Arial" w:cs="Arial" w:eastAsia="Arial" w:hAnsi="Arial"/>
          <w:sz w:val="17"/>
          <w:szCs w:val="17"/>
          <w:color w:val="auto"/>
        </w:rPr>
        <w:t>Since our inception, we have devoted substantially all of our resources to our research and development efforts, pre-clinical studies, establishing and maintaining our intellectual property portfolio, hiring personnel, raising capital, and providing general and administrative support for these operations.</w:t>
      </w:r>
    </w:p>
    <w:p>
      <w:pPr>
        <w:spacing w:after="0" w:line="146"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auto"/>
        </w:rPr>
        <w:t>We do not have any product candidates approved for commercial sale, and we have not generated any revenue from product sales. Our ability to generate revenue sufficient to achieve profitability, if ever, will depend on the successful development and eventual commercialization of one or more of our product candidates, which we expect, if they ever occur,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140"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To date, we have funded our operations primarily through proceeds from the sale of shares of our Class A common stock, redeemable convertible preferred stock and convertible promissory notes. As of December 31, 2020, we had $53.7 million in unrestricted cash and cash equivalents. Based on our current operating plan, we believe that the net proceeds from this offering, together with our existing cash and cash equivalents, will be sufficient to fund our planned operating expenses and capital expenditure requirements for at least the next 18 months.</w:t>
      </w:r>
    </w:p>
    <w:p>
      <w:pPr>
        <w:spacing w:after="0" w:line="147" w:lineRule="exact"/>
        <w:rPr>
          <w:sz w:val="20"/>
          <w:szCs w:val="20"/>
          <w:color w:val="auto"/>
        </w:rPr>
      </w:pPr>
    </w:p>
    <w:p>
      <w:pPr>
        <w:ind w:left="160" w:right="20"/>
        <w:spacing w:after="0" w:line="234" w:lineRule="auto"/>
        <w:rPr>
          <w:sz w:val="20"/>
          <w:szCs w:val="20"/>
          <w:color w:val="auto"/>
        </w:rPr>
      </w:pPr>
      <w:r>
        <w:rPr>
          <w:rFonts w:ascii="Arial" w:cs="Arial" w:eastAsia="Arial" w:hAnsi="Arial"/>
          <w:sz w:val="17"/>
          <w:szCs w:val="17"/>
          <w:color w:val="auto"/>
        </w:rPr>
        <w:t>We have incurred significant operating losses since the commencement of our operations. Our net losses were $11.9 million and $53.4 million for the years ended December 31, 2019 and 2020, and we expect to incur significant and increasing losses for the foreseeable future as we continue to advance our product candidate, atacicept, and as we transition to operating as a public company. Our net losses may fluctuate significantly from</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060"/>
          </w:cols>
          <w:pgMar w:left="320" w:top="456"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period to period, depending on the timing of expenditures on our research and development activities. As of December 31, 2020, we had an accumulated deficit of $91.4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spacing w:after="0" w:line="147" w:lineRule="exact"/>
        <w:rPr>
          <w:sz w:val="20"/>
          <w:szCs w:val="20"/>
          <w:color w:val="auto"/>
        </w:rPr>
      </w:pPr>
    </w:p>
    <w:p>
      <w:pPr>
        <w:jc w:val="both"/>
        <w:ind w:left="160" w:right="180"/>
        <w:spacing w:after="0" w:line="236" w:lineRule="auto"/>
        <w:rPr>
          <w:sz w:val="20"/>
          <w:szCs w:val="20"/>
          <w:color w:val="auto"/>
        </w:rPr>
      </w:pPr>
      <w:r>
        <w:rPr>
          <w:rFonts w:ascii="Arial" w:cs="Arial" w:eastAsia="Arial" w:hAnsi="Arial"/>
          <w:sz w:val="17"/>
          <w:szCs w:val="17"/>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186" w:lineRule="exact"/>
        <w:rPr>
          <w:sz w:val="20"/>
          <w:szCs w:val="20"/>
          <w:color w:val="auto"/>
        </w:rPr>
      </w:pPr>
    </w:p>
    <w:p>
      <w:pPr>
        <w:ind w:left="1020" w:hanging="425"/>
        <w:spacing w:after="0"/>
        <w:tabs>
          <w:tab w:leader="none" w:pos="1020" w:val="left"/>
        </w:tabs>
        <w:numPr>
          <w:ilvl w:val="0"/>
          <w:numId w:val="53"/>
        </w:numPr>
        <w:rPr>
          <w:rFonts w:ascii="MS PGothic" w:cs="MS PGothic" w:eastAsia="MS PGothic" w:hAnsi="MS PGothic"/>
          <w:sz w:val="12"/>
          <w:szCs w:val="12"/>
          <w:color w:val="auto"/>
        </w:rPr>
      </w:pPr>
      <w:r>
        <w:rPr>
          <w:rFonts w:ascii="Arial" w:cs="Arial" w:eastAsia="Arial" w:hAnsi="Arial"/>
          <w:sz w:val="17"/>
          <w:szCs w:val="17"/>
          <w:color w:val="auto"/>
        </w:rPr>
        <w:t>continue our ongoing and planned research and development of our product candidate, atacicept, for the treatment of iGAN and LN;</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53"/>
        </w:numPr>
        <w:rPr>
          <w:rFonts w:ascii="MS PGothic" w:cs="MS PGothic" w:eastAsia="MS PGothic" w:hAnsi="MS PGothic"/>
          <w:sz w:val="12"/>
          <w:szCs w:val="12"/>
          <w:color w:val="auto"/>
        </w:rPr>
      </w:pPr>
      <w:r>
        <w:rPr>
          <w:rFonts w:ascii="Arial" w:cs="Arial" w:eastAsia="Arial" w:hAnsi="Arial"/>
          <w:sz w:val="17"/>
          <w:szCs w:val="17"/>
          <w:color w:val="auto"/>
        </w:rPr>
        <w:t>initiate nonclinical studies and clinical trials for atacicept and any additional product candidates that we may pursue in the future;</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53"/>
        </w:numPr>
        <w:rPr>
          <w:rFonts w:ascii="MS PGothic" w:cs="MS PGothic" w:eastAsia="MS PGothic" w:hAnsi="MS PGothic"/>
          <w:sz w:val="12"/>
          <w:szCs w:val="12"/>
          <w:color w:val="auto"/>
        </w:rPr>
      </w:pPr>
      <w:r>
        <w:rPr>
          <w:rFonts w:ascii="Arial" w:cs="Arial" w:eastAsia="Arial" w:hAnsi="Arial"/>
          <w:sz w:val="17"/>
          <w:szCs w:val="17"/>
          <w:color w:val="auto"/>
        </w:rPr>
        <w:t>seek to discover and develop additional product candidates and further expand our clinical product pipeline;</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53"/>
        </w:numPr>
        <w:rPr>
          <w:rFonts w:ascii="MS PGothic" w:cs="MS PGothic" w:eastAsia="MS PGothic" w:hAnsi="MS PGothic"/>
          <w:sz w:val="12"/>
          <w:szCs w:val="12"/>
          <w:color w:val="auto"/>
        </w:rPr>
      </w:pPr>
      <w:r>
        <w:rPr>
          <w:rFonts w:ascii="Arial" w:cs="Arial" w:eastAsia="Arial" w:hAnsi="Arial"/>
          <w:sz w:val="17"/>
          <w:szCs w:val="17"/>
          <w:color w:val="auto"/>
        </w:rPr>
        <w:t>seek regulatory approvals for any product candidates that successfully complete clinical trials;</w:t>
      </w:r>
    </w:p>
    <w:p>
      <w:pPr>
        <w:spacing w:after="0" w:line="31" w:lineRule="exact"/>
        <w:rPr>
          <w:rFonts w:ascii="MS PGothic" w:cs="MS PGothic" w:eastAsia="MS PGothic" w:hAnsi="MS PGothic"/>
          <w:sz w:val="12"/>
          <w:szCs w:val="12"/>
          <w:color w:val="auto"/>
        </w:rPr>
      </w:pPr>
    </w:p>
    <w:p>
      <w:pPr>
        <w:ind w:left="1020" w:right="200" w:hanging="425"/>
        <w:spacing w:after="0" w:line="239" w:lineRule="auto"/>
        <w:tabs>
          <w:tab w:leader="none" w:pos="1020" w:val="left"/>
        </w:tabs>
        <w:numPr>
          <w:ilvl w:val="0"/>
          <w:numId w:val="53"/>
        </w:numPr>
        <w:rPr>
          <w:rFonts w:ascii="MS PGothic" w:cs="MS PGothic" w:eastAsia="MS PGothic" w:hAnsi="MS PGothic"/>
          <w:sz w:val="12"/>
          <w:szCs w:val="12"/>
          <w:color w:val="auto"/>
        </w:rPr>
      </w:pPr>
      <w:r>
        <w:rPr>
          <w:rFonts w:ascii="Arial" w:cs="Arial" w:eastAsia="Arial" w:hAnsi="Arial"/>
          <w:sz w:val="17"/>
          <w:szCs w:val="17"/>
          <w:color w:val="auto"/>
        </w:rPr>
        <w:t>continue to scale up external manufacturing capacity with the aim of securing sufficient quantities to meet our capacity requirements for clinical trials and potential commercialization;</w:t>
      </w:r>
    </w:p>
    <w:p>
      <w:pPr>
        <w:spacing w:after="0" w:line="25" w:lineRule="exact"/>
        <w:rPr>
          <w:rFonts w:ascii="MS PGothic" w:cs="MS PGothic" w:eastAsia="MS PGothic" w:hAnsi="MS PGothic"/>
          <w:sz w:val="12"/>
          <w:szCs w:val="12"/>
          <w:color w:val="auto"/>
        </w:rPr>
      </w:pPr>
    </w:p>
    <w:p>
      <w:pPr>
        <w:ind w:left="1020" w:right="200" w:hanging="425"/>
        <w:spacing w:after="0" w:line="239" w:lineRule="auto"/>
        <w:tabs>
          <w:tab w:leader="none" w:pos="1020" w:val="left"/>
        </w:tabs>
        <w:numPr>
          <w:ilvl w:val="0"/>
          <w:numId w:val="53"/>
        </w:numPr>
        <w:rPr>
          <w:rFonts w:ascii="MS PGothic" w:cs="MS PGothic" w:eastAsia="MS PGothic" w:hAnsi="MS PGothic"/>
          <w:sz w:val="12"/>
          <w:szCs w:val="12"/>
          <w:color w:val="auto"/>
        </w:rPr>
      </w:pPr>
      <w:r>
        <w:rPr>
          <w:rFonts w:ascii="Arial" w:cs="Arial" w:eastAsia="Arial" w:hAnsi="Arial"/>
          <w:sz w:val="17"/>
          <w:szCs w:val="17"/>
          <w:color w:val="auto"/>
        </w:rPr>
        <w:t>establish a sales, marketing and distribution infrastructure to commercialize any approved product candidates and related additional commercial manufacturing costs;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53"/>
        </w:numPr>
        <w:rPr>
          <w:rFonts w:ascii="MS PGothic" w:cs="MS PGothic" w:eastAsia="MS PGothic" w:hAnsi="MS PGothic"/>
          <w:sz w:val="12"/>
          <w:szCs w:val="12"/>
          <w:color w:val="auto"/>
        </w:rPr>
      </w:pPr>
      <w:r>
        <w:rPr>
          <w:rFonts w:ascii="Arial" w:cs="Arial" w:eastAsia="Arial" w:hAnsi="Arial"/>
          <w:sz w:val="17"/>
          <w:szCs w:val="17"/>
          <w:color w:val="auto"/>
        </w:rPr>
        <w:t>develop, maintain, expand, protect and enforce our intellectual property portfolio, including patents, trade secrets and know how;</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53"/>
        </w:numPr>
        <w:rPr>
          <w:rFonts w:ascii="MS PGothic" w:cs="MS PGothic" w:eastAsia="MS PGothic" w:hAnsi="MS PGothic"/>
          <w:sz w:val="12"/>
          <w:szCs w:val="12"/>
          <w:color w:val="auto"/>
        </w:rPr>
      </w:pPr>
      <w:r>
        <w:rPr>
          <w:rFonts w:ascii="Arial" w:cs="Arial" w:eastAsia="Arial" w:hAnsi="Arial"/>
          <w:sz w:val="17"/>
          <w:szCs w:val="17"/>
          <w:color w:val="auto"/>
        </w:rPr>
        <w:t>acquire, develop or in-license other product candidates and technologies;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53"/>
        </w:numPr>
        <w:rPr>
          <w:rFonts w:ascii="MS PGothic" w:cs="MS PGothic" w:eastAsia="MS PGothic" w:hAnsi="MS PGothic"/>
          <w:sz w:val="12"/>
          <w:szCs w:val="12"/>
          <w:color w:val="auto"/>
        </w:rPr>
      </w:pPr>
      <w:r>
        <w:rPr>
          <w:rFonts w:ascii="Arial" w:cs="Arial" w:eastAsia="Arial" w:hAnsi="Arial"/>
          <w:sz w:val="17"/>
          <w:szCs w:val="17"/>
          <w:color w:val="auto"/>
        </w:rPr>
        <w:t>attract, hire and retain additional clinical, scientific, quality control, and manufacturing management and administrative personnel;</w:t>
      </w:r>
    </w:p>
    <w:p>
      <w:pPr>
        <w:spacing w:after="0" w:line="31" w:lineRule="exact"/>
        <w:rPr>
          <w:rFonts w:ascii="MS PGothic" w:cs="MS PGothic" w:eastAsia="MS PGothic" w:hAnsi="MS PGothic"/>
          <w:sz w:val="12"/>
          <w:szCs w:val="12"/>
          <w:color w:val="auto"/>
        </w:rPr>
      </w:pPr>
    </w:p>
    <w:p>
      <w:pPr>
        <w:ind w:left="1020" w:right="280" w:hanging="425"/>
        <w:spacing w:after="0" w:line="239" w:lineRule="auto"/>
        <w:tabs>
          <w:tab w:leader="none" w:pos="1020" w:val="left"/>
        </w:tabs>
        <w:numPr>
          <w:ilvl w:val="0"/>
          <w:numId w:val="53"/>
        </w:numPr>
        <w:rPr>
          <w:rFonts w:ascii="MS PGothic" w:cs="MS PGothic" w:eastAsia="MS PGothic" w:hAnsi="MS PGothic"/>
          <w:sz w:val="12"/>
          <w:szCs w:val="12"/>
          <w:color w:val="auto"/>
        </w:rPr>
      </w:pPr>
      <w:r>
        <w:rPr>
          <w:rFonts w:ascii="Arial" w:cs="Arial" w:eastAsia="Arial" w:hAnsi="Arial"/>
          <w:sz w:val="17"/>
          <w:szCs w:val="17"/>
          <w:color w:val="auto"/>
        </w:rPr>
        <w:t>add clinical, operational, financial and management information systems and personnel, including personnel to support our product development and planned future commercialization efforts; and</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53"/>
        </w:numPr>
        <w:rPr>
          <w:rFonts w:ascii="MS PGothic" w:cs="MS PGothic" w:eastAsia="MS PGothic" w:hAnsi="MS PGothic"/>
          <w:sz w:val="12"/>
          <w:szCs w:val="12"/>
          <w:color w:val="auto"/>
        </w:rPr>
      </w:pPr>
      <w:r>
        <w:rPr>
          <w:rFonts w:ascii="Arial" w:cs="Arial" w:eastAsia="Arial" w:hAnsi="Arial"/>
          <w:sz w:val="17"/>
          <w:szCs w:val="17"/>
          <w:color w:val="auto"/>
        </w:rPr>
        <w:t>incur additional legal, accounting, investor relations and other expenses associated with operating as a public company.</w:t>
      </w:r>
    </w:p>
    <w:p>
      <w:pPr>
        <w:spacing w:after="0" w:line="152"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color w:val="auto"/>
        </w:rPr>
        <w:t>We also expect to increase the size of our administrative function to support the growth of our business. Our net losses may fluctuate significantly from quarter-to-quarter and year-to-year, depending on the timing of our clinical trials and our expenditures on other research and development activities.</w:t>
      </w:r>
    </w:p>
    <w:p>
      <w:pPr>
        <w:spacing w:after="0" w:line="146"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We will require substantial additional funding to develop our product candidates and support our continuing operations.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Covid-19 Pandemic</w:t>
      </w:r>
    </w:p>
    <w:p>
      <w:pPr>
        <w:spacing w:after="0" w:line="39" w:lineRule="exact"/>
        <w:rPr>
          <w:sz w:val="20"/>
          <w:szCs w:val="20"/>
          <w:color w:val="auto"/>
        </w:rPr>
      </w:pPr>
    </w:p>
    <w:p>
      <w:pPr>
        <w:ind w:left="160" w:right="220"/>
        <w:spacing w:after="0" w:line="239" w:lineRule="auto"/>
        <w:rPr>
          <w:sz w:val="20"/>
          <w:szCs w:val="20"/>
          <w:color w:val="auto"/>
        </w:rPr>
      </w:pPr>
      <w:r>
        <w:rPr>
          <w:rFonts w:ascii="Arial" w:cs="Arial" w:eastAsia="Arial" w:hAnsi="Arial"/>
          <w:sz w:val="17"/>
          <w:szCs w:val="17"/>
          <w:color w:val="auto"/>
        </w:rPr>
        <w:t>Since it was reported to have surfaced in December 2019, a novel strain of coronavirus (COVID-19) has spread across the world and has been declared a pandemic by the World Health Organization. Efforts to contain the spread</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080"/>
          </w:cols>
          <w:pgMar w:left="320" w:top="456"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of COVID-19 have intensified and governments around the world, including in the United States, Europe and Asia, have implemented travel restrictions, social distancing requirements, stay-at-home orders and have delayed the commencement of non-COVID-19-related clinical trials, among other restrictions. As a result, the current COVID-19 pandemic has presented a substantial public health and economic challenge around the world and is affecting our employees, patients, communities and business operations, as well as contributing to significant volatility and negative pressure on the U.S. economy and in financial markets.</w:t>
      </w:r>
    </w:p>
    <w:p>
      <w:pPr>
        <w:spacing w:after="0" w:line="148"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As a result of the outbreak, many companies have experienced disruptions in their operations and in markets served. To date, we have initiated some and may take additional temporary precautionary measures intended to help ensure our employees’ well-being and minimize business disruption. For the safety of our employees and their families, we have temporarily reduced the presence of our employees in our facilities. Certain of our third-party service providers have also experienced shutdowns or other business disruptions. We are continuing to assess the impact of the COVID-19 pandemic on our current and future business and operations, including our expenses and planned clinical trial and other development timelines, as well as on our industry and the healthcare system.</w:t>
      </w:r>
    </w:p>
    <w:p>
      <w:pPr>
        <w:spacing w:after="0" w:line="145" w:lineRule="exact"/>
        <w:rPr>
          <w:sz w:val="20"/>
          <w:szCs w:val="20"/>
          <w:color w:val="auto"/>
        </w:rPr>
      </w:pPr>
    </w:p>
    <w:p>
      <w:pPr>
        <w:ind w:left="160" w:right="460"/>
        <w:spacing w:after="0" w:line="239" w:lineRule="auto"/>
        <w:rPr>
          <w:sz w:val="20"/>
          <w:szCs w:val="20"/>
          <w:color w:val="auto"/>
        </w:rPr>
      </w:pPr>
      <w:r>
        <w:rPr>
          <w:rFonts w:ascii="Arial" w:cs="Arial" w:eastAsia="Arial" w:hAnsi="Arial"/>
          <w:sz w:val="17"/>
          <w:szCs w:val="17"/>
          <w:color w:val="auto"/>
        </w:rPr>
        <w:t>As a result of the COVID-19 pandemic, or similar pandemics and outbreaks, we have and may in the future experience severe disruptions, including:</w:t>
      </w:r>
    </w:p>
    <w:p>
      <w:pPr>
        <w:spacing w:after="0" w:line="186" w:lineRule="exact"/>
        <w:rPr>
          <w:sz w:val="20"/>
          <w:szCs w:val="20"/>
          <w:color w:val="auto"/>
        </w:rPr>
      </w:pPr>
    </w:p>
    <w:p>
      <w:pPr>
        <w:ind w:left="1020" w:right="180" w:hanging="425"/>
        <w:spacing w:after="0" w:line="236" w:lineRule="auto"/>
        <w:tabs>
          <w:tab w:leader="none" w:pos="102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interruption of or delays in receiving products and supplies from the third parties we rely on to, among other things, manufacture components of our instruments, due to staffing shortages, production slowdowns or stoppages and disruptions in delivery systems, which may impair our ability to sell our products and consumables;</w:t>
      </w:r>
    </w:p>
    <w:p>
      <w:pPr>
        <w:spacing w:after="0" w:line="25" w:lineRule="exact"/>
        <w:rPr>
          <w:rFonts w:ascii="MS PGothic" w:cs="MS PGothic" w:eastAsia="MS PGothic" w:hAnsi="MS PGothic"/>
          <w:sz w:val="12"/>
          <w:szCs w:val="12"/>
          <w:color w:val="auto"/>
        </w:rPr>
      </w:pPr>
    </w:p>
    <w:p>
      <w:pPr>
        <w:ind w:left="1020" w:right="380" w:hanging="425"/>
        <w:spacing w:after="0" w:line="239" w:lineRule="auto"/>
        <w:tabs>
          <w:tab w:leader="none" w:pos="102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limitations on our business operations by the local, state, or federal government that could impact our ability to sell or deliver our instruments and consumables;</w:t>
      </w:r>
    </w:p>
    <w:p>
      <w:pPr>
        <w:spacing w:after="0" w:line="25" w:lineRule="exact"/>
        <w:rPr>
          <w:rFonts w:ascii="MS PGothic" w:cs="MS PGothic" w:eastAsia="MS PGothic" w:hAnsi="MS PGothic"/>
          <w:sz w:val="12"/>
          <w:szCs w:val="12"/>
          <w:color w:val="auto"/>
        </w:rPr>
      </w:pPr>
    </w:p>
    <w:p>
      <w:pPr>
        <w:ind w:left="1020" w:right="400" w:hanging="425"/>
        <w:spacing w:after="0" w:line="239" w:lineRule="auto"/>
        <w:tabs>
          <w:tab w:leader="none" w:pos="102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business disruptions caused by workplace, laboratory and office closures and an increased reliance on employees working from home, travel limitations, cybersecurity and data accessibility limits, or communication or mass transit disruptions; and</w:t>
      </w:r>
    </w:p>
    <w:p>
      <w:pPr>
        <w:spacing w:after="0" w:line="25" w:lineRule="exact"/>
        <w:rPr>
          <w:rFonts w:ascii="MS PGothic" w:cs="MS PGothic" w:eastAsia="MS PGothic" w:hAnsi="MS PGothic"/>
          <w:sz w:val="12"/>
          <w:szCs w:val="12"/>
          <w:color w:val="auto"/>
        </w:rPr>
      </w:pPr>
    </w:p>
    <w:p>
      <w:pPr>
        <w:ind w:left="1020" w:right="80" w:hanging="425"/>
        <w:spacing w:after="0" w:line="239" w:lineRule="auto"/>
        <w:tabs>
          <w:tab w:leader="none" w:pos="1020" w:val="left"/>
        </w:tabs>
        <w:numPr>
          <w:ilvl w:val="0"/>
          <w:numId w:val="54"/>
        </w:numPr>
        <w:rPr>
          <w:rFonts w:ascii="MS PGothic" w:cs="MS PGothic" w:eastAsia="MS PGothic" w:hAnsi="MS PGothic"/>
          <w:sz w:val="12"/>
          <w:szCs w:val="12"/>
          <w:color w:val="auto"/>
        </w:rPr>
      </w:pPr>
      <w:r>
        <w:rPr>
          <w:rFonts w:ascii="Arial" w:cs="Arial" w:eastAsia="Arial" w:hAnsi="Arial"/>
          <w:sz w:val="17"/>
          <w:szCs w:val="17"/>
          <w:color w:val="auto"/>
        </w:rPr>
        <w:t>limitations on employee resources that would otherwise be focused on the conduct of our activities, including because of sickness of employees or their families or the desire of employees to avoid contact with large groups of people.</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0980"/>
          </w:cols>
          <w:pgMar w:left="320" w:top="456" w:right="5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Results of Operations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Comparisons of the Years Ended December 31, 2019 and 2020</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summarizes our results of operations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5"/>
                <w:szCs w:val="15"/>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7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4"/>
        </w:trPr>
        <w:tc>
          <w:tcPr>
            <w:tcW w:w="7220" w:type="dxa"/>
            <w:vAlign w:val="bottom"/>
            <w:gridSpan w:val="2"/>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98"/>
              <w:spacing w:after="0" w:line="154"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95"/>
              <w:spacing w:after="0" w:line="154"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240"/>
              <w:spacing w:after="0" w:line="154"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tcPr>
          <w:p>
            <w:pPr>
              <w:jc w:val="right"/>
              <w:ind w:right="156"/>
              <w:spacing w:after="0" w:line="154"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7"/>
                <w:szCs w:val="17"/>
                <w:color w:val="auto"/>
              </w:rPr>
              <w:t>Operating expenses:</w:t>
            </w: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0" w:type="dxa"/>
            <w:vAlign w:val="bottom"/>
          </w:tcPr>
          <w:p>
            <w:pPr>
              <w:ind w:left="480"/>
              <w:spacing w:after="0" w:line="187" w:lineRule="exact"/>
              <w:rPr>
                <w:sz w:val="20"/>
                <w:szCs w:val="20"/>
                <w:color w:val="auto"/>
              </w:rPr>
            </w:pPr>
            <w:r>
              <w:rPr>
                <w:rFonts w:ascii="Arial" w:cs="Arial" w:eastAsia="Arial" w:hAnsi="Arial"/>
                <w:sz w:val="17"/>
                <w:szCs w:val="17"/>
                <w:color w:val="auto"/>
              </w:rPr>
              <w:t>Research and development</w:t>
            </w: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80"/>
              <w:spacing w:after="0" w:line="187" w:lineRule="exact"/>
              <w:rPr>
                <w:sz w:val="20"/>
                <w:szCs w:val="20"/>
                <w:color w:val="auto"/>
              </w:rPr>
            </w:pPr>
            <w:r>
              <w:rPr>
                <w:rFonts w:ascii="Arial" w:cs="Arial" w:eastAsia="Arial" w:hAnsi="Arial"/>
                <w:sz w:val="17"/>
                <w:szCs w:val="17"/>
                <w:color w:val="auto"/>
              </w:rPr>
              <w:t>7,290</w:t>
            </w:r>
          </w:p>
        </w:tc>
        <w:tc>
          <w:tcPr>
            <w:tcW w:w="1000" w:type="dxa"/>
            <w:vAlign w:val="bottom"/>
            <w:gridSpan w:val="3"/>
          </w:tcPr>
          <w:p>
            <w:pPr>
              <w:jc w:val="right"/>
              <w:ind w:right="180"/>
              <w:spacing w:after="0" w:line="187" w:lineRule="exact"/>
              <w:rPr>
                <w:sz w:val="20"/>
                <w:szCs w:val="20"/>
                <w:color w:val="auto"/>
              </w:rPr>
            </w:pPr>
            <w:r>
              <w:rPr>
                <w:rFonts w:ascii="Arial" w:cs="Arial" w:eastAsia="Arial" w:hAnsi="Arial"/>
                <w:sz w:val="17"/>
                <w:szCs w:val="17"/>
                <w:color w:val="auto"/>
              </w:rPr>
              <w:t>$ 45,206</w:t>
            </w:r>
          </w:p>
        </w:tc>
        <w:tc>
          <w:tcPr>
            <w:tcW w:w="1040" w:type="dxa"/>
            <w:vAlign w:val="bottom"/>
            <w:gridSpan w:val="3"/>
          </w:tcPr>
          <w:p>
            <w:pPr>
              <w:jc w:val="right"/>
              <w:ind w:right="220"/>
              <w:spacing w:after="0" w:line="187" w:lineRule="exact"/>
              <w:rPr>
                <w:sz w:val="20"/>
                <w:szCs w:val="20"/>
                <w:color w:val="auto"/>
              </w:rPr>
            </w:pPr>
            <w:r>
              <w:rPr>
                <w:rFonts w:ascii="Arial" w:cs="Arial" w:eastAsia="Arial" w:hAnsi="Arial"/>
                <w:sz w:val="17"/>
                <w:szCs w:val="17"/>
                <w:color w:val="auto"/>
              </w:rPr>
              <w:t>$ 37,916</w:t>
            </w:r>
          </w:p>
        </w:tc>
        <w:tc>
          <w:tcPr>
            <w:tcW w:w="80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0" w:type="dxa"/>
            <w:vAlign w:val="bottom"/>
            <w:shd w:val="clear" w:color="auto" w:fill="CCEEFF"/>
          </w:tcPr>
          <w:p>
            <w:pPr>
              <w:ind w:left="480"/>
              <w:spacing w:after="0" w:line="187" w:lineRule="exact"/>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line="187" w:lineRule="exact"/>
              <w:rPr>
                <w:sz w:val="20"/>
                <w:szCs w:val="20"/>
                <w:color w:val="auto"/>
              </w:rPr>
            </w:pPr>
            <w:r>
              <w:rPr>
                <w:rFonts w:ascii="Arial" w:cs="Arial" w:eastAsia="Arial" w:hAnsi="Arial"/>
                <w:sz w:val="17"/>
                <w:szCs w:val="17"/>
                <w:color w:val="auto"/>
              </w:rPr>
              <w:t>4,410</w:t>
            </w:r>
          </w:p>
        </w:tc>
        <w:tc>
          <w:tcPr>
            <w:tcW w:w="1000" w:type="dxa"/>
            <w:vAlign w:val="bottom"/>
            <w:gridSpan w:val="3"/>
            <w:shd w:val="clear" w:color="auto" w:fill="CCEEFF"/>
          </w:tcPr>
          <w:p>
            <w:pPr>
              <w:jc w:val="right"/>
              <w:ind w:right="180"/>
              <w:spacing w:after="0" w:line="187" w:lineRule="exact"/>
              <w:rPr>
                <w:sz w:val="20"/>
                <w:szCs w:val="20"/>
                <w:color w:val="auto"/>
              </w:rPr>
            </w:pPr>
            <w:r>
              <w:rPr>
                <w:rFonts w:ascii="Arial" w:cs="Arial" w:eastAsia="Arial" w:hAnsi="Arial"/>
                <w:sz w:val="17"/>
                <w:szCs w:val="17"/>
                <w:color w:val="auto"/>
              </w:rPr>
              <w:t>4,039</w:t>
            </w:r>
          </w:p>
        </w:tc>
        <w:tc>
          <w:tcPr>
            <w:tcW w:w="1040" w:type="dxa"/>
            <w:vAlign w:val="bottom"/>
            <w:gridSpan w:val="3"/>
            <w:shd w:val="clear" w:color="auto" w:fill="CCEEFF"/>
          </w:tcPr>
          <w:p>
            <w:pPr>
              <w:jc w:val="right"/>
              <w:ind w:right="160"/>
              <w:spacing w:after="0" w:line="187" w:lineRule="exact"/>
              <w:rPr>
                <w:sz w:val="20"/>
                <w:szCs w:val="20"/>
                <w:color w:val="auto"/>
              </w:rPr>
            </w:pPr>
            <w:r>
              <w:rPr>
                <w:rFonts w:ascii="Arial" w:cs="Arial" w:eastAsia="Arial" w:hAnsi="Arial"/>
                <w:sz w:val="17"/>
                <w:szCs w:val="17"/>
                <w:color w:val="auto"/>
              </w:rPr>
              <w:t>(371)</w:t>
            </w:r>
          </w:p>
        </w:tc>
        <w:tc>
          <w:tcPr>
            <w:tcW w:w="80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0" w:type="dxa"/>
            <w:vAlign w:val="bottom"/>
          </w:tcPr>
          <w:p>
            <w:pPr>
              <w:ind w:left="480"/>
              <w:spacing w:after="0" w:line="187" w:lineRule="exact"/>
              <w:rPr>
                <w:sz w:val="20"/>
                <w:szCs w:val="20"/>
                <w:color w:val="auto"/>
              </w:rPr>
            </w:pPr>
            <w:r>
              <w:rPr>
                <w:rFonts w:ascii="Arial" w:cs="Arial" w:eastAsia="Arial" w:hAnsi="Arial"/>
                <w:sz w:val="17"/>
                <w:szCs w:val="17"/>
                <w:color w:val="auto"/>
              </w:rPr>
              <w:t>Restructuring costs</w:t>
            </w:r>
          </w:p>
        </w:tc>
        <w:tc>
          <w:tcPr>
            <w:tcW w:w="100" w:type="dxa"/>
            <w:vAlign w:val="bottom"/>
          </w:tcPr>
          <w:p>
            <w:pPr>
              <w:spacing w:after="0"/>
              <w:rPr>
                <w:sz w:val="16"/>
                <w:szCs w:val="16"/>
                <w:color w:val="auto"/>
              </w:rPr>
            </w:pPr>
          </w:p>
        </w:tc>
        <w:tc>
          <w:tcPr>
            <w:tcW w:w="580" w:type="dxa"/>
            <w:vAlign w:val="bottom"/>
          </w:tcPr>
          <w:p>
            <w:pPr>
              <w:jc w:val="right"/>
              <w:spacing w:after="0" w:line="187" w:lineRule="exact"/>
              <w:rPr>
                <w:sz w:val="20"/>
                <w:szCs w:val="20"/>
                <w:color w:val="auto"/>
              </w:rPr>
            </w:pPr>
            <w:r>
              <w:rPr>
                <w:rFonts w:ascii="Arial" w:cs="Arial" w:eastAsia="Arial" w:hAnsi="Arial"/>
                <w:sz w:val="17"/>
                <w:szCs w:val="17"/>
                <w:color w:val="auto"/>
              </w:rPr>
              <w:t>261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line="187" w:lineRule="exact"/>
              <w:rPr>
                <w:sz w:val="20"/>
                <w:szCs w:val="20"/>
                <w:color w:val="auto"/>
              </w:rPr>
            </w:pPr>
            <w:r>
              <w:rPr>
                <w:rFonts w:ascii="Arial" w:cs="Arial" w:eastAsia="Arial" w:hAnsi="Arial"/>
                <w:sz w:val="17"/>
                <w:szCs w:val="17"/>
                <w:color w:val="auto"/>
              </w:rPr>
              <w:t>2,996</w:t>
            </w:r>
          </w:p>
        </w:tc>
        <w:tc>
          <w:tcPr>
            <w:tcW w:w="1040" w:type="dxa"/>
            <w:vAlign w:val="bottom"/>
            <w:gridSpan w:val="3"/>
          </w:tcPr>
          <w:p>
            <w:pPr>
              <w:jc w:val="right"/>
              <w:ind w:right="220"/>
              <w:spacing w:after="0" w:line="187" w:lineRule="exact"/>
              <w:rPr>
                <w:sz w:val="20"/>
                <w:szCs w:val="20"/>
                <w:color w:val="auto"/>
              </w:rPr>
            </w:pPr>
            <w:r>
              <w:rPr>
                <w:rFonts w:ascii="Arial" w:cs="Arial" w:eastAsia="Arial" w:hAnsi="Arial"/>
                <w:sz w:val="17"/>
                <w:szCs w:val="17"/>
                <w:color w:val="auto"/>
              </w:rPr>
              <w:t>2,735</w:t>
            </w:r>
          </w:p>
        </w:tc>
        <w:tc>
          <w:tcPr>
            <w:tcW w:w="800" w:type="dxa"/>
            <w:vAlign w:val="bottom"/>
            <w:gridSpan w:val="2"/>
          </w:tcPr>
          <w:p>
            <w:pPr>
              <w:jc w:val="right"/>
              <w:ind w:right="200"/>
              <w:spacing w:after="0" w:line="187" w:lineRule="exact"/>
              <w:rPr>
                <w:sz w:val="20"/>
                <w:szCs w:val="20"/>
                <w:color w:val="auto"/>
              </w:rPr>
            </w:pPr>
            <w:r>
              <w:rPr>
                <w:rFonts w:ascii="Arial" w:cs="Arial" w:eastAsia="Arial" w:hAnsi="Arial"/>
                <w:sz w:val="17"/>
                <w:szCs w:val="17"/>
                <w:color w:val="auto"/>
              </w:rPr>
              <w:t>1,048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200" w:type="dxa"/>
            <w:vAlign w:val="bottom"/>
            <w:shd w:val="clear" w:color="auto" w:fill="CCEEFF"/>
          </w:tcPr>
          <w:p>
            <w:pPr>
              <w:ind w:left="980"/>
              <w:spacing w:after="0" w:line="187" w:lineRule="exact"/>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11,961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7" w:lineRule="exact"/>
              <w:rPr>
                <w:sz w:val="20"/>
                <w:szCs w:val="20"/>
                <w:color w:val="auto"/>
              </w:rPr>
            </w:pPr>
            <w:r>
              <w:rPr>
                <w:rFonts w:ascii="Arial" w:cs="Arial" w:eastAsia="Arial" w:hAnsi="Arial"/>
                <w:sz w:val="17"/>
                <w:szCs w:val="17"/>
                <w:color w:val="auto"/>
              </w:rPr>
              <w:t>52,241</w:t>
            </w:r>
          </w:p>
        </w:tc>
        <w:tc>
          <w:tcPr>
            <w:tcW w:w="1040" w:type="dxa"/>
            <w:vAlign w:val="bottom"/>
            <w:gridSpan w:val="3"/>
            <w:shd w:val="clear" w:color="auto" w:fill="CCEEFF"/>
          </w:tcPr>
          <w:p>
            <w:pPr>
              <w:jc w:val="right"/>
              <w:ind w:right="220"/>
              <w:spacing w:after="0" w:line="187" w:lineRule="exact"/>
              <w:rPr>
                <w:sz w:val="20"/>
                <w:szCs w:val="20"/>
                <w:color w:val="auto"/>
              </w:rPr>
            </w:pPr>
            <w:r>
              <w:rPr>
                <w:rFonts w:ascii="Arial" w:cs="Arial" w:eastAsia="Arial" w:hAnsi="Arial"/>
                <w:sz w:val="17"/>
                <w:szCs w:val="17"/>
                <w:color w:val="auto"/>
              </w:rPr>
              <w:t>40,280</w:t>
            </w:r>
          </w:p>
        </w:tc>
        <w:tc>
          <w:tcPr>
            <w:tcW w:w="80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0" w:type="dxa"/>
            <w:vAlign w:val="bottom"/>
          </w:tcPr>
          <w:p>
            <w:pPr>
              <w:spacing w:after="0" w:line="187" w:lineRule="exact"/>
              <w:rPr>
                <w:sz w:val="20"/>
                <w:szCs w:val="20"/>
                <w:color w:val="auto"/>
              </w:rPr>
            </w:pPr>
            <w:r>
              <w:rPr>
                <w:rFonts w:ascii="Arial" w:cs="Arial" w:eastAsia="Arial" w:hAnsi="Arial"/>
                <w:sz w:val="17"/>
                <w:szCs w:val="17"/>
                <w:color w:val="auto"/>
              </w:rPr>
              <w:t>Loss from operations</w:t>
            </w:r>
          </w:p>
        </w:tc>
        <w:tc>
          <w:tcPr>
            <w:tcW w:w="100" w:type="dxa"/>
            <w:vAlign w:val="bottom"/>
          </w:tcPr>
          <w:p>
            <w:pPr>
              <w:spacing w:after="0"/>
              <w:rPr>
                <w:sz w:val="16"/>
                <w:szCs w:val="16"/>
                <w:color w:val="auto"/>
              </w:rPr>
            </w:pPr>
          </w:p>
        </w:tc>
        <w:tc>
          <w:tcPr>
            <w:tcW w:w="7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w w:val="97"/>
              </w:rPr>
              <w:t>(11,961)</w:t>
            </w:r>
          </w:p>
        </w:tc>
        <w:tc>
          <w:tcPr>
            <w:tcW w:w="1000" w:type="dxa"/>
            <w:vAlign w:val="bottom"/>
            <w:gridSpan w:val="3"/>
          </w:tcPr>
          <w:p>
            <w:pPr>
              <w:jc w:val="right"/>
              <w:ind w:right="120"/>
              <w:spacing w:after="0" w:line="187" w:lineRule="exact"/>
              <w:rPr>
                <w:sz w:val="20"/>
                <w:szCs w:val="20"/>
                <w:color w:val="auto"/>
              </w:rPr>
            </w:pPr>
            <w:r>
              <w:rPr>
                <w:rFonts w:ascii="Arial" w:cs="Arial" w:eastAsia="Arial" w:hAnsi="Arial"/>
                <w:sz w:val="17"/>
                <w:szCs w:val="17"/>
                <w:color w:val="auto"/>
              </w:rPr>
              <w:t>(52,241)</w:t>
            </w:r>
          </w:p>
        </w:tc>
        <w:tc>
          <w:tcPr>
            <w:tcW w:w="1040" w:type="dxa"/>
            <w:vAlign w:val="bottom"/>
            <w:gridSpan w:val="3"/>
          </w:tcPr>
          <w:p>
            <w:pPr>
              <w:jc w:val="right"/>
              <w:ind w:right="160"/>
              <w:spacing w:after="0" w:line="187" w:lineRule="exact"/>
              <w:rPr>
                <w:sz w:val="20"/>
                <w:szCs w:val="20"/>
                <w:color w:val="auto"/>
              </w:rPr>
            </w:pPr>
            <w:r>
              <w:rPr>
                <w:rFonts w:ascii="Arial" w:cs="Arial" w:eastAsia="Arial" w:hAnsi="Arial"/>
                <w:sz w:val="17"/>
                <w:szCs w:val="17"/>
                <w:color w:val="auto"/>
              </w:rPr>
              <w:t>(40,280)</w:t>
            </w:r>
          </w:p>
        </w:tc>
        <w:tc>
          <w:tcPr>
            <w:tcW w:w="80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Other income (expense):</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0" w:type="dxa"/>
            <w:vAlign w:val="bottom"/>
          </w:tcPr>
          <w:p>
            <w:pPr>
              <w:ind w:left="480"/>
              <w:spacing w:after="0" w:line="187" w:lineRule="exact"/>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line="187" w:lineRule="exact"/>
              <w:rPr>
                <w:sz w:val="20"/>
                <w:szCs w:val="20"/>
                <w:color w:val="auto"/>
              </w:rPr>
            </w:pPr>
            <w:r>
              <w:rPr>
                <w:rFonts w:ascii="Arial" w:cs="Arial" w:eastAsia="Arial" w:hAnsi="Arial"/>
                <w:sz w:val="17"/>
                <w:szCs w:val="17"/>
                <w:color w:val="auto"/>
              </w:rPr>
              <w:t>159</w:t>
            </w:r>
          </w:p>
        </w:tc>
        <w:tc>
          <w:tcPr>
            <w:tcW w:w="1000" w:type="dxa"/>
            <w:vAlign w:val="bottom"/>
            <w:gridSpan w:val="3"/>
          </w:tcPr>
          <w:p>
            <w:pPr>
              <w:jc w:val="right"/>
              <w:ind w:right="180"/>
              <w:spacing w:after="0" w:line="187" w:lineRule="exact"/>
              <w:rPr>
                <w:sz w:val="20"/>
                <w:szCs w:val="20"/>
                <w:color w:val="auto"/>
              </w:rPr>
            </w:pPr>
            <w:r>
              <w:rPr>
                <w:rFonts w:ascii="Arial" w:cs="Arial" w:eastAsia="Arial" w:hAnsi="Arial"/>
                <w:sz w:val="17"/>
                <w:szCs w:val="17"/>
                <w:color w:val="auto"/>
              </w:rPr>
              <w:t>8</w:t>
            </w:r>
          </w:p>
        </w:tc>
        <w:tc>
          <w:tcPr>
            <w:tcW w:w="1040" w:type="dxa"/>
            <w:vAlign w:val="bottom"/>
            <w:gridSpan w:val="3"/>
          </w:tcPr>
          <w:p>
            <w:pPr>
              <w:jc w:val="right"/>
              <w:ind w:right="160"/>
              <w:spacing w:after="0" w:line="187" w:lineRule="exact"/>
              <w:rPr>
                <w:sz w:val="20"/>
                <w:szCs w:val="20"/>
                <w:color w:val="auto"/>
              </w:rPr>
            </w:pPr>
            <w:r>
              <w:rPr>
                <w:rFonts w:ascii="Arial" w:cs="Arial" w:eastAsia="Arial" w:hAnsi="Arial"/>
                <w:sz w:val="17"/>
                <w:szCs w:val="17"/>
                <w:color w:val="auto"/>
              </w:rPr>
              <w:t>(151)</w:t>
            </w:r>
          </w:p>
        </w:tc>
        <w:tc>
          <w:tcPr>
            <w:tcW w:w="80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0" w:type="dxa"/>
            <w:vAlign w:val="bottom"/>
            <w:shd w:val="clear" w:color="auto" w:fill="CCEEFF"/>
          </w:tcPr>
          <w:p>
            <w:pPr>
              <w:ind w:left="480"/>
              <w:spacing w:after="0" w:line="187" w:lineRule="exact"/>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(51)</w:t>
            </w:r>
          </w:p>
        </w:tc>
        <w:tc>
          <w:tcPr>
            <w:tcW w:w="1000" w:type="dxa"/>
            <w:vAlign w:val="bottom"/>
            <w:gridSpan w:val="3"/>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(166)</w:t>
            </w:r>
          </w:p>
        </w:tc>
        <w:tc>
          <w:tcPr>
            <w:tcW w:w="1040" w:type="dxa"/>
            <w:vAlign w:val="bottom"/>
            <w:gridSpan w:val="3"/>
            <w:shd w:val="clear" w:color="auto" w:fill="CCEEFF"/>
          </w:tcPr>
          <w:p>
            <w:pPr>
              <w:jc w:val="right"/>
              <w:ind w:right="160"/>
              <w:spacing w:after="0" w:line="187" w:lineRule="exact"/>
              <w:rPr>
                <w:sz w:val="20"/>
                <w:szCs w:val="20"/>
                <w:color w:val="auto"/>
              </w:rPr>
            </w:pPr>
            <w:r>
              <w:rPr>
                <w:rFonts w:ascii="Arial" w:cs="Arial" w:eastAsia="Arial" w:hAnsi="Arial"/>
                <w:sz w:val="17"/>
                <w:szCs w:val="17"/>
                <w:color w:val="auto"/>
              </w:rPr>
              <w:t>(115)</w:t>
            </w:r>
          </w:p>
        </w:tc>
        <w:tc>
          <w:tcPr>
            <w:tcW w:w="80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0" w:type="dxa"/>
            <w:vAlign w:val="bottom"/>
          </w:tcPr>
          <w:p>
            <w:pPr>
              <w:ind w:left="480"/>
              <w:spacing w:after="0" w:line="187" w:lineRule="exact"/>
              <w:rPr>
                <w:sz w:val="20"/>
                <w:szCs w:val="20"/>
                <w:color w:val="auto"/>
              </w:rPr>
            </w:pPr>
            <w:r>
              <w:rPr>
                <w:rFonts w:ascii="Arial" w:cs="Arial" w:eastAsia="Arial" w:hAnsi="Arial"/>
                <w:sz w:val="17"/>
                <w:szCs w:val="17"/>
                <w:color w:val="auto"/>
              </w:rPr>
              <w:t>Gain on issuance of convertible notes</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line="187" w:lineRule="exact"/>
              <w:rPr>
                <w:sz w:val="20"/>
                <w:szCs w:val="20"/>
                <w:color w:val="auto"/>
              </w:rPr>
            </w:pPr>
            <w:r>
              <w:rPr>
                <w:rFonts w:ascii="Arial" w:cs="Arial" w:eastAsia="Arial" w:hAnsi="Arial"/>
                <w:sz w:val="17"/>
                <w:szCs w:val="17"/>
                <w:color w:val="auto"/>
              </w:rPr>
              <w:t>—</w:t>
            </w:r>
          </w:p>
        </w:tc>
        <w:tc>
          <w:tcPr>
            <w:tcW w:w="1000" w:type="dxa"/>
            <w:vAlign w:val="bottom"/>
            <w:gridSpan w:val="3"/>
          </w:tcPr>
          <w:p>
            <w:pPr>
              <w:jc w:val="right"/>
              <w:ind w:right="180"/>
              <w:spacing w:after="0" w:line="187" w:lineRule="exact"/>
              <w:rPr>
                <w:sz w:val="20"/>
                <w:szCs w:val="20"/>
                <w:color w:val="auto"/>
              </w:rPr>
            </w:pPr>
            <w:r>
              <w:rPr>
                <w:rFonts w:ascii="Arial" w:cs="Arial" w:eastAsia="Arial" w:hAnsi="Arial"/>
                <w:sz w:val="17"/>
                <w:szCs w:val="17"/>
                <w:color w:val="auto"/>
              </w:rPr>
              <w:t>63</w:t>
            </w:r>
          </w:p>
        </w:tc>
        <w:tc>
          <w:tcPr>
            <w:tcW w:w="1040" w:type="dxa"/>
            <w:vAlign w:val="bottom"/>
            <w:gridSpan w:val="3"/>
          </w:tcPr>
          <w:p>
            <w:pPr>
              <w:jc w:val="right"/>
              <w:ind w:right="220"/>
              <w:spacing w:after="0" w:line="187" w:lineRule="exact"/>
              <w:rPr>
                <w:sz w:val="20"/>
                <w:szCs w:val="20"/>
                <w:color w:val="auto"/>
              </w:rPr>
            </w:pPr>
            <w:r>
              <w:rPr>
                <w:rFonts w:ascii="Arial" w:cs="Arial" w:eastAsia="Arial" w:hAnsi="Arial"/>
                <w:sz w:val="17"/>
                <w:szCs w:val="17"/>
                <w:color w:val="auto"/>
              </w:rPr>
              <w:t>63</w:t>
            </w:r>
          </w:p>
        </w:tc>
        <w:tc>
          <w:tcPr>
            <w:tcW w:w="80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0" w:type="dxa"/>
            <w:vAlign w:val="bottom"/>
            <w:shd w:val="clear" w:color="auto" w:fill="CCEEFF"/>
          </w:tcPr>
          <w:p>
            <w:pPr>
              <w:ind w:left="480"/>
              <w:spacing w:after="0" w:line="187" w:lineRule="exact"/>
              <w:rPr>
                <w:sz w:val="20"/>
                <w:szCs w:val="20"/>
                <w:color w:val="auto"/>
              </w:rPr>
            </w:pPr>
            <w:r>
              <w:rPr>
                <w:rFonts w:ascii="Arial" w:cs="Arial" w:eastAsia="Arial" w:hAnsi="Arial"/>
                <w:sz w:val="17"/>
                <w:szCs w:val="17"/>
                <w:color w:val="auto"/>
              </w:rPr>
              <w:t>Change in fair value of convertible notes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(1,076)</w:t>
            </w:r>
          </w:p>
        </w:tc>
        <w:tc>
          <w:tcPr>
            <w:tcW w:w="1040" w:type="dxa"/>
            <w:vAlign w:val="bottom"/>
            <w:gridSpan w:val="3"/>
            <w:shd w:val="clear" w:color="auto" w:fill="CCEEFF"/>
          </w:tcPr>
          <w:p>
            <w:pPr>
              <w:jc w:val="right"/>
              <w:ind w:right="160"/>
              <w:spacing w:after="0" w:line="187" w:lineRule="exact"/>
              <w:rPr>
                <w:sz w:val="20"/>
                <w:szCs w:val="20"/>
                <w:color w:val="auto"/>
              </w:rPr>
            </w:pPr>
            <w:r>
              <w:rPr>
                <w:rFonts w:ascii="Arial" w:cs="Arial" w:eastAsia="Arial" w:hAnsi="Arial"/>
                <w:sz w:val="17"/>
                <w:szCs w:val="17"/>
                <w:color w:val="auto"/>
              </w:rPr>
              <w:t>(1,076)</w:t>
            </w:r>
          </w:p>
        </w:tc>
        <w:tc>
          <w:tcPr>
            <w:tcW w:w="80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980"/>
              <w:spacing w:after="0"/>
              <w:rPr>
                <w:sz w:val="20"/>
                <w:szCs w:val="20"/>
                <w:color w:val="auto"/>
              </w:rPr>
            </w:pPr>
            <w:r>
              <w:rPr>
                <w:rFonts w:ascii="Arial" w:cs="Arial" w:eastAsia="Arial" w:hAnsi="Arial"/>
                <w:sz w:val="17"/>
                <w:szCs w:val="17"/>
                <w:color w:val="auto"/>
              </w:rPr>
              <w:t>Total other income (expense)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(1,184)%</w:t>
            </w: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108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(1,171)</w:t>
            </w:r>
          </w:p>
        </w:tc>
        <w:tc>
          <w:tcPr>
            <w:tcW w:w="1040" w:type="dxa"/>
            <w:vAlign w:val="bottom"/>
            <w:gridSpan w:val="3"/>
          </w:tcPr>
          <w:p>
            <w:pPr>
              <w:jc w:val="right"/>
              <w:ind w:right="160"/>
              <w:spacing w:after="0" w:line="194" w:lineRule="exact"/>
              <w:rPr>
                <w:sz w:val="20"/>
                <w:szCs w:val="20"/>
                <w:color w:val="auto"/>
              </w:rPr>
            </w:pPr>
            <w:r>
              <w:rPr>
                <w:rFonts w:ascii="Arial" w:cs="Arial" w:eastAsia="Arial" w:hAnsi="Arial"/>
                <w:sz w:val="17"/>
                <w:szCs w:val="17"/>
                <w:color w:val="auto"/>
              </w:rPr>
              <w:t>(1,279)</w:t>
            </w: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Loss before provision for income taxes</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w w:val="97"/>
              </w:rPr>
              <w:t>(11,853)</w:t>
            </w:r>
          </w:p>
        </w:tc>
        <w:tc>
          <w:tcPr>
            <w:tcW w:w="1000" w:type="dxa"/>
            <w:vAlign w:val="bottom"/>
            <w:gridSpan w:val="3"/>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(53,412)</w:t>
            </w:r>
          </w:p>
        </w:tc>
        <w:tc>
          <w:tcPr>
            <w:tcW w:w="1040" w:type="dxa"/>
            <w:vAlign w:val="bottom"/>
            <w:gridSpan w:val="3"/>
            <w:shd w:val="clear" w:color="auto" w:fill="CCEEFF"/>
          </w:tcPr>
          <w:p>
            <w:pPr>
              <w:jc w:val="right"/>
              <w:ind w:right="160"/>
              <w:spacing w:after="0" w:line="187" w:lineRule="exact"/>
              <w:rPr>
                <w:sz w:val="20"/>
                <w:szCs w:val="20"/>
                <w:color w:val="auto"/>
              </w:rPr>
            </w:pPr>
            <w:r>
              <w:rPr>
                <w:rFonts w:ascii="Arial" w:cs="Arial" w:eastAsia="Arial" w:hAnsi="Arial"/>
                <w:sz w:val="17"/>
                <w:szCs w:val="17"/>
                <w:color w:val="auto"/>
              </w:rPr>
              <w:t>(41,559)</w:t>
            </w:r>
          </w:p>
        </w:tc>
        <w:tc>
          <w:tcPr>
            <w:tcW w:w="80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0" w:type="dxa"/>
            <w:vAlign w:val="bottom"/>
          </w:tcPr>
          <w:p>
            <w:pPr>
              <w:spacing w:after="0" w:line="187" w:lineRule="exact"/>
              <w:rPr>
                <w:sz w:val="20"/>
                <w:szCs w:val="20"/>
                <w:color w:val="auto"/>
              </w:rPr>
            </w:pPr>
            <w:r>
              <w:rPr>
                <w:rFonts w:ascii="Arial" w:cs="Arial" w:eastAsia="Arial" w:hAnsi="Arial"/>
                <w:sz w:val="17"/>
                <w:szCs w:val="17"/>
                <w:color w:val="auto"/>
              </w:rPr>
              <w:t>Provision for income taxes</w:t>
            </w:r>
          </w:p>
        </w:tc>
        <w:tc>
          <w:tcPr>
            <w:tcW w:w="100" w:type="dxa"/>
            <w:vAlign w:val="bottom"/>
          </w:tcPr>
          <w:p>
            <w:pPr>
              <w:spacing w:after="0"/>
              <w:rPr>
                <w:sz w:val="16"/>
                <w:szCs w:val="16"/>
                <w:color w:val="auto"/>
              </w:rPr>
            </w:pPr>
          </w:p>
        </w:tc>
        <w:tc>
          <w:tcPr>
            <w:tcW w:w="7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(1)</w:t>
            </w:r>
          </w:p>
        </w:tc>
        <w:tc>
          <w:tcPr>
            <w:tcW w:w="1000" w:type="dxa"/>
            <w:vAlign w:val="bottom"/>
            <w:gridSpan w:val="3"/>
          </w:tcPr>
          <w:p>
            <w:pPr>
              <w:jc w:val="right"/>
              <w:ind w:right="120"/>
              <w:spacing w:after="0" w:line="187" w:lineRule="exact"/>
              <w:rPr>
                <w:sz w:val="20"/>
                <w:szCs w:val="20"/>
                <w:color w:val="auto"/>
              </w:rPr>
            </w:pPr>
            <w:r>
              <w:rPr>
                <w:rFonts w:ascii="Arial" w:cs="Arial" w:eastAsia="Arial" w:hAnsi="Arial"/>
                <w:sz w:val="17"/>
                <w:szCs w:val="17"/>
                <w:color w:val="auto"/>
              </w:rPr>
              <w:t>(1)</w:t>
            </w:r>
          </w:p>
        </w:tc>
        <w:tc>
          <w:tcPr>
            <w:tcW w:w="1040" w:type="dxa"/>
            <w:vAlign w:val="bottom"/>
            <w:gridSpan w:val="3"/>
          </w:tcPr>
          <w:p>
            <w:pPr>
              <w:jc w:val="right"/>
              <w:ind w:right="220"/>
              <w:spacing w:after="0" w:line="187" w:lineRule="exact"/>
              <w:rPr>
                <w:sz w:val="20"/>
                <w:szCs w:val="20"/>
                <w:color w:val="auto"/>
              </w:rPr>
            </w:pPr>
            <w:r>
              <w:rPr>
                <w:rFonts w:ascii="Arial" w:cs="Arial" w:eastAsia="Arial" w:hAnsi="Arial"/>
                <w:sz w:val="17"/>
                <w:szCs w:val="17"/>
                <w:color w:val="auto"/>
              </w:rPr>
              <w:t>0</w:t>
            </w:r>
          </w:p>
        </w:tc>
        <w:tc>
          <w:tcPr>
            <w:tcW w:w="80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72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Net loss and comprehensive loss</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u w:val="single" w:color="auto"/>
                <w:color w:val="auto"/>
                <w:w w:val="84"/>
              </w:rPr>
              <w:t>$</w:t>
            </w:r>
          </w:p>
        </w:tc>
        <w:tc>
          <w:tcPr>
            <w:tcW w:w="7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w w:val="97"/>
              </w:rPr>
              <w:t>(11,854)</w:t>
            </w:r>
          </w:p>
        </w:tc>
        <w:tc>
          <w:tcPr>
            <w:tcW w:w="1000" w:type="dxa"/>
            <w:vAlign w:val="bottom"/>
            <w:gridSpan w:val="3"/>
            <w:shd w:val="clear" w:color="auto" w:fill="CCEEFF"/>
          </w:tcPr>
          <w:p>
            <w:pPr>
              <w:jc w:val="right"/>
              <w:ind w:right="120"/>
              <w:spacing w:after="0" w:line="187"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(53,413)</w:t>
            </w:r>
          </w:p>
        </w:tc>
        <w:tc>
          <w:tcPr>
            <w:tcW w:w="1040" w:type="dxa"/>
            <w:vAlign w:val="bottom"/>
            <w:gridSpan w:val="3"/>
            <w:shd w:val="clear" w:color="auto" w:fill="CCEEFF"/>
          </w:tcPr>
          <w:p>
            <w:pPr>
              <w:jc w:val="right"/>
              <w:ind w:right="160"/>
              <w:spacing w:after="0" w:line="187"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(41,559)</w:t>
            </w:r>
          </w:p>
        </w:tc>
        <w:tc>
          <w:tcPr>
            <w:tcW w:w="80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144145</wp:posOffset>
            </wp:positionV>
            <wp:extent cx="69297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Not meaningful</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52"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Research and development expenses represent a substantial portion of our operating expenses. Our research and development expenses consist primarily of direct and indirect expenses incurred in connection with the discovery and development of our product candidates. Through September 2020, our research and development expenses were incurred resulting from our efforts to develop gamma-PNA chemistry and triplex gene editing for therapeutic use. Since October 2020, we have been engaged in the development of atacicept.</w:t>
      </w:r>
    </w:p>
    <w:p>
      <w:pPr>
        <w:spacing w:after="0" w:line="147" w:lineRule="exact"/>
        <w:rPr>
          <w:sz w:val="20"/>
          <w:szCs w:val="20"/>
          <w:color w:val="auto"/>
        </w:rPr>
      </w:pPr>
    </w:p>
    <w:p>
      <w:pPr>
        <w:ind w:left="160" w:right="100"/>
        <w:spacing w:after="0" w:line="233" w:lineRule="auto"/>
        <w:rPr>
          <w:sz w:val="20"/>
          <w:szCs w:val="20"/>
          <w:color w:val="auto"/>
        </w:rPr>
      </w:pPr>
      <w:r>
        <w:rPr>
          <w:rFonts w:ascii="Arial" w:cs="Arial" w:eastAsia="Arial" w:hAnsi="Arial"/>
          <w:sz w:val="17"/>
          <w:szCs w:val="17"/>
          <w:color w:val="auto"/>
        </w:rPr>
        <w:t>Research and development expenses are recorded as expense in the period they are incurred, and payments we make prior to the receipt of goods or services to be used in research and development efforts are deferred as prepaid expenses until the goods or services are received and used. The cost incurred in obtaining technology licenses, including initial and subsequent milestone payments incurred under our licensing agreements, are recorded as expense in the period in which they are incurred, as the licensed technology, method or process has no alternative future uses other than for our research and development activities.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summarizes our research and development expenses incurred during the respective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5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8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4"/>
        </w:trPr>
        <w:tc>
          <w:tcPr>
            <w:tcW w:w="7820" w:type="dxa"/>
            <w:vAlign w:val="bottom"/>
            <w:vMerge w:val="continue"/>
          </w:tcPr>
          <w:p>
            <w:pPr>
              <w:spacing w:after="0"/>
              <w:rPr>
                <w:sz w:val="13"/>
                <w:szCs w:val="13"/>
                <w:color w:val="auto"/>
              </w:rPr>
            </w:pPr>
          </w:p>
        </w:tc>
        <w:tc>
          <w:tcPr>
            <w:tcW w:w="540" w:type="dxa"/>
            <w:vAlign w:val="bottom"/>
            <w:tcBorders>
              <w:top w:val="single" w:sz="8" w:color="auto"/>
            </w:tcBorders>
          </w:tcPr>
          <w:p>
            <w:pPr>
              <w:jc w:val="right"/>
              <w:ind w:right="40"/>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57"/>
              <w:spacing w:after="0" w:line="154"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tcBorders>
            <w:gridSpan w:val="3"/>
          </w:tcPr>
          <w:p>
            <w:pPr>
              <w:spacing w:after="0" w:line="154"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tcPr>
          <w:p>
            <w:pPr>
              <w:jc w:val="right"/>
              <w:ind w:right="37"/>
              <w:spacing w:after="0" w:line="154"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82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7"/>
                <w:szCs w:val="17"/>
                <w:color w:val="auto"/>
              </w:rPr>
              <w:t>Direct preclinical and clinical expenses</w:t>
            </w: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820" w:type="dxa"/>
            <w:vAlign w:val="bottom"/>
          </w:tcPr>
          <w:p>
            <w:pPr>
              <w:ind w:left="500"/>
              <w:spacing w:after="0" w:line="187" w:lineRule="exact"/>
              <w:rPr>
                <w:sz w:val="20"/>
                <w:szCs w:val="20"/>
                <w:color w:val="auto"/>
              </w:rPr>
            </w:pPr>
            <w:r>
              <w:rPr>
                <w:rFonts w:ascii="Arial" w:cs="Arial" w:eastAsia="Arial" w:hAnsi="Arial"/>
                <w:sz w:val="17"/>
                <w:szCs w:val="17"/>
                <w:color w:val="auto"/>
              </w:rPr>
              <w:t>Consulting and outside services</w:t>
            </w:r>
          </w:p>
        </w:tc>
        <w:tc>
          <w:tcPr>
            <w:tcW w:w="6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w w:val="99"/>
              </w:rPr>
              <w:t>$1,289</w:t>
            </w:r>
          </w:p>
        </w:tc>
        <w:tc>
          <w:tcPr>
            <w:tcW w:w="24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1,706</w:t>
            </w:r>
          </w:p>
        </w:tc>
        <w:tc>
          <w:tcPr>
            <w:tcW w:w="240" w:type="dxa"/>
            <w:vAlign w:val="bottom"/>
            <w:gridSpan w:val="2"/>
          </w:tcPr>
          <w:p>
            <w:pPr>
              <w:ind w:left="140"/>
              <w:spacing w:after="0" w:line="187"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20"/>
              <w:spacing w:after="0" w:line="187" w:lineRule="exact"/>
              <w:rPr>
                <w:sz w:val="20"/>
                <w:szCs w:val="20"/>
                <w:color w:val="auto"/>
              </w:rPr>
            </w:pPr>
            <w:r>
              <w:rPr>
                <w:rFonts w:ascii="Arial" w:cs="Arial" w:eastAsia="Arial" w:hAnsi="Arial"/>
                <w:sz w:val="17"/>
                <w:szCs w:val="17"/>
                <w:color w:val="auto"/>
              </w:rPr>
              <w:t>417</w:t>
            </w:r>
          </w:p>
        </w:tc>
        <w:tc>
          <w:tcPr>
            <w:tcW w:w="56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87"/>
        </w:trPr>
        <w:tc>
          <w:tcPr>
            <w:tcW w:w="782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Equipment</w:t>
            </w:r>
          </w:p>
        </w:tc>
        <w:tc>
          <w:tcPr>
            <w:tcW w:w="6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1,426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622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line="187" w:lineRule="exact"/>
              <w:rPr>
                <w:sz w:val="20"/>
                <w:szCs w:val="20"/>
                <w:color w:val="auto"/>
              </w:rPr>
            </w:pPr>
            <w:r>
              <w:rPr>
                <w:rFonts w:ascii="Arial" w:cs="Arial" w:eastAsia="Arial" w:hAnsi="Arial"/>
                <w:sz w:val="17"/>
                <w:szCs w:val="17"/>
                <w:color w:val="auto"/>
              </w:rPr>
              <w:t>(804)</w:t>
            </w:r>
          </w:p>
        </w:tc>
        <w:tc>
          <w:tcPr>
            <w:tcW w:w="56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87"/>
        </w:trPr>
        <w:tc>
          <w:tcPr>
            <w:tcW w:w="7820" w:type="dxa"/>
            <w:vAlign w:val="bottom"/>
          </w:tcPr>
          <w:p>
            <w:pPr>
              <w:ind w:left="500"/>
              <w:spacing w:after="0" w:line="187" w:lineRule="exact"/>
              <w:rPr>
                <w:sz w:val="20"/>
                <w:szCs w:val="20"/>
                <w:color w:val="auto"/>
              </w:rPr>
            </w:pPr>
            <w:r>
              <w:rPr>
                <w:rFonts w:ascii="Arial" w:cs="Arial" w:eastAsia="Arial" w:hAnsi="Arial"/>
                <w:sz w:val="17"/>
                <w:szCs w:val="17"/>
                <w:color w:val="auto"/>
              </w:rPr>
              <w:t>License</w:t>
            </w:r>
          </w:p>
        </w:tc>
        <w:tc>
          <w:tcPr>
            <w:tcW w:w="6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w w:val="96"/>
              </w:rPr>
              <w:t>38,121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line="187" w:lineRule="exact"/>
              <w:rPr>
                <w:sz w:val="20"/>
                <w:szCs w:val="20"/>
                <w:color w:val="auto"/>
              </w:rPr>
            </w:pPr>
            <w:r>
              <w:rPr>
                <w:rFonts w:ascii="Arial" w:cs="Arial" w:eastAsia="Arial" w:hAnsi="Arial"/>
                <w:sz w:val="17"/>
                <w:szCs w:val="17"/>
                <w:color w:val="auto"/>
                <w:w w:val="96"/>
              </w:rPr>
              <w:t>38,121</w:t>
            </w:r>
          </w:p>
        </w:tc>
        <w:tc>
          <w:tcPr>
            <w:tcW w:w="56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78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Indirect preclinical and clinical expenses</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20" w:type="dxa"/>
            <w:vAlign w:val="bottom"/>
          </w:tcPr>
          <w:p>
            <w:pPr>
              <w:ind w:left="500"/>
              <w:spacing w:after="0" w:line="187" w:lineRule="exact"/>
              <w:rPr>
                <w:sz w:val="20"/>
                <w:szCs w:val="20"/>
                <w:color w:val="auto"/>
              </w:rPr>
            </w:pPr>
            <w:r>
              <w:rPr>
                <w:rFonts w:ascii="Arial" w:cs="Arial" w:eastAsia="Arial" w:hAnsi="Arial"/>
                <w:sz w:val="17"/>
                <w:szCs w:val="17"/>
                <w:color w:val="auto"/>
              </w:rPr>
              <w:t>Compensation and related benefits</w:t>
            </w:r>
          </w:p>
        </w:tc>
        <w:tc>
          <w:tcPr>
            <w:tcW w:w="66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2,052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line="187" w:lineRule="exact"/>
              <w:rPr>
                <w:sz w:val="20"/>
                <w:szCs w:val="20"/>
                <w:color w:val="auto"/>
              </w:rPr>
            </w:pPr>
            <w:r>
              <w:rPr>
                <w:rFonts w:ascii="Arial" w:cs="Arial" w:eastAsia="Arial" w:hAnsi="Arial"/>
                <w:sz w:val="17"/>
                <w:szCs w:val="17"/>
                <w:color w:val="auto"/>
              </w:rPr>
              <w:t>1,902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line="187" w:lineRule="exact"/>
              <w:rPr>
                <w:sz w:val="20"/>
                <w:szCs w:val="20"/>
                <w:color w:val="auto"/>
              </w:rPr>
            </w:pPr>
            <w:r>
              <w:rPr>
                <w:rFonts w:ascii="Arial" w:cs="Arial" w:eastAsia="Arial" w:hAnsi="Arial"/>
                <w:sz w:val="17"/>
                <w:szCs w:val="17"/>
                <w:color w:val="auto"/>
              </w:rPr>
              <w:t>(150)</w:t>
            </w:r>
          </w:p>
        </w:tc>
        <w:tc>
          <w:tcPr>
            <w:tcW w:w="56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7"/>
        </w:trPr>
        <w:tc>
          <w:tcPr>
            <w:tcW w:w="782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Facilities, depreciation and other</w:t>
            </w:r>
          </w:p>
        </w:tc>
        <w:tc>
          <w:tcPr>
            <w:tcW w:w="66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2,523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2,855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line="187" w:lineRule="exact"/>
              <w:rPr>
                <w:sz w:val="20"/>
                <w:szCs w:val="20"/>
                <w:color w:val="auto"/>
              </w:rPr>
            </w:pPr>
            <w:r>
              <w:rPr>
                <w:rFonts w:ascii="Arial" w:cs="Arial" w:eastAsia="Arial" w:hAnsi="Arial"/>
                <w:sz w:val="17"/>
                <w:szCs w:val="17"/>
                <w:color w:val="auto"/>
              </w:rPr>
              <w:t>332</w:t>
            </w:r>
          </w:p>
        </w:tc>
        <w:tc>
          <w:tcPr>
            <w:tcW w:w="56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$7,290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45,206</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w w:val="96"/>
              </w:rPr>
              <w:t>37,916</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125730</wp:posOffset>
            </wp:positionV>
            <wp:extent cx="69297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Not meaningful</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080"/>
          </w:cols>
          <w:pgMar w:left="320" w:top="456"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Research and development expenses increased by $37.9 million, or 520%, to $45.2 million in 2020 from $7.3 million in 2019. The increase was</w:t>
      </w:r>
    </w:p>
    <w:p>
      <w:pPr>
        <w:ind w:left="160"/>
        <w:spacing w:after="0" w:line="229" w:lineRule="auto"/>
        <w:rPr>
          <w:sz w:val="20"/>
          <w:szCs w:val="20"/>
          <w:color w:val="auto"/>
        </w:rPr>
      </w:pPr>
      <w:r>
        <w:rPr>
          <w:rFonts w:ascii="Arial" w:cs="Arial" w:eastAsia="Arial" w:hAnsi="Arial"/>
          <w:sz w:val="17"/>
          <w:szCs w:val="17"/>
          <w:color w:val="auto"/>
        </w:rPr>
        <w:t>primarily due to payments made to Ares pursuant to our exclusive license of atacicept, consisting of an initial payment of $13.1 million payable in</w:t>
      </w:r>
    </w:p>
    <w:p>
      <w:pPr>
        <w:ind w:left="160"/>
        <w:spacing w:after="0" w:line="230" w:lineRule="auto"/>
        <w:rPr>
          <w:sz w:val="20"/>
          <w:szCs w:val="20"/>
          <w:color w:val="auto"/>
        </w:rPr>
      </w:pPr>
      <w:r>
        <w:rPr>
          <w:rFonts w:ascii="Arial" w:cs="Arial" w:eastAsia="Arial" w:hAnsi="Arial"/>
          <w:sz w:val="17"/>
          <w:szCs w:val="17"/>
          <w:color w:val="auto"/>
        </w:rPr>
        <w:t>shares of our Series C redeemable convertible preferred stock and subsequent cash milestone payments of $25.0 million, and an increase of</w:t>
      </w:r>
    </w:p>
    <w:p>
      <w:pPr>
        <w:ind w:left="160"/>
        <w:spacing w:after="0" w:line="230" w:lineRule="auto"/>
        <w:rPr>
          <w:sz w:val="20"/>
          <w:szCs w:val="20"/>
          <w:color w:val="auto"/>
        </w:rPr>
      </w:pPr>
      <w:r>
        <w:rPr>
          <w:rFonts w:ascii="Arial" w:cs="Arial" w:eastAsia="Arial" w:hAnsi="Arial"/>
          <w:sz w:val="17"/>
          <w:szCs w:val="17"/>
          <w:color w:val="auto"/>
        </w:rPr>
        <w:t>$0.4 million in consulting and outside services expense resulting primarily from services commenced by clinical research organizations to initiate</w:t>
      </w:r>
    </w:p>
    <w:p>
      <w:pPr>
        <w:ind w:left="160"/>
        <w:spacing w:after="0" w:line="230" w:lineRule="auto"/>
        <w:rPr>
          <w:sz w:val="20"/>
          <w:szCs w:val="20"/>
          <w:color w:val="auto"/>
        </w:rPr>
      </w:pPr>
      <w:r>
        <w:rPr>
          <w:rFonts w:ascii="Arial" w:cs="Arial" w:eastAsia="Arial" w:hAnsi="Arial"/>
          <w:sz w:val="17"/>
          <w:szCs w:val="17"/>
          <w:color w:val="auto"/>
        </w:rPr>
        <w:t>the Phase 2b clinical trial of atacicept, which were partially offset by decreases of $0.8 million of equipment expense, as we recorded such</w:t>
      </w:r>
    </w:p>
    <w:p>
      <w:pPr>
        <w:ind w:left="160"/>
        <w:spacing w:after="0" w:line="230" w:lineRule="auto"/>
        <w:rPr>
          <w:sz w:val="20"/>
          <w:szCs w:val="20"/>
          <w:color w:val="auto"/>
        </w:rPr>
      </w:pPr>
      <w:r>
        <w:rPr>
          <w:rFonts w:ascii="Arial" w:cs="Arial" w:eastAsia="Arial" w:hAnsi="Arial"/>
          <w:sz w:val="17"/>
          <w:szCs w:val="17"/>
          <w:color w:val="auto"/>
        </w:rPr>
        <w:t>expense through September 2020 at which time we ceased using our laboratory equipment for preclinical activities, and $0.2 million of</w:t>
      </w:r>
    </w:p>
    <w:p>
      <w:pPr>
        <w:ind w:left="160"/>
        <w:spacing w:after="0" w:line="230" w:lineRule="auto"/>
        <w:rPr>
          <w:sz w:val="20"/>
          <w:szCs w:val="20"/>
          <w:color w:val="auto"/>
        </w:rPr>
      </w:pPr>
      <w:r>
        <w:rPr>
          <w:rFonts w:ascii="Arial" w:cs="Arial" w:eastAsia="Arial" w:hAnsi="Arial"/>
          <w:sz w:val="17"/>
          <w:szCs w:val="17"/>
          <w:color w:val="auto"/>
        </w:rPr>
        <w:t>compensation and benefits expense, resulting from our ceasing use of laboratory equipment and reducing our preclinical workforce in September</w:t>
      </w:r>
    </w:p>
    <w:p>
      <w:pPr>
        <w:ind w:left="160"/>
        <w:spacing w:after="0" w:line="230" w:lineRule="auto"/>
        <w:rPr>
          <w:sz w:val="20"/>
          <w:szCs w:val="20"/>
          <w:color w:val="auto"/>
        </w:rPr>
      </w:pPr>
      <w:r>
        <w:rPr>
          <w:rFonts w:ascii="Arial" w:cs="Arial" w:eastAsia="Arial" w:hAnsi="Arial"/>
          <w:sz w:val="17"/>
          <w:szCs w:val="17"/>
          <w:color w:val="auto"/>
        </w:rPr>
        <w:t>2020. Facilities, depreciation and other expenses of $2.9 million in 2020 include an impairment charge of $1.0 million resulting from our disposal</w:t>
      </w:r>
    </w:p>
    <w:p>
      <w:pPr>
        <w:ind w:left="160"/>
        <w:spacing w:after="0"/>
        <w:rPr>
          <w:sz w:val="20"/>
          <w:szCs w:val="20"/>
          <w:color w:val="auto"/>
        </w:rPr>
      </w:pPr>
      <w:r>
        <w:rPr>
          <w:rFonts w:ascii="Arial" w:cs="Arial" w:eastAsia="Arial" w:hAnsi="Arial"/>
          <w:sz w:val="17"/>
          <w:szCs w:val="17"/>
          <w:color w:val="auto"/>
        </w:rPr>
        <w:t>of furniture and laboratory equipment associated with the preclinical activities that we ceased in September 2020.</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39" w:lineRule="exact"/>
        <w:rPr>
          <w:sz w:val="20"/>
          <w:szCs w:val="20"/>
          <w:color w:val="auto"/>
        </w:rPr>
      </w:pPr>
    </w:p>
    <w:p>
      <w:pPr>
        <w:ind w:left="160" w:right="240"/>
        <w:spacing w:after="0" w:line="233" w:lineRule="auto"/>
        <w:rPr>
          <w:sz w:val="20"/>
          <w:szCs w:val="20"/>
          <w:color w:val="auto"/>
        </w:rPr>
      </w:pPr>
      <w:r>
        <w:rPr>
          <w:rFonts w:ascii="Arial" w:cs="Arial" w:eastAsia="Arial" w:hAnsi="Arial"/>
          <w:sz w:val="17"/>
          <w:szCs w:val="17"/>
          <w:color w:val="auto"/>
        </w:rPr>
        <w:t>General and administrative expenses consist primarily of compensation and personnel-related expenses, including stock-based compensation, for our personnel in executive management, legal, finance, human resources, and other administrative functions. General and administrative expenses also include professional fees paid for accounting, auditing, legal, tax and consulting services, and other general overhead costs to support our operations. General and administrative expenses are recorded as expense in the period they are incurred, and payments we make prior to the receipt of goods or services to be used for general and administrative purposes efforts are deferred as prepaid expenses until the goods or services are received and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780" w:type="dxa"/>
            <w:vAlign w:val="bottom"/>
          </w:tcPr>
          <w:p>
            <w:pPr>
              <w:spacing w:after="0"/>
              <w:rPr>
                <w:sz w:val="15"/>
                <w:szCs w:val="15"/>
                <w:color w:val="auto"/>
              </w:rPr>
            </w:pPr>
          </w:p>
        </w:tc>
        <w:tc>
          <w:tcPr>
            <w:tcW w:w="18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820" w:type="dxa"/>
            <w:vAlign w:val="bottom"/>
            <w:vMerge w:val="continue"/>
          </w:tcPr>
          <w:p>
            <w:pPr>
              <w:spacing w:after="0"/>
              <w:rPr>
                <w:sz w:val="13"/>
                <w:szCs w:val="13"/>
                <w:color w:val="auto"/>
              </w:rPr>
            </w:pPr>
          </w:p>
        </w:tc>
        <w:tc>
          <w:tcPr>
            <w:tcW w:w="2780" w:type="dxa"/>
            <w:vAlign w:val="bottom"/>
          </w:tcPr>
          <w:p>
            <w:pPr>
              <w:spacing w:after="0"/>
              <w:rPr>
                <w:sz w:val="13"/>
                <w:szCs w:val="13"/>
                <w:color w:val="auto"/>
              </w:rPr>
            </w:pPr>
          </w:p>
        </w:tc>
        <w:tc>
          <w:tcPr>
            <w:tcW w:w="540" w:type="dxa"/>
            <w:vAlign w:val="bottom"/>
            <w:tcBorders>
              <w:top w:val="single" w:sz="8" w:color="auto"/>
            </w:tcBorders>
          </w:tcPr>
          <w:p>
            <w:pPr>
              <w:jc w:val="right"/>
              <w:ind w:right="45"/>
              <w:spacing w:after="0" w:line="154"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42"/>
              <w:spacing w:after="0" w:line="154"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3"/>
                <w:szCs w:val="13"/>
                <w:color w:val="auto"/>
              </w:rPr>
            </w:pPr>
          </w:p>
        </w:tc>
        <w:tc>
          <w:tcPr>
            <w:tcW w:w="98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tcBorders>
          </w:tcPr>
          <w:p>
            <w:pPr>
              <w:ind w:left="40"/>
              <w:spacing w:after="0" w:line="154"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7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820" w:type="dxa"/>
            <w:vAlign w:val="bottom"/>
            <w:vMerge w:val="continue"/>
            <w:shd w:val="clear" w:color="auto" w:fill="CCEEFF"/>
          </w:tcPr>
          <w:p>
            <w:pPr>
              <w:spacing w:after="0"/>
              <w:rPr>
                <w:sz w:val="15"/>
                <w:szCs w:val="15"/>
                <w:color w:val="auto"/>
              </w:rPr>
            </w:pPr>
          </w:p>
        </w:tc>
        <w:tc>
          <w:tcPr>
            <w:tcW w:w="2780" w:type="dxa"/>
            <w:vAlign w:val="bottom"/>
            <w:vMerge w:val="continue"/>
            <w:shd w:val="clear" w:color="auto" w:fill="CCEEFF"/>
          </w:tcPr>
          <w:p>
            <w:pPr>
              <w:spacing w:after="0"/>
              <w:rPr>
                <w:sz w:val="15"/>
                <w:szCs w:val="15"/>
                <w:color w:val="auto"/>
              </w:rPr>
            </w:pPr>
          </w:p>
        </w:tc>
        <w:tc>
          <w:tcPr>
            <w:tcW w:w="54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99"/>
              </w:rPr>
              <w:t>$4,410</w:t>
            </w:r>
          </w:p>
        </w:tc>
        <w:tc>
          <w:tcPr>
            <w:tcW w:w="360" w:type="dxa"/>
            <w:vAlign w:val="bottom"/>
            <w:vMerge w:val="continue"/>
            <w:shd w:val="clear" w:color="auto" w:fill="CCEEFF"/>
          </w:tcPr>
          <w:p>
            <w:pPr>
              <w:spacing w:after="0"/>
              <w:rPr>
                <w:sz w:val="15"/>
                <w:szCs w:val="15"/>
                <w:color w:val="auto"/>
              </w:rPr>
            </w:pPr>
          </w:p>
        </w:tc>
        <w:tc>
          <w:tcPr>
            <w:tcW w:w="54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99"/>
              </w:rPr>
              <w:t>$4,039</w:t>
            </w:r>
          </w:p>
        </w:tc>
        <w:tc>
          <w:tcPr>
            <w:tcW w:w="360" w:type="dxa"/>
            <w:vAlign w:val="bottom"/>
            <w:vMerge w:val="continue"/>
            <w:shd w:val="clear" w:color="auto" w:fill="CCEEFF"/>
          </w:tcPr>
          <w:p>
            <w:pPr>
              <w:spacing w:after="0"/>
              <w:rPr>
                <w:sz w:val="15"/>
                <w:szCs w:val="15"/>
                <w:color w:val="auto"/>
              </w:rPr>
            </w:pPr>
          </w:p>
        </w:tc>
        <w:tc>
          <w:tcPr>
            <w:tcW w:w="6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  (371)</w:t>
            </w:r>
          </w:p>
        </w:tc>
        <w:tc>
          <w:tcPr>
            <w:tcW w:w="360" w:type="dxa"/>
            <w:vAlign w:val="bottom"/>
            <w:vMerge w:val="continue"/>
            <w:shd w:val="clear" w:color="auto" w:fill="CCEEFF"/>
          </w:tcPr>
          <w:p>
            <w:pPr>
              <w:spacing w:after="0"/>
              <w:rPr>
                <w:sz w:val="15"/>
                <w:szCs w:val="15"/>
                <w:color w:val="auto"/>
              </w:rPr>
            </w:pPr>
          </w:p>
        </w:tc>
        <w:tc>
          <w:tcPr>
            <w:tcW w:w="540" w:type="dxa"/>
            <w:vAlign w:val="bottom"/>
            <w:gridSpan w:val="2"/>
            <w:shd w:val="clear" w:color="auto" w:fill="CCEEFF"/>
          </w:tcPr>
          <w:p>
            <w:pPr>
              <w:ind w:left="60"/>
              <w:spacing w:after="0" w:line="180"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297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62" w:lineRule="exact"/>
        <w:rPr>
          <w:sz w:val="20"/>
          <w:szCs w:val="20"/>
          <w:color w:val="auto"/>
        </w:rPr>
      </w:pPr>
    </w:p>
    <w:p>
      <w:pPr>
        <w:jc w:val="both"/>
        <w:ind w:left="160" w:right="100"/>
        <w:spacing w:after="0" w:line="234" w:lineRule="auto"/>
        <w:rPr>
          <w:sz w:val="20"/>
          <w:szCs w:val="20"/>
          <w:color w:val="auto"/>
        </w:rPr>
      </w:pPr>
      <w:r>
        <w:rPr>
          <w:rFonts w:ascii="Arial" w:cs="Arial" w:eastAsia="Arial" w:hAnsi="Arial"/>
          <w:sz w:val="17"/>
          <w:szCs w:val="17"/>
          <w:color w:val="auto"/>
        </w:rPr>
        <w:t>General and administrative expenses decreased by $0.4 million, or 8%, to $4.0 million in 2020 from $4.4 million in 2019, due primarily to lower rent expense of $0.7 million and lower compensation and benefits of $0.1 million resulting from our ceasing preclinical activities during the year. These decreases were partially offset by an increase in professional services of $0.3 million and an impairment charge of $0.1 million associated with the disposal of office equipment.</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Restructuring Costs</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Restructuring costs primarily consist of contract termination costs related to leases and employee termination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120" w:type="dxa"/>
            <w:vAlign w:val="bottom"/>
          </w:tcPr>
          <w:p>
            <w:pPr>
              <w:spacing w:after="0"/>
              <w:rPr>
                <w:sz w:val="15"/>
                <w:szCs w:val="15"/>
                <w:color w:val="auto"/>
              </w:rPr>
            </w:pPr>
          </w:p>
        </w:tc>
        <w:tc>
          <w:tcPr>
            <w:tcW w:w="16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gridSpan w:val="4"/>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4"/>
        </w:trPr>
        <w:tc>
          <w:tcPr>
            <w:tcW w:w="4640" w:type="dxa"/>
            <w:vAlign w:val="bottom"/>
            <w:tcBorders>
              <w:bottom w:val="single" w:sz="8" w:color="CCEEFF"/>
            </w:tcBorders>
            <w:vMerge w:val="continue"/>
          </w:tcPr>
          <w:p>
            <w:pPr>
              <w:spacing w:after="0"/>
              <w:rPr>
                <w:sz w:val="13"/>
                <w:szCs w:val="13"/>
                <w:color w:val="auto"/>
              </w:rPr>
            </w:pPr>
          </w:p>
        </w:tc>
        <w:tc>
          <w:tcPr>
            <w:tcW w:w="312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42"/>
              <w:spacing w:after="0" w:line="154"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ind w:left="20"/>
              <w:spacing w:after="0" w:line="154" w:lineRule="exact"/>
              <w:rPr>
                <w:sz w:val="20"/>
                <w:szCs w:val="20"/>
                <w:color w:val="auto"/>
              </w:rPr>
            </w:pPr>
            <w:r>
              <w:rPr>
                <w:rFonts w:ascii="Arial" w:cs="Arial" w:eastAsia="Arial" w:hAnsi="Arial"/>
                <w:sz w:val="14"/>
                <w:szCs w:val="14"/>
                <w:b w:val="1"/>
                <w:bCs w:val="1"/>
                <w:color w:val="auto"/>
                <w:w w:val="97"/>
              </w:rPr>
              <w:t>AMOUNT</w:t>
            </w:r>
          </w:p>
        </w:tc>
        <w:tc>
          <w:tcPr>
            <w:tcW w:w="14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02"/>
              <w:spacing w:after="0" w:line="154"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Restructuring costs</w:t>
            </w:r>
          </w:p>
        </w:tc>
        <w:tc>
          <w:tcPr>
            <w:tcW w:w="31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89"/>
              </w:rPr>
              <w:t>$ 261</w:t>
            </w: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99"/>
              </w:rPr>
              <w:t>$2,996</w:t>
            </w: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$ 2,735</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line="180" w:lineRule="exact"/>
              <w:rPr>
                <w:sz w:val="20"/>
                <w:szCs w:val="20"/>
                <w:color w:val="auto"/>
              </w:rPr>
            </w:pPr>
            <w:r>
              <w:rPr>
                <w:rFonts w:ascii="Arial" w:cs="Arial" w:eastAsia="Arial" w:hAnsi="Arial"/>
                <w:sz w:val="17"/>
                <w:szCs w:val="17"/>
                <w:color w:val="auto"/>
              </w:rPr>
              <w:t>1,048%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297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62" w:lineRule="exact"/>
        <w:rPr>
          <w:sz w:val="20"/>
          <w:szCs w:val="20"/>
          <w:color w:val="auto"/>
        </w:rPr>
      </w:pPr>
    </w:p>
    <w:p>
      <w:pPr>
        <w:ind w:left="160" w:right="440" w:firstLine="436"/>
        <w:spacing w:after="0" w:line="234" w:lineRule="auto"/>
        <w:rPr>
          <w:sz w:val="20"/>
          <w:szCs w:val="20"/>
          <w:color w:val="auto"/>
        </w:rPr>
      </w:pPr>
      <w:r>
        <w:rPr>
          <w:rFonts w:ascii="Arial" w:cs="Arial" w:eastAsia="Arial" w:hAnsi="Arial"/>
          <w:sz w:val="17"/>
          <w:szCs w:val="17"/>
          <w:color w:val="auto"/>
        </w:rPr>
        <w:t>Restructuring costs increased by $2.7 million, or 1,048%, to $3.0 million in 2020 from $0.3 million in 2019, due primarily due to our restructuring in September 2020, which resulted in our termination of certain of our employees, vacating leased facilities, and ceasing use of leased equipment that had been focused on our preclinical research and development activities. Restructuring costs in 2019 resulted from vacating our lab and office facilities in Massachusetts.</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147320</wp:posOffset>
            </wp:positionV>
            <wp:extent cx="69297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980" w:type="dxa"/>
            <w:vAlign w:val="bottom"/>
          </w:tcPr>
          <w:p>
            <w:pPr>
              <w:spacing w:after="0"/>
              <w:rPr>
                <w:sz w:val="15"/>
                <w:szCs w:val="15"/>
                <w:color w:val="auto"/>
              </w:rPr>
            </w:pPr>
          </w:p>
        </w:tc>
        <w:tc>
          <w:tcPr>
            <w:tcW w:w="15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1600" w:type="dxa"/>
            <w:vAlign w:val="bottom"/>
            <w:gridSpan w:val="4"/>
          </w:tcPr>
          <w:p>
            <w:pPr>
              <w:ind w:lef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4"/>
        </w:trPr>
        <w:tc>
          <w:tcPr>
            <w:tcW w:w="378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4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tcBorders>
            <w:gridSpan w:val="2"/>
          </w:tcPr>
          <w:p>
            <w:pPr>
              <w:jc w:val="right"/>
              <w:ind w:right="35"/>
              <w:spacing w:after="0" w:line="154"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82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122"/>
              <w:spacing w:after="0" w:line="154"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8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Total other income (expense)</w:t>
            </w:r>
          </w:p>
        </w:tc>
        <w:tc>
          <w:tcPr>
            <w:tcW w:w="39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89"/>
              </w:rPr>
              <w:t>$ 108</w:t>
            </w: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88"/>
              </w:rPr>
              <w:t>$(1,171)</w:t>
            </w:r>
          </w:p>
        </w:tc>
        <w:tc>
          <w:tcPr>
            <w:tcW w:w="3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w w:val="91"/>
              </w:rPr>
              <w:t>$ (1,279)</w:t>
            </w: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92"/>
              </w:rPr>
              <w:t>(1,184)</w:t>
            </w:r>
          </w:p>
        </w:tc>
        <w:tc>
          <w:tcPr>
            <w:tcW w:w="260" w:type="dxa"/>
            <w:vAlign w:val="bottom"/>
            <w:tcBorders>
              <w:top w:val="single" w:sz="8" w:color="CCEEFF"/>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78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3780" w:type="dxa"/>
            <w:vAlign w:val="bottom"/>
          </w:tcPr>
          <w:p>
            <w:pPr>
              <w:spacing w:after="0"/>
              <w:rPr>
                <w:sz w:val="24"/>
                <w:szCs w:val="24"/>
                <w:color w:val="auto"/>
              </w:rPr>
            </w:pPr>
          </w:p>
        </w:tc>
        <w:tc>
          <w:tcPr>
            <w:tcW w:w="3980" w:type="dxa"/>
            <w:vAlign w:val="bottom"/>
          </w:tcPr>
          <w:p>
            <w:pPr>
              <w:jc w:val="right"/>
              <w:ind w:right="2120"/>
              <w:spacing w:after="0"/>
              <w:rPr>
                <w:sz w:val="20"/>
                <w:szCs w:val="20"/>
                <w:color w:val="auto"/>
              </w:rPr>
            </w:pPr>
            <w:r>
              <w:rPr>
                <w:rFonts w:ascii="Arial" w:cs="Arial" w:eastAsia="Arial" w:hAnsi="Arial"/>
                <w:sz w:val="16"/>
                <w:szCs w:val="16"/>
                <w:color w:val="auto"/>
              </w:rPr>
              <w:t>86</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140"/>
        <w:spacing w:after="0" w:line="234" w:lineRule="auto"/>
        <w:rPr>
          <w:sz w:val="20"/>
          <w:szCs w:val="20"/>
          <w:color w:val="auto"/>
        </w:rPr>
      </w:pPr>
      <w:r>
        <w:rPr>
          <w:rFonts w:ascii="Arial" w:cs="Arial" w:eastAsia="Arial" w:hAnsi="Arial"/>
          <w:sz w:val="17"/>
          <w:szCs w:val="17"/>
          <w:color w:val="auto"/>
        </w:rPr>
        <w:t>The decrease of ($1.3) million in total other income (expense) to ($1.2) million other (expense) in 2020 from $0.1 million other income in 2019 resulted from a loss due to an increase of $1.1 million in the fair value of our convertible notes for which we elected to account for at fair value, a $0.1 million increase in interest expense attributable to the issuance of such notes, which converted into shares of our Series C redeemable convertible preferred stock during 2020, and a $0.2 million decrease in interest income due a lower level of available cash invested in 2020.</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Liquidity and Capital Resources</w:t>
      </w:r>
    </w:p>
    <w:p>
      <w:pPr>
        <w:spacing w:after="0" w:line="91" w:lineRule="exact"/>
        <w:rPr>
          <w:sz w:val="20"/>
          <w:szCs w:val="20"/>
          <w:color w:val="auto"/>
        </w:rPr>
      </w:pPr>
    </w:p>
    <w:p>
      <w:pPr>
        <w:ind w:left="160" w:right="80"/>
        <w:spacing w:after="0" w:line="234" w:lineRule="auto"/>
        <w:rPr>
          <w:sz w:val="20"/>
          <w:szCs w:val="20"/>
          <w:color w:val="auto"/>
        </w:rPr>
      </w:pPr>
      <w:r>
        <w:rPr>
          <w:rFonts w:ascii="Arial" w:cs="Arial" w:eastAsia="Arial" w:hAnsi="Arial"/>
          <w:sz w:val="17"/>
          <w:szCs w:val="17"/>
          <w:color w:val="auto"/>
        </w:rPr>
        <w:t>To date, we have funded our operations primarily through the issuance and sale of redeemable convertible preferred stock and convertible notes. From our inception through December 31, 2020, we have raised aggregate net cash proceeds of $141.6 million from the issuance and sale of redeemable convertible preferred stock and convertible notes. Since the date of our incorporation, we have not generated any revenue from product sales and have incurred substantial operating losses and negative cash flows from operations.</w:t>
      </w:r>
    </w:p>
    <w:p>
      <w:pPr>
        <w:spacing w:after="0" w:line="147" w:lineRule="exact"/>
        <w:rPr>
          <w:sz w:val="20"/>
          <w:szCs w:val="20"/>
          <w:color w:val="auto"/>
        </w:rPr>
      </w:pPr>
    </w:p>
    <w:p>
      <w:pPr>
        <w:ind w:left="160" w:right="160"/>
        <w:spacing w:after="0" w:line="234" w:lineRule="auto"/>
        <w:rPr>
          <w:sz w:val="20"/>
          <w:szCs w:val="20"/>
          <w:color w:val="auto"/>
        </w:rPr>
      </w:pPr>
      <w:r>
        <w:rPr>
          <w:rFonts w:ascii="Arial" w:cs="Arial" w:eastAsia="Arial" w:hAnsi="Arial"/>
          <w:sz w:val="17"/>
          <w:szCs w:val="17"/>
          <w:color w:val="auto"/>
        </w:rPr>
        <w:t>We use our cash to fund operations, primarily to fund our research and development efforts, clinical trials, establishing and maintaining our intellectual property portfolio, hiring personnel, raising capital, and providing general and administrative support for these operations. Cash used to fund operating expenses is affected by the timing of when we pay these expenses, as reflected in the change in our outstanding accounts payable, accrued expenses and prepaid assets.</w:t>
      </w:r>
    </w:p>
    <w:p>
      <w:pPr>
        <w:spacing w:after="0" w:line="147" w:lineRule="exact"/>
        <w:rPr>
          <w:sz w:val="20"/>
          <w:szCs w:val="20"/>
          <w:color w:val="auto"/>
        </w:rPr>
      </w:pPr>
    </w:p>
    <w:p>
      <w:pPr>
        <w:ind w:left="160" w:right="80"/>
        <w:spacing w:after="0" w:line="232" w:lineRule="auto"/>
        <w:rPr>
          <w:sz w:val="20"/>
          <w:szCs w:val="20"/>
          <w:color w:val="auto"/>
        </w:rPr>
      </w:pPr>
      <w:r>
        <w:rPr>
          <w:rFonts w:ascii="Arial" w:cs="Arial" w:eastAsia="Arial" w:hAnsi="Arial"/>
          <w:sz w:val="17"/>
          <w:szCs w:val="17"/>
          <w:color w:val="auto"/>
        </w:rPr>
        <w:t>We anticipate that we will continue to incur net losses for the foreseeable future as we continue research and development activities of atacicept, hire additional staff, including clinical, operational, financial and management personnel, and incur additional expenses associated with operating as a public company. We expect to incur significant expenses and operating losses for the foreseeable future as we advance our clinical development activities. We expect that our research and development and general and administrative costs will increase in connection with conducting additional clinical trials and clinical trials for our current and future research programs and product candidates, contracting with third parties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47" w:lineRule="exact"/>
        <w:rPr>
          <w:sz w:val="20"/>
          <w:szCs w:val="20"/>
          <w:color w:val="auto"/>
        </w:rPr>
      </w:pPr>
    </w:p>
    <w:p>
      <w:pPr>
        <w:ind w:left="160" w:right="280"/>
        <w:spacing w:after="0" w:line="239" w:lineRule="auto"/>
        <w:rPr>
          <w:sz w:val="20"/>
          <w:szCs w:val="20"/>
          <w:color w:val="auto"/>
        </w:rPr>
      </w:pPr>
      <w:r>
        <w:rPr>
          <w:rFonts w:ascii="Arial" w:cs="Arial" w:eastAsia="Arial" w:hAnsi="Arial"/>
          <w:sz w:val="17"/>
          <w:szCs w:val="17"/>
          <w:color w:val="auto"/>
        </w:rPr>
        <w:t>As of December 31, 2020, we had unrestricted cash and cash equivalents balance of $53.7 million. We expect that our existing cash and cash equivalents, together with the proceeds from this offering, will be sufficient to fund our operations through at least the next 18 months.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Cash Flows</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20" w:type="dxa"/>
            <w:vAlign w:val="bottom"/>
          </w:tcPr>
          <w:p>
            <w:pPr>
              <w:spacing w:after="0"/>
              <w:rPr>
                <w:sz w:val="15"/>
                <w:szCs w:val="15"/>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5300" w:type="dxa"/>
            <w:vAlign w:val="bottom"/>
            <w:vMerge w:val="continue"/>
          </w:tcPr>
          <w:p>
            <w:pPr>
              <w:spacing w:after="0"/>
              <w:rPr>
                <w:sz w:val="13"/>
                <w:szCs w:val="13"/>
                <w:color w:val="auto"/>
              </w:rPr>
            </w:pPr>
          </w:p>
        </w:tc>
        <w:tc>
          <w:tcPr>
            <w:tcW w:w="3820" w:type="dxa"/>
            <w:vAlign w:val="bottom"/>
          </w:tcPr>
          <w:p>
            <w:pPr>
              <w:spacing w:after="0"/>
              <w:rPr>
                <w:sz w:val="13"/>
                <w:szCs w:val="13"/>
                <w:color w:val="auto"/>
              </w:rPr>
            </w:pPr>
          </w:p>
        </w:tc>
        <w:tc>
          <w:tcPr>
            <w:tcW w:w="700" w:type="dxa"/>
            <w:vAlign w:val="bottom"/>
            <w:tcBorders>
              <w:top w:val="single" w:sz="8" w:color="auto"/>
            </w:tcBorders>
          </w:tcPr>
          <w:p>
            <w:pPr>
              <w:jc w:val="right"/>
              <w:ind w:right="122"/>
              <w:spacing w:after="0" w:line="154"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95"/>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30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Net cash used in operating activities</w:t>
            </w:r>
          </w:p>
        </w:tc>
        <w:tc>
          <w:tcPr>
            <w:tcW w:w="38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93"/>
              </w:rPr>
              <w:t>$(10,289)</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90"/>
              </w:rPr>
              <w:t>$(34,809)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line="187" w:lineRule="exact"/>
              <w:rPr>
                <w:sz w:val="20"/>
                <w:szCs w:val="20"/>
                <w:color w:val="auto"/>
              </w:rPr>
            </w:pPr>
            <w:r>
              <w:rPr>
                <w:rFonts w:ascii="Arial" w:cs="Arial" w:eastAsia="Arial" w:hAnsi="Arial"/>
                <w:sz w:val="17"/>
                <w:szCs w:val="17"/>
                <w:color w:val="auto"/>
              </w:rPr>
              <w:t>Net cash used in investing activities</w:t>
            </w:r>
          </w:p>
        </w:tc>
        <w:tc>
          <w:tcPr>
            <w:tcW w:w="4700" w:type="dxa"/>
            <w:vAlign w:val="bottom"/>
            <w:gridSpan w:val="3"/>
          </w:tcPr>
          <w:p>
            <w:pPr>
              <w:jc w:val="right"/>
              <w:ind w:right="140"/>
              <w:spacing w:after="0" w:line="187" w:lineRule="exact"/>
              <w:rPr>
                <w:sz w:val="20"/>
                <w:szCs w:val="20"/>
                <w:color w:val="auto"/>
              </w:rPr>
            </w:pPr>
            <w:r>
              <w:rPr>
                <w:rFonts w:ascii="Arial" w:cs="Arial" w:eastAsia="Arial" w:hAnsi="Arial"/>
                <w:sz w:val="17"/>
                <w:szCs w:val="17"/>
                <w:color w:val="auto"/>
              </w:rPr>
              <w:t>(125)</w:t>
            </w:r>
          </w:p>
        </w:tc>
        <w:tc>
          <w:tcPr>
            <w:tcW w:w="920" w:type="dxa"/>
            <w:vAlign w:val="bottom"/>
            <w:gridSpan w:val="3"/>
          </w:tcPr>
          <w:p>
            <w:pPr>
              <w:jc w:val="right"/>
              <w:ind w:right="40"/>
              <w:spacing w:after="0" w:line="187"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87"/>
        </w:trPr>
        <w:tc>
          <w:tcPr>
            <w:tcW w:w="53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Net cash provided by (used in) financing activities</w:t>
            </w:r>
          </w:p>
        </w:tc>
        <w:tc>
          <w:tcPr>
            <w:tcW w:w="38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(137)</w:t>
            </w:r>
          </w:p>
        </w:tc>
        <w:tc>
          <w:tcPr>
            <w:tcW w:w="920" w:type="dxa"/>
            <w:vAlign w:val="bottom"/>
            <w:gridSpan w:val="3"/>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85,290</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00" w:type="dxa"/>
            <w:vAlign w:val="bottom"/>
            <w:vMerge w:val="continue"/>
          </w:tcPr>
          <w:p>
            <w:pPr>
              <w:spacing w:after="0"/>
              <w:rPr>
                <w:sz w:val="16"/>
                <w:szCs w:val="16"/>
                <w:color w:val="auto"/>
              </w:rPr>
            </w:pPr>
          </w:p>
        </w:tc>
        <w:tc>
          <w:tcPr>
            <w:tcW w:w="3820" w:type="dxa"/>
            <w:vAlign w:val="bottom"/>
          </w:tcPr>
          <w:p>
            <w:pPr>
              <w:spacing w:after="0"/>
              <w:rPr>
                <w:sz w:val="16"/>
                <w:szCs w:val="16"/>
                <w:color w:val="auto"/>
              </w:rPr>
            </w:pPr>
          </w:p>
        </w:tc>
        <w:tc>
          <w:tcPr>
            <w:tcW w:w="880" w:type="dxa"/>
            <w:vAlign w:val="bottom"/>
            <w:gridSpan w:val="2"/>
          </w:tcPr>
          <w:p>
            <w:pPr>
              <w:jc w:val="right"/>
              <w:ind w:right="140"/>
              <w:spacing w:after="0" w:line="194" w:lineRule="exact"/>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(10,551)</w:t>
            </w:r>
          </w:p>
        </w:tc>
        <w:tc>
          <w:tcPr>
            <w:tcW w:w="92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$ 50,439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0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5300" w:type="dxa"/>
            <w:vAlign w:val="bottom"/>
          </w:tcPr>
          <w:p>
            <w:pPr>
              <w:spacing w:after="0"/>
              <w:rPr>
                <w:sz w:val="24"/>
                <w:szCs w:val="24"/>
                <w:color w:val="auto"/>
              </w:rPr>
            </w:pPr>
          </w:p>
        </w:tc>
        <w:tc>
          <w:tcPr>
            <w:tcW w:w="3820" w:type="dxa"/>
            <w:vAlign w:val="bottom"/>
          </w:tcPr>
          <w:p>
            <w:pPr>
              <w:jc w:val="right"/>
              <w:ind w:right="3478"/>
              <w:spacing w:after="0"/>
              <w:rPr>
                <w:sz w:val="20"/>
                <w:szCs w:val="20"/>
                <w:color w:val="auto"/>
              </w:rPr>
            </w:pPr>
            <w:r>
              <w:rPr>
                <w:rFonts w:ascii="Arial" w:cs="Arial" w:eastAsia="Arial" w:hAnsi="Arial"/>
                <w:sz w:val="16"/>
                <w:szCs w:val="16"/>
                <w:color w:val="auto"/>
              </w:rPr>
              <w:t>87</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52"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In 2020, we used $34.8 million of cash used in operating activities, attributable to a net loss of $53.4 million, partially offset by non-cash expenses of $13.1 million resulting from a license payment made in shares of redeemable convertible preferred stock, an increase of $2.4 million in the liability for restructuring, net of cash paid, a net change of $0.1 million in our net operating assets and liabilities, and $2.9 million of other non-cash expenses, of which $1.2 million was an impairment charge associated with the disposal of property, equipment and intangible assets, $1.1 million was attributable to the change in fair value on convertible notes payable, $0.3 million of stock-based compensation and $0.3 million of depreciation and amortization. The net change of $0.1 million in our net operating assets and liabilities resulted primarily from a $0.5 million decrease in other liabilities, a $0.6 million increase in accounts payable and a $0.1 million decrease in other assets, which were partially offset by a $0.1 million increase in prepaid expense and other assets.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 2019, we used $10.3 million of cash in operating activities, attributable to a net loss of $11.9 million, partially offset by a net change in our net</w:t>
      </w:r>
    </w:p>
    <w:p>
      <w:pPr>
        <w:ind w:left="160"/>
        <w:spacing w:after="0" w:line="229" w:lineRule="auto"/>
        <w:rPr>
          <w:sz w:val="20"/>
          <w:szCs w:val="20"/>
          <w:color w:val="auto"/>
        </w:rPr>
      </w:pPr>
      <w:r>
        <w:rPr>
          <w:rFonts w:ascii="Arial" w:cs="Arial" w:eastAsia="Arial" w:hAnsi="Arial"/>
          <w:sz w:val="17"/>
          <w:szCs w:val="17"/>
          <w:color w:val="auto"/>
        </w:rPr>
        <w:t>operating assets and liabilities of $0.5 million, the accrual for restructuring costs, net of cash paid, of $0.2 million, and non-cash expenses of</w:t>
      </w:r>
    </w:p>
    <w:p>
      <w:pPr>
        <w:ind w:left="160"/>
        <w:spacing w:after="0" w:line="230" w:lineRule="auto"/>
        <w:rPr>
          <w:sz w:val="20"/>
          <w:szCs w:val="20"/>
          <w:color w:val="auto"/>
        </w:rPr>
      </w:pPr>
      <w:r>
        <w:rPr>
          <w:rFonts w:ascii="Arial" w:cs="Arial" w:eastAsia="Arial" w:hAnsi="Arial"/>
          <w:sz w:val="17"/>
          <w:szCs w:val="17"/>
          <w:color w:val="auto"/>
        </w:rPr>
        <w:t>$0.9 million, of which $0.5 million was for depreciation and amortization, $0.3 million was for stock-based compensation and $0.1 million was for</w:t>
      </w:r>
    </w:p>
    <w:p>
      <w:pPr>
        <w:ind w:left="160"/>
        <w:spacing w:after="0" w:line="230" w:lineRule="auto"/>
        <w:rPr>
          <w:sz w:val="20"/>
          <w:szCs w:val="20"/>
          <w:color w:val="auto"/>
        </w:rPr>
      </w:pPr>
      <w:r>
        <w:rPr>
          <w:rFonts w:ascii="Arial" w:cs="Arial" w:eastAsia="Arial" w:hAnsi="Arial"/>
          <w:sz w:val="17"/>
          <w:szCs w:val="17"/>
          <w:color w:val="auto"/>
        </w:rPr>
        <w:t>the loss on disposal of property and equipment. The change in our net operating assets and liabilities resulted primarily from a decrease in</w:t>
      </w:r>
    </w:p>
    <w:p>
      <w:pPr>
        <w:ind w:left="160"/>
        <w:spacing w:after="0" w:line="230" w:lineRule="auto"/>
        <w:rPr>
          <w:sz w:val="20"/>
          <w:szCs w:val="20"/>
          <w:color w:val="auto"/>
        </w:rPr>
      </w:pPr>
      <w:r>
        <w:rPr>
          <w:rFonts w:ascii="Arial" w:cs="Arial" w:eastAsia="Arial" w:hAnsi="Arial"/>
          <w:sz w:val="17"/>
          <w:szCs w:val="17"/>
          <w:color w:val="auto"/>
        </w:rPr>
        <w:t>prepaid expenses and other current assets of $0.3 million, a decrease in grants receivable of $0.2 million, an increase in accrued and other</w:t>
      </w:r>
    </w:p>
    <w:p>
      <w:pPr>
        <w:ind w:left="160"/>
        <w:spacing w:after="0" w:line="230" w:lineRule="auto"/>
        <w:rPr>
          <w:sz w:val="20"/>
          <w:szCs w:val="20"/>
          <w:color w:val="auto"/>
        </w:rPr>
      </w:pPr>
      <w:r>
        <w:rPr>
          <w:rFonts w:ascii="Arial" w:cs="Arial" w:eastAsia="Arial" w:hAnsi="Arial"/>
          <w:sz w:val="17"/>
          <w:szCs w:val="17"/>
          <w:color w:val="auto"/>
        </w:rPr>
        <w:t>current liabilities of $0.1 million, and an increase in other liabilities of $0.3 million, which were partially offset by a decrease in accounts payable of</w:t>
      </w:r>
    </w:p>
    <w:p>
      <w:pPr>
        <w:ind w:left="160"/>
        <w:spacing w:after="0"/>
        <w:rPr>
          <w:sz w:val="20"/>
          <w:szCs w:val="20"/>
          <w:color w:val="auto"/>
        </w:rPr>
      </w:pPr>
      <w:r>
        <w:rPr>
          <w:rFonts w:ascii="Arial" w:cs="Arial" w:eastAsia="Arial" w:hAnsi="Arial"/>
          <w:sz w:val="17"/>
          <w:szCs w:val="17"/>
          <w:color w:val="auto"/>
        </w:rPr>
        <w:t>$0.3 million.</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52" w:lineRule="exact"/>
        <w:rPr>
          <w:sz w:val="20"/>
          <w:szCs w:val="20"/>
          <w:color w:val="auto"/>
        </w:rPr>
      </w:pPr>
    </w:p>
    <w:p>
      <w:pPr>
        <w:ind w:left="160" w:right="160"/>
        <w:spacing w:after="0" w:line="239" w:lineRule="auto"/>
        <w:rPr>
          <w:sz w:val="20"/>
          <w:szCs w:val="20"/>
          <w:color w:val="auto"/>
        </w:rPr>
      </w:pPr>
      <w:r>
        <w:rPr>
          <w:rFonts w:ascii="Arial" w:cs="Arial" w:eastAsia="Arial" w:hAnsi="Arial"/>
          <w:sz w:val="17"/>
          <w:szCs w:val="17"/>
          <w:color w:val="auto"/>
        </w:rPr>
        <w:t>In 2020, we used $42,000 of cash for investing activities as a result of the purchase of $0.1 million of equipment, partially offset by our receipt of proceeds in the amount of $57,000 from the sale of equipment.</w:t>
      </w:r>
    </w:p>
    <w:p>
      <w:pPr>
        <w:spacing w:after="0" w:line="146" w:lineRule="exact"/>
        <w:rPr>
          <w:sz w:val="20"/>
          <w:szCs w:val="20"/>
          <w:color w:val="auto"/>
        </w:rPr>
      </w:pPr>
    </w:p>
    <w:p>
      <w:pPr>
        <w:ind w:left="160" w:right="600"/>
        <w:spacing w:after="0" w:line="239" w:lineRule="auto"/>
        <w:rPr>
          <w:sz w:val="20"/>
          <w:szCs w:val="20"/>
          <w:color w:val="auto"/>
        </w:rPr>
      </w:pPr>
      <w:r>
        <w:rPr>
          <w:rFonts w:ascii="Arial" w:cs="Arial" w:eastAsia="Arial" w:hAnsi="Arial"/>
          <w:sz w:val="17"/>
          <w:szCs w:val="17"/>
          <w:color w:val="auto"/>
        </w:rPr>
        <w:t>In 2019, we used $0.1 million of cash for investing activities, resulting from the purchase of property and equipment used for research and development activities and for general and administrative operations.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52"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In 2020, our financing activities provided $85.3 million of cash resulting from $79.6 million in proceeds from our issuance of Series C redeemable convertible preferred stock, net of issuance costs, proceeds of $5.6 million from our issuance of convertible notes payable that were converted into Series C redeemable convertible preferred stock, and proceeds of $0.2 million from the exercise of stock options to purchase Class A common stock, partially offset by the payment of $0.1 million of capital lease obligations.</w:t>
      </w:r>
    </w:p>
    <w:p>
      <w:pPr>
        <w:spacing w:after="0" w:line="147" w:lineRule="exact"/>
        <w:rPr>
          <w:sz w:val="20"/>
          <w:szCs w:val="20"/>
          <w:color w:val="auto"/>
        </w:rPr>
      </w:pPr>
    </w:p>
    <w:p>
      <w:pPr>
        <w:ind w:left="160" w:right="240"/>
        <w:spacing w:after="0" w:line="239" w:lineRule="auto"/>
        <w:rPr>
          <w:sz w:val="20"/>
          <w:szCs w:val="20"/>
          <w:color w:val="auto"/>
        </w:rPr>
      </w:pPr>
      <w:r>
        <w:rPr>
          <w:rFonts w:ascii="Arial" w:cs="Arial" w:eastAsia="Arial" w:hAnsi="Arial"/>
          <w:sz w:val="17"/>
          <w:szCs w:val="17"/>
          <w:color w:val="auto"/>
        </w:rPr>
        <w:t>In 2019, cash used in financing activities was $0.1 million. This was attributable to the payment of capital lease obligations totaling $0.2 million, partially offset by the proceeds from the exercise of stock options totaling $0.1 million.</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Contractual Obligations</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summarizes our contractual obligations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54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1"/>
        </w:trPr>
        <w:tc>
          <w:tcPr>
            <w:tcW w:w="5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LESS THAN</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99"/>
              </w:rPr>
              <w:t>MORE THAN</w:t>
            </w:r>
          </w:p>
        </w:tc>
        <w:tc>
          <w:tcPr>
            <w:tcW w:w="60" w:type="dxa"/>
            <w:vAlign w:val="bottom"/>
          </w:tcPr>
          <w:p>
            <w:pPr>
              <w:spacing w:after="0"/>
              <w:rPr>
                <w:sz w:val="12"/>
                <w:szCs w:val="12"/>
                <w:color w:val="auto"/>
              </w:rPr>
            </w:pPr>
          </w:p>
        </w:tc>
      </w:tr>
      <w:tr>
        <w:trPr>
          <w:trHeight w:val="174"/>
        </w:trPr>
        <w:tc>
          <w:tcPr>
            <w:tcW w:w="54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TOTAL</w:t>
            </w:r>
          </w:p>
        </w:tc>
        <w:tc>
          <w:tcPr>
            <w:tcW w:w="12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1 YEAR</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1-3 YEARS</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181"/>
        </w:trPr>
        <w:tc>
          <w:tcPr>
            <w:tcW w:w="542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Operating leases</w:t>
            </w:r>
          </w:p>
        </w:tc>
        <w:tc>
          <w:tcPr>
            <w:tcW w:w="6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$11,780</w:t>
            </w: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2,838</w:t>
            </w:r>
          </w:p>
        </w:tc>
        <w:tc>
          <w:tcPr>
            <w:tcW w:w="4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   4,646</w:t>
            </w: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   4,296</w:t>
            </w: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ind w:left="600"/>
              <w:spacing w:after="0" w:line="180" w:lineRule="exact"/>
              <w:rPr>
                <w:sz w:val="20"/>
                <w:szCs w:val="20"/>
                <w:color w:val="auto"/>
              </w:rPr>
            </w:pPr>
            <w:r>
              <w:rPr>
                <w:rFonts w:ascii="Arial" w:cs="Arial" w:eastAsia="Arial" w:hAnsi="Arial"/>
                <w:sz w:val="17"/>
                <w:szCs w:val="17"/>
                <w:color w:val="auto"/>
                <w:w w:val="82"/>
              </w:rPr>
              <w:t>—</w:t>
            </w:r>
          </w:p>
        </w:tc>
        <w:tc>
          <w:tcPr>
            <w:tcW w:w="60" w:type="dxa"/>
            <w:vAlign w:val="bottom"/>
            <w:tcBorders>
              <w:top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297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62" w:lineRule="exact"/>
        <w:rPr>
          <w:sz w:val="20"/>
          <w:szCs w:val="20"/>
          <w:color w:val="auto"/>
        </w:rPr>
      </w:pPr>
    </w:p>
    <w:p>
      <w:pPr>
        <w:ind w:left="160" w:right="140"/>
        <w:spacing w:after="0" w:line="236" w:lineRule="auto"/>
        <w:rPr>
          <w:sz w:val="20"/>
          <w:szCs w:val="20"/>
          <w:color w:val="auto"/>
        </w:rPr>
      </w:pPr>
      <w:r>
        <w:rPr>
          <w:rFonts w:ascii="Arial" w:cs="Arial" w:eastAsia="Arial" w:hAnsi="Arial"/>
          <w:sz w:val="17"/>
          <w:szCs w:val="17"/>
          <w:color w:val="auto"/>
        </w:rPr>
        <w:t>We enter into agreements in the normal course of business with various third parties for preclinical, clinical and other services. These contracts are generally cancellable without material penalty upon written notice. Payments associated with these agreements are not included in this table of contractual obligations.</w:t>
      </w:r>
    </w:p>
    <w:p>
      <w:pPr>
        <w:spacing w:after="0" w:line="146" w:lineRule="exact"/>
        <w:rPr>
          <w:sz w:val="20"/>
          <w:szCs w:val="20"/>
          <w:color w:val="auto"/>
        </w:rPr>
      </w:pPr>
    </w:p>
    <w:p>
      <w:pPr>
        <w:ind w:left="160" w:right="140"/>
        <w:spacing w:after="0" w:line="239" w:lineRule="auto"/>
        <w:rPr>
          <w:sz w:val="20"/>
          <w:szCs w:val="20"/>
          <w:color w:val="auto"/>
        </w:rPr>
      </w:pPr>
      <w:r>
        <w:rPr>
          <w:rFonts w:ascii="Arial" w:cs="Arial" w:eastAsia="Arial" w:hAnsi="Arial"/>
          <w:sz w:val="17"/>
          <w:szCs w:val="17"/>
          <w:color w:val="auto"/>
        </w:rPr>
        <w:t>Our operating lease obligations reflect our lease obligations for our office and laboratory space in Woburn, Massachusetts and our office and life science research space in South San Francisco, California.</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080"/>
          </w:cols>
          <w:pgMar w:left="320" w:top="456"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160" w:right="20"/>
        <w:spacing w:after="0" w:line="236" w:lineRule="auto"/>
        <w:rPr>
          <w:sz w:val="20"/>
          <w:szCs w:val="20"/>
          <w:color w:val="auto"/>
        </w:rPr>
      </w:pPr>
      <w:r>
        <w:rPr>
          <w:rFonts w:ascii="Arial" w:cs="Arial" w:eastAsia="Arial" w:hAnsi="Arial"/>
          <w:sz w:val="17"/>
          <w:szCs w:val="17"/>
          <w:color w:val="auto"/>
        </w:rPr>
        <w:t>During 2019, we vacated our leased facilities in Woburn, Massachusetts and recorded a discounted lease-related restructuring liability, which was calculated as the present value of the estimated future facility costs for which we would obtain no future economic benefit over the remaining term of the lease, which ends in July 2021.</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During 2020, we vacated the leased facilities in South San Francisco. Our total future minimum commitment due pursuant to this lease is</w:t>
      </w:r>
    </w:p>
    <w:p>
      <w:pPr>
        <w:ind w:left="160" w:right="140"/>
        <w:spacing w:after="0" w:line="236" w:lineRule="auto"/>
        <w:rPr>
          <w:sz w:val="20"/>
          <w:szCs w:val="20"/>
          <w:color w:val="auto"/>
        </w:rPr>
      </w:pPr>
      <w:r>
        <w:rPr>
          <w:rFonts w:ascii="Arial" w:cs="Arial" w:eastAsia="Arial" w:hAnsi="Arial"/>
          <w:sz w:val="17"/>
          <w:szCs w:val="17"/>
          <w:color w:val="auto"/>
        </w:rPr>
        <w:t>$11.1 million. In November 2020, we entered into a non-cancellable sublease agreement for the facility, under the terms of which we are entitled to receive $8.8 million in lease payments over the term of the sublease, which ends concurrently with the original lease in September 2025. As tenant, we remain responsible for the $11.1 million minimum lease commitment on the facilities.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 addition to the office leases, we have future minimum lease payments of $0.6 million for leases on research and laboratory equipment.</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1" w:lineRule="exact"/>
        <w:rPr>
          <w:sz w:val="20"/>
          <w:szCs w:val="20"/>
          <w:color w:val="auto"/>
        </w:rPr>
      </w:pPr>
    </w:p>
    <w:p>
      <w:pPr>
        <w:ind w:left="160" w:right="140"/>
        <w:spacing w:after="0" w:line="233" w:lineRule="auto"/>
        <w:rPr>
          <w:sz w:val="20"/>
          <w:szCs w:val="20"/>
          <w:color w:val="auto"/>
        </w:rPr>
      </w:pPr>
      <w:r>
        <w:rPr>
          <w:rFonts w:ascii="Arial" w:cs="Arial" w:eastAsia="Arial" w:hAnsi="Arial"/>
          <w:sz w:val="17"/>
          <w:szCs w:val="17"/>
          <w:color w:val="auto"/>
        </w:rPr>
        <w:t>In the preparation of our financial statements for 2020, we determined a material weakness in our internal control over financial reporting existed during 2019, which material weakness remained unremediated as of December 31, 2020. See the section titled “Risk Factors—We have identified a material weakness in our internal control over financial reporting. Although we have already taken some steps to remediate this material weakness, if we are unable to remediate the material weakness,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Off-Balance Sheet Arrangements</w:t>
      </w:r>
    </w:p>
    <w:p>
      <w:pPr>
        <w:spacing w:after="0" w:line="77" w:lineRule="exact"/>
        <w:rPr>
          <w:sz w:val="20"/>
          <w:szCs w:val="20"/>
          <w:color w:val="auto"/>
        </w:rPr>
      </w:pPr>
    </w:p>
    <w:p>
      <w:pPr>
        <w:ind w:left="160" w:right="260"/>
        <w:spacing w:after="0" w:line="239" w:lineRule="auto"/>
        <w:rPr>
          <w:sz w:val="20"/>
          <w:szCs w:val="20"/>
          <w:color w:val="auto"/>
        </w:rPr>
      </w:pPr>
      <w:r>
        <w:rPr>
          <w:rFonts w:ascii="Arial" w:cs="Arial" w:eastAsia="Arial" w:hAnsi="Arial"/>
          <w:sz w:val="17"/>
          <w:szCs w:val="17"/>
          <w:color w:val="auto"/>
        </w:rPr>
        <w:t>Since the date of our incorporation, we have not engaged in any off-balance sheet arrangements, as defined in the rules and regulations of the Securities and Exchange Commission.</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77"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The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44" w:lineRule="exact"/>
        <w:rPr>
          <w:sz w:val="20"/>
          <w:szCs w:val="20"/>
          <w:color w:val="auto"/>
        </w:rPr>
      </w:pPr>
    </w:p>
    <w:p>
      <w:pPr>
        <w:ind w:left="160" w:right="300"/>
        <w:spacing w:after="0" w:line="239" w:lineRule="auto"/>
        <w:rPr>
          <w:sz w:val="20"/>
          <w:szCs w:val="20"/>
          <w:color w:val="auto"/>
        </w:rPr>
      </w:pPr>
      <w:r>
        <w:rPr>
          <w:rFonts w:ascii="Arial" w:cs="Arial" w:eastAsia="Arial" w:hAnsi="Arial"/>
          <w:sz w:val="17"/>
          <w:szCs w:val="17"/>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Research Contract Costs and Accruals</w:t>
      </w:r>
    </w:p>
    <w:p>
      <w:pPr>
        <w:spacing w:after="0" w:line="39"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We enter into various research and development and other agreements with commercial firms, researchers and others for provisions of goods and services from time to time. These agreements are generally cancellable, and the related costs are recorded as research and development expenses as incurred. We record accruals for estimated ongoing research and development costs. When evaluating the adequacy of the accrued liabilities, we analyze progress of the studies or clinical trials, including the phase or completion of events, invoices received and contracted costs. Significant judgments and estimates are made in determining the accrued balances at the end of any reporting period. Actual results could differ materially from our estimates.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39" w:lineRule="exact"/>
        <w:rPr>
          <w:sz w:val="20"/>
          <w:szCs w:val="20"/>
          <w:color w:val="auto"/>
        </w:rPr>
      </w:pPr>
    </w:p>
    <w:p>
      <w:pPr>
        <w:ind w:left="160" w:right="240"/>
        <w:spacing w:after="0" w:line="239" w:lineRule="auto"/>
        <w:rPr>
          <w:sz w:val="20"/>
          <w:szCs w:val="20"/>
          <w:color w:val="auto"/>
        </w:rPr>
      </w:pPr>
      <w:r>
        <w:rPr>
          <w:rFonts w:ascii="Arial" w:cs="Arial" w:eastAsia="Arial" w:hAnsi="Arial"/>
          <w:sz w:val="17"/>
          <w:szCs w:val="17"/>
          <w:color w:val="auto"/>
        </w:rPr>
        <w:t>We maintain a stock-based compensation plan as a long-term incentive for employees, non-employee directors, consultants and advisors. The plan allows for the issuance of a variety of equity incentive awards, including incentive</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080"/>
          </w:cols>
          <w:pgMar w:left="320" w:top="456"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stock options, non-qualified stock options and restricted stock awards. We account for stock-based compensation by measuring and recognizing compensation expense for all share-based awards made to employees and non-employees based on estimated grant-date fair values. We use the straight-line method to allocate compensation cost to reporting periods over the requisite service period, which is generally the vesting period. We recognize actual forfeitures by reducing the stock-based compensation expense in the same period as the forfeitures occur. We estimate the fair value of share-based awards to employees and non-employees using the Black-Scholes model.</w:t>
      </w:r>
    </w:p>
    <w:p>
      <w:pPr>
        <w:spacing w:after="0" w:line="148"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Estimating the fair value of equity-settled awards as of the grant date using the Black-Scholes option pricing model is affected by assumptions regarding a number of complex variables. Changes in the assumptions can materially affect the fair value and ultimately how much stock-based compensation is recognized. These inputs are subjective and generally require significant analysis and judgment to develop. These inputs are as follows:</w:t>
      </w:r>
    </w:p>
    <w:p>
      <w:pPr>
        <w:spacing w:after="0" w:line="187" w:lineRule="exact"/>
        <w:rPr>
          <w:sz w:val="20"/>
          <w:szCs w:val="20"/>
          <w:color w:val="auto"/>
        </w:rPr>
      </w:pPr>
    </w:p>
    <w:p>
      <w:pPr>
        <w:ind w:left="1020" w:hanging="425"/>
        <w:spacing w:after="0"/>
        <w:tabs>
          <w:tab w:leader="none" w:pos="1020" w:val="left"/>
        </w:tabs>
        <w:numPr>
          <w:ilvl w:val="0"/>
          <w:numId w:val="55"/>
        </w:numPr>
        <w:rPr>
          <w:rFonts w:ascii="MS PGothic" w:cs="MS PGothic" w:eastAsia="MS PGothic" w:hAnsi="MS PGothic"/>
          <w:sz w:val="12"/>
          <w:szCs w:val="12"/>
          <w:color w:val="auto"/>
        </w:rPr>
      </w:pPr>
      <w:r>
        <w:rPr>
          <w:rFonts w:ascii="Arial" w:cs="Arial" w:eastAsia="Arial" w:hAnsi="Arial"/>
          <w:sz w:val="17"/>
          <w:szCs w:val="17"/>
          <w:color w:val="auto"/>
        </w:rPr>
        <w:t>Fair value of common stock—See the subsection titled “Fair Value of Common Stock” below.</w:t>
      </w:r>
    </w:p>
    <w:p>
      <w:pPr>
        <w:spacing w:after="0" w:line="31" w:lineRule="exact"/>
        <w:rPr>
          <w:rFonts w:ascii="MS PGothic" w:cs="MS PGothic" w:eastAsia="MS PGothic" w:hAnsi="MS PGothic"/>
          <w:sz w:val="12"/>
          <w:szCs w:val="12"/>
          <w:color w:val="auto"/>
        </w:rPr>
      </w:pPr>
    </w:p>
    <w:p>
      <w:pPr>
        <w:ind w:left="1020" w:right="160" w:hanging="425"/>
        <w:spacing w:after="0" w:line="234" w:lineRule="auto"/>
        <w:tabs>
          <w:tab w:leader="none" w:pos="1020" w:val="left"/>
        </w:tabs>
        <w:numPr>
          <w:ilvl w:val="0"/>
          <w:numId w:val="55"/>
        </w:numPr>
        <w:rPr>
          <w:rFonts w:ascii="MS PGothic" w:cs="MS PGothic" w:eastAsia="MS PGothic" w:hAnsi="MS PGothic"/>
          <w:sz w:val="12"/>
          <w:szCs w:val="12"/>
          <w:color w:val="auto"/>
        </w:rPr>
      </w:pPr>
      <w:r>
        <w:rPr>
          <w:rFonts w:ascii="Arial" w:cs="Arial" w:eastAsia="Arial" w:hAnsi="Arial"/>
          <w:sz w:val="17"/>
          <w:szCs w:val="17"/>
          <w:color w:val="auto"/>
        </w:rPr>
        <w:t>Expected term—The expected term represents the average period that our options granted are expected to be outstanding and is determined using the simplified method (based on the mid-point between the weighted-average vesting date and the end of the contractual term). We have very limited historical information to develop reasonable expectations about future exercise patterns and post-vesting employment termination behavior for our stock option grants.</w:t>
      </w:r>
    </w:p>
    <w:p>
      <w:pPr>
        <w:spacing w:after="0" w:line="26" w:lineRule="exact"/>
        <w:rPr>
          <w:rFonts w:ascii="MS PGothic" w:cs="MS PGothic" w:eastAsia="MS PGothic" w:hAnsi="MS PGothic"/>
          <w:sz w:val="12"/>
          <w:szCs w:val="12"/>
          <w:color w:val="auto"/>
        </w:rPr>
      </w:pPr>
    </w:p>
    <w:p>
      <w:pPr>
        <w:ind w:left="1020" w:right="20" w:hanging="425"/>
        <w:spacing w:after="0" w:line="233" w:lineRule="auto"/>
        <w:tabs>
          <w:tab w:leader="none" w:pos="1020" w:val="left"/>
        </w:tabs>
        <w:numPr>
          <w:ilvl w:val="0"/>
          <w:numId w:val="55"/>
        </w:numPr>
        <w:rPr>
          <w:rFonts w:ascii="MS PGothic" w:cs="MS PGothic" w:eastAsia="MS PGothic" w:hAnsi="MS PGothic"/>
          <w:sz w:val="12"/>
          <w:szCs w:val="12"/>
          <w:color w:val="auto"/>
        </w:rPr>
      </w:pPr>
      <w:r>
        <w:rPr>
          <w:rFonts w:ascii="Arial" w:cs="Arial" w:eastAsia="Arial" w:hAnsi="Arial"/>
          <w:sz w:val="17"/>
          <w:szCs w:val="17"/>
          <w:color w:val="auto"/>
        </w:rPr>
        <w:t>Expected volatility—Since we are a privately-held company and do not have any trading history for our common stock, the expected volatility was estimated based on the historical average volatility for comparable publicly traded biopharmaceutical companies over a period equal to the expected term of the stock option grants. The comparable companies were chosen based on their similar size, life cycle stage, or area of specialty. We will continue to apply this process until enough historical information regarding the volatility of our own stock price becomes available.</w:t>
      </w:r>
    </w:p>
    <w:p>
      <w:pPr>
        <w:spacing w:after="0" w:line="27" w:lineRule="exact"/>
        <w:rPr>
          <w:rFonts w:ascii="MS PGothic" w:cs="MS PGothic" w:eastAsia="MS PGothic" w:hAnsi="MS PGothic"/>
          <w:sz w:val="12"/>
          <w:szCs w:val="12"/>
          <w:color w:val="auto"/>
        </w:rPr>
      </w:pPr>
    </w:p>
    <w:p>
      <w:pPr>
        <w:ind w:left="1020" w:right="220" w:hanging="425"/>
        <w:spacing w:after="0" w:line="239" w:lineRule="auto"/>
        <w:tabs>
          <w:tab w:leader="none" w:pos="1020" w:val="left"/>
        </w:tabs>
        <w:numPr>
          <w:ilvl w:val="0"/>
          <w:numId w:val="55"/>
        </w:numPr>
        <w:rPr>
          <w:rFonts w:ascii="MS PGothic" w:cs="MS PGothic" w:eastAsia="MS PGothic" w:hAnsi="MS PGothic"/>
          <w:sz w:val="12"/>
          <w:szCs w:val="12"/>
          <w:color w:val="auto"/>
        </w:rPr>
      </w:pPr>
      <w:r>
        <w:rPr>
          <w:rFonts w:ascii="Arial" w:cs="Arial" w:eastAsia="Arial" w:hAnsi="Arial"/>
          <w:sz w:val="17"/>
          <w:szCs w:val="17"/>
          <w:color w:val="auto"/>
        </w:rPr>
        <w:t>Risk-free interest rate—The risk-free interest rate is based on the U.S. Treasury zero coupon issues in effect at the time of grant for periods corresponding with the expected term of the options.</w:t>
      </w:r>
    </w:p>
    <w:p>
      <w:pPr>
        <w:spacing w:after="0" w:line="25" w:lineRule="exact"/>
        <w:rPr>
          <w:rFonts w:ascii="MS PGothic" w:cs="MS PGothic" w:eastAsia="MS PGothic" w:hAnsi="MS PGothic"/>
          <w:sz w:val="12"/>
          <w:szCs w:val="12"/>
          <w:color w:val="auto"/>
        </w:rPr>
      </w:pPr>
    </w:p>
    <w:p>
      <w:pPr>
        <w:ind w:left="1020" w:right="220" w:hanging="425"/>
        <w:spacing w:after="0" w:line="239" w:lineRule="auto"/>
        <w:tabs>
          <w:tab w:leader="none" w:pos="1020" w:val="left"/>
        </w:tabs>
        <w:numPr>
          <w:ilvl w:val="0"/>
          <w:numId w:val="55"/>
        </w:numPr>
        <w:rPr>
          <w:rFonts w:ascii="MS PGothic" w:cs="MS PGothic" w:eastAsia="MS PGothic" w:hAnsi="MS PGothic"/>
          <w:sz w:val="12"/>
          <w:szCs w:val="12"/>
          <w:color w:val="auto"/>
        </w:rPr>
      </w:pPr>
      <w:r>
        <w:rPr>
          <w:rFonts w:ascii="Arial" w:cs="Arial" w:eastAsia="Arial" w:hAnsi="Arial"/>
          <w:sz w:val="17"/>
          <w:szCs w:val="17"/>
          <w:color w:val="auto"/>
        </w:rPr>
        <w:t>Expected dividend yield—We have never paid dividends on our common stock and have no plans to pay dividends on our common stock. Therefore, we used an expected dividend yield of zero.</w:t>
      </w:r>
    </w:p>
    <w:p>
      <w:pPr>
        <w:spacing w:after="0" w:line="146"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We will continue to use judgment in evaluating the expected volatility, expected terms, and interest rates utilized for our stock-based compensation calculations on a prospective basis. Assumptions we used in applying the Black-Scholes option-pricing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48" w:lineRule="exact"/>
        <w:rPr>
          <w:sz w:val="20"/>
          <w:szCs w:val="20"/>
          <w:color w:val="auto"/>
        </w:rPr>
      </w:pPr>
    </w:p>
    <w:p>
      <w:pPr>
        <w:ind w:left="160" w:right="460"/>
        <w:spacing w:after="0" w:line="239" w:lineRule="auto"/>
        <w:rPr>
          <w:sz w:val="20"/>
          <w:szCs w:val="20"/>
          <w:color w:val="auto"/>
        </w:rPr>
      </w:pPr>
      <w:r>
        <w:rPr>
          <w:rFonts w:ascii="Arial" w:cs="Arial" w:eastAsia="Arial" w:hAnsi="Arial"/>
          <w:sz w:val="17"/>
          <w:szCs w:val="17"/>
          <w:color w:val="auto"/>
        </w:rPr>
        <w:t>We expect to incur stock-based compensation of approximately $3.0 million to $3.2 million over the next three to four years as a result of all compensatory equity issuances made in fiscal year 2021.</w:t>
      </w:r>
    </w:p>
    <w:p>
      <w:pPr>
        <w:spacing w:after="0" w:line="146" w:lineRule="exact"/>
        <w:rPr>
          <w:sz w:val="20"/>
          <w:szCs w:val="20"/>
          <w:color w:val="auto"/>
        </w:rPr>
      </w:pPr>
    </w:p>
    <w:p>
      <w:pPr>
        <w:ind w:left="160" w:right="380"/>
        <w:spacing w:after="0" w:line="239" w:lineRule="auto"/>
        <w:rPr>
          <w:sz w:val="20"/>
          <w:szCs w:val="20"/>
          <w:color w:val="auto"/>
        </w:rPr>
      </w:pPr>
      <w:r>
        <w:rPr>
          <w:rFonts w:ascii="Arial" w:cs="Arial" w:eastAsia="Arial" w:hAnsi="Arial"/>
          <w:sz w:val="17"/>
          <w:szCs w:val="17"/>
          <w:color w:val="auto"/>
        </w:rPr>
        <w:t>We expect to incur stock-based compensation of approximately $0.9 million to $1.1 million in fiscal year 2022 as a result of all compensatory equity issuances made in fiscal year 2021.</w:t>
      </w:r>
    </w:p>
    <w:p>
      <w:pPr>
        <w:spacing w:after="0" w:line="146" w:lineRule="exact"/>
        <w:rPr>
          <w:sz w:val="20"/>
          <w:szCs w:val="20"/>
          <w:color w:val="auto"/>
        </w:rPr>
      </w:pPr>
    </w:p>
    <w:p>
      <w:pPr>
        <w:ind w:left="160" w:right="80"/>
        <w:spacing w:after="0" w:line="236" w:lineRule="auto"/>
        <w:rPr>
          <w:sz w:val="20"/>
          <w:szCs w:val="20"/>
          <w:color w:val="auto"/>
        </w:rPr>
      </w:pPr>
      <w:r>
        <w:rPr>
          <w:rFonts w:ascii="Arial" w:cs="Arial" w:eastAsia="Arial" w:hAnsi="Arial"/>
          <w:sz w:val="17"/>
          <w:szCs w:val="17"/>
          <w:color w:val="auto"/>
        </w:rPr>
        <w:t>The intrinsic value of all outstanding options as of December 31, 2020 was $22.2 million, $21.9 million of which related to unvested options as of such date, based on the assumed initial public offering price of $15.00 per share, which is the midpoint of the price range set forth on the cover page of this prospectus.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Fair Value of Common Stock</w:t>
      </w:r>
    </w:p>
    <w:p>
      <w:pPr>
        <w:spacing w:after="0" w:line="39"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 xml:space="preserve">Historically, for all periods prior to this initial public offering, the fair values of the shares of our common stock underlying our share-based awards were determined on each grant date by our board of directors with input from management and the assistance of an independent third-party valuation specialist. Given the absence of a public trading market of our common stock, and in accordance with the American Institute of Certified Public Accountants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(Practice Aid), our board of directors exercised reasonable judgment and considered numerous objective and subjective factors to determine the best estimate of the fair value of our common stock at each grant date. These factors include:</w:t>
      </w:r>
    </w:p>
    <w:p>
      <w:pPr>
        <w:spacing w:after="0" w:line="185" w:lineRule="exact"/>
        <w:rPr>
          <w:sz w:val="20"/>
          <w:szCs w:val="20"/>
          <w:color w:val="auto"/>
        </w:rPr>
      </w:pPr>
    </w:p>
    <w:p>
      <w:pPr>
        <w:jc w:val="center"/>
        <w:ind w:left="5540" w:right="1080" w:hanging="4945"/>
        <w:spacing w:after="0" w:line="417" w:lineRule="auto"/>
        <w:tabs>
          <w:tab w:leader="none" w:pos="1029" w:val="left"/>
        </w:tabs>
        <w:numPr>
          <w:ilvl w:val="0"/>
          <w:numId w:val="56"/>
        </w:numPr>
        <w:rPr>
          <w:rFonts w:ascii="MS PGothic" w:cs="MS PGothic" w:eastAsia="MS PGothic" w:hAnsi="MS PGothic"/>
          <w:sz w:val="12"/>
          <w:szCs w:val="12"/>
          <w:color w:val="auto"/>
        </w:rPr>
      </w:pPr>
      <w:r>
        <w:rPr>
          <w:rFonts w:ascii="Arial" w:cs="Arial" w:eastAsia="Arial" w:hAnsi="Arial"/>
          <w:sz w:val="17"/>
          <w:szCs w:val="17"/>
          <w:color w:val="auto"/>
        </w:rPr>
        <w:t xml:space="preserve">external market conditions affecting the proteomics and genomics biotechnology industry and trends within the industry; </w:t>
      </w:r>
      <w:r>
        <w:rPr>
          <w:rFonts w:ascii="Arial" w:cs="Arial" w:eastAsia="Arial" w:hAnsi="Arial"/>
          <w:sz w:val="16"/>
          <w:szCs w:val="16"/>
          <w:color w:val="auto"/>
        </w:rPr>
        <w:t>90</w:t>
      </w:r>
    </w:p>
    <w:p>
      <w:pPr>
        <w:sectPr>
          <w:pgSz w:w="11900" w:h="16838" w:orient="portrait"/>
          <w:cols w:equalWidth="0" w:num="1">
            <w:col w:w="11040"/>
          </w:cols>
          <w:pgMar w:left="320" w:top="456" w:right="5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020" w:hanging="425"/>
        <w:spacing w:after="0"/>
        <w:tabs>
          <w:tab w:leader="none" w:pos="1020" w:val="left"/>
        </w:tabs>
        <w:numPr>
          <w:ilvl w:val="0"/>
          <w:numId w:val="57"/>
        </w:numPr>
        <w:rPr>
          <w:rFonts w:ascii="MS PGothic" w:cs="MS PGothic" w:eastAsia="MS PGothic" w:hAnsi="MS PGothic"/>
          <w:sz w:val="12"/>
          <w:szCs w:val="12"/>
          <w:color w:val="auto"/>
        </w:rPr>
      </w:pPr>
      <w:r>
        <w:rPr>
          <w:rFonts w:ascii="Arial" w:cs="Arial" w:eastAsia="Arial" w:hAnsi="Arial"/>
          <w:sz w:val="17"/>
          <w:szCs w:val="17"/>
          <w:color w:val="auto"/>
        </w:rPr>
        <w:t>our stage of development;</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57"/>
        </w:numPr>
        <w:rPr>
          <w:rFonts w:ascii="MS PGothic" w:cs="MS PGothic" w:eastAsia="MS PGothic" w:hAnsi="MS PGothic"/>
          <w:sz w:val="12"/>
          <w:szCs w:val="12"/>
          <w:color w:val="auto"/>
        </w:rPr>
      </w:pPr>
      <w:r>
        <w:rPr>
          <w:rFonts w:ascii="Arial" w:cs="Arial" w:eastAsia="Arial" w:hAnsi="Arial"/>
          <w:sz w:val="17"/>
          <w:szCs w:val="17"/>
          <w:color w:val="auto"/>
        </w:rPr>
        <w:t>the rights, preferences and privileges of our redeemable convertible preferred stock relative to those of our common stock;</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57"/>
        </w:numPr>
        <w:rPr>
          <w:rFonts w:ascii="MS PGothic" w:cs="MS PGothic" w:eastAsia="MS PGothic" w:hAnsi="MS PGothic"/>
          <w:sz w:val="12"/>
          <w:szCs w:val="12"/>
          <w:color w:val="auto"/>
        </w:rPr>
      </w:pPr>
      <w:r>
        <w:rPr>
          <w:rFonts w:ascii="Arial" w:cs="Arial" w:eastAsia="Arial" w:hAnsi="Arial"/>
          <w:sz w:val="17"/>
          <w:szCs w:val="17"/>
          <w:color w:val="auto"/>
        </w:rPr>
        <w:t>the prices at which we sold shares of our redeemable convertible preferred stock;</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57"/>
        </w:numPr>
        <w:rPr>
          <w:rFonts w:ascii="MS PGothic" w:cs="MS PGothic" w:eastAsia="MS PGothic" w:hAnsi="MS PGothic"/>
          <w:sz w:val="12"/>
          <w:szCs w:val="12"/>
          <w:color w:val="auto"/>
        </w:rPr>
      </w:pPr>
      <w:r>
        <w:rPr>
          <w:rFonts w:ascii="Arial" w:cs="Arial" w:eastAsia="Arial" w:hAnsi="Arial"/>
          <w:sz w:val="17"/>
          <w:szCs w:val="17"/>
          <w:color w:val="auto"/>
        </w:rPr>
        <w:t>actual operating results and projected financial performance, including our levels of available capital resources;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57"/>
        </w:numPr>
        <w:rPr>
          <w:rFonts w:ascii="MS PGothic" w:cs="MS PGothic" w:eastAsia="MS PGothic" w:hAnsi="MS PGothic"/>
          <w:sz w:val="12"/>
          <w:szCs w:val="12"/>
          <w:color w:val="auto"/>
        </w:rPr>
      </w:pPr>
      <w:r>
        <w:rPr>
          <w:rFonts w:ascii="Arial" w:cs="Arial" w:eastAsia="Arial" w:hAnsi="Arial"/>
          <w:sz w:val="17"/>
          <w:szCs w:val="17"/>
          <w:color w:val="auto"/>
        </w:rPr>
        <w:t>the progress of our research and development efforts and business strategy;</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57"/>
        </w:numPr>
        <w:rPr>
          <w:rFonts w:ascii="MS PGothic" w:cs="MS PGothic" w:eastAsia="MS PGothic" w:hAnsi="MS PGothic"/>
          <w:sz w:val="12"/>
          <w:szCs w:val="12"/>
          <w:color w:val="auto"/>
        </w:rPr>
      </w:pPr>
      <w:r>
        <w:rPr>
          <w:rFonts w:ascii="Arial" w:cs="Arial" w:eastAsia="Arial" w:hAnsi="Arial"/>
          <w:sz w:val="17"/>
          <w:szCs w:val="17"/>
          <w:color w:val="auto"/>
        </w:rPr>
        <w:t>equity market conditions affecting comparable public companies;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57"/>
        </w:numPr>
        <w:rPr>
          <w:rFonts w:ascii="MS PGothic" w:cs="MS PGothic" w:eastAsia="MS PGothic" w:hAnsi="MS PGothic"/>
          <w:sz w:val="12"/>
          <w:szCs w:val="12"/>
          <w:color w:val="auto"/>
        </w:rPr>
      </w:pPr>
      <w:r>
        <w:rPr>
          <w:rFonts w:ascii="Arial" w:cs="Arial" w:eastAsia="Arial" w:hAnsi="Arial"/>
          <w:sz w:val="17"/>
          <w:szCs w:val="17"/>
          <w:color w:val="auto"/>
        </w:rPr>
        <w:t>general U.S. market conditions; and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57"/>
        </w:numPr>
        <w:rPr>
          <w:rFonts w:ascii="MS PGothic" w:cs="MS PGothic" w:eastAsia="MS PGothic" w:hAnsi="MS PGothic"/>
          <w:sz w:val="12"/>
          <w:szCs w:val="12"/>
          <w:color w:val="auto"/>
        </w:rPr>
      </w:pPr>
      <w:r>
        <w:rPr>
          <w:rFonts w:ascii="Arial" w:cs="Arial" w:eastAsia="Arial" w:hAnsi="Arial"/>
          <w:sz w:val="17"/>
          <w:szCs w:val="17"/>
          <w:color w:val="auto"/>
        </w:rPr>
        <w:t>the lack of marketability of our common stock.</w:t>
      </w:r>
    </w:p>
    <w:p>
      <w:pPr>
        <w:spacing w:after="0" w:line="152"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In valuing our common stock, the fair value of our business, or enterprise value, was determined using various valuation methods, including combinations of income, market and asset approaches with input from management. The income approach determines value by using one or more methods that convert anticipated economic benefits into a present single amount. The application of the income approach establishes value by methods that discount or capitalize earnings or cash flow, by a discount or capitalization rate that reflects investors’ rate of return expectations, market conditions, and the relative risk of the subject investment. The market approach involves identifying and evaluating comparable public companies and acquisition targets that operate in the same industry or which have similar operating characteristics as the subject company. From the comparable companies, publicly available information is used to extrapolate market-based valuation multiples that are applied to historical or prospective financial information in order to derive an indication of value. The asset approach determines the value of the underlying assets and liabilities of a business as a means of determining the value of the business in aggregate. This approach can include the value of both tangible and intangible assets.</w:t>
      </w:r>
    </w:p>
    <w:p>
      <w:pPr>
        <w:spacing w:after="0" w:line="151" w:lineRule="exact"/>
        <w:rPr>
          <w:sz w:val="20"/>
          <w:szCs w:val="20"/>
          <w:color w:val="auto"/>
        </w:rPr>
      </w:pPr>
    </w:p>
    <w:p>
      <w:pPr>
        <w:ind w:left="160" w:right="260"/>
        <w:spacing w:after="0" w:line="239" w:lineRule="auto"/>
        <w:rPr>
          <w:sz w:val="20"/>
          <w:szCs w:val="20"/>
          <w:color w:val="auto"/>
        </w:rPr>
      </w:pPr>
      <w:r>
        <w:rPr>
          <w:rFonts w:ascii="Arial" w:cs="Arial" w:eastAsia="Arial" w:hAnsi="Arial"/>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86" w:lineRule="exact"/>
        <w:rPr>
          <w:sz w:val="20"/>
          <w:szCs w:val="20"/>
          <w:color w:val="auto"/>
        </w:rPr>
      </w:pPr>
    </w:p>
    <w:p>
      <w:pPr>
        <w:ind w:left="1020" w:right="240" w:hanging="425"/>
        <w:spacing w:after="0" w:line="234" w:lineRule="auto"/>
        <w:tabs>
          <w:tab w:leader="none" w:pos="1020" w:val="left"/>
        </w:tabs>
        <w:numPr>
          <w:ilvl w:val="0"/>
          <w:numId w:val="58"/>
        </w:numPr>
        <w:rPr>
          <w:rFonts w:ascii="MS PGothic" w:cs="MS PGothic" w:eastAsia="MS PGothic" w:hAnsi="MS PGothic"/>
          <w:sz w:val="12"/>
          <w:szCs w:val="12"/>
          <w:color w:val="auto"/>
        </w:rPr>
      </w:pPr>
      <w:r>
        <w:rPr>
          <w:rFonts w:ascii="Arial" w:cs="Arial" w:eastAsia="Arial" w:hAnsi="Arial"/>
          <w:sz w:val="17"/>
          <w:szCs w:val="17"/>
          <w:color w:val="auto"/>
        </w:rPr>
        <w:t>Option Pricing Method (OPM). Under the OPM, shares are valued by creating a series of call options with exercise prices based on the liquidation preferences and conversion terms of each equity class. The estimated fair values of the redeemable convertible preferred stock and common stock are inferred by analyzing these options. This method is appropriate to use when the range of possible future outcomes is difficult to predict and thus creates highly speculative forecasts.</w:t>
      </w:r>
    </w:p>
    <w:p>
      <w:pPr>
        <w:spacing w:after="0" w:line="26" w:lineRule="exact"/>
        <w:rPr>
          <w:rFonts w:ascii="MS PGothic" w:cs="MS PGothic" w:eastAsia="MS PGothic" w:hAnsi="MS PGothic"/>
          <w:sz w:val="12"/>
          <w:szCs w:val="12"/>
          <w:color w:val="auto"/>
        </w:rPr>
      </w:pPr>
    </w:p>
    <w:p>
      <w:pPr>
        <w:ind w:left="1020" w:hanging="425"/>
        <w:spacing w:after="0" w:line="234" w:lineRule="auto"/>
        <w:tabs>
          <w:tab w:leader="none" w:pos="1020" w:val="left"/>
        </w:tabs>
        <w:numPr>
          <w:ilvl w:val="0"/>
          <w:numId w:val="58"/>
        </w:numPr>
        <w:rPr>
          <w:rFonts w:ascii="MS PGothic" w:cs="MS PGothic" w:eastAsia="MS PGothic" w:hAnsi="MS PGothic"/>
          <w:sz w:val="12"/>
          <w:szCs w:val="12"/>
          <w:color w:val="auto"/>
        </w:rPr>
      </w:pPr>
      <w:r>
        <w:rPr>
          <w:rFonts w:ascii="Arial" w:cs="Arial" w:eastAsia="Arial" w:hAnsi="Arial"/>
          <w:sz w:val="17"/>
          <w:szCs w:val="17"/>
          <w:color w:val="auto"/>
        </w:rPr>
        <w:t>Probability-Weighted Expected Return Method (PWERM). The PWERM is a scenario-based analysis that estimates value per share based on the probability-weighted present value of expected future investment returns, considering each of the possible outcomes available to us, as well as the economic and control rights of each share class. This method is generally most appropriate to use when the time to a liquidity event is short, making the range of possible future outcomes relatively easy to predict.</w:t>
      </w:r>
    </w:p>
    <w:p>
      <w:pPr>
        <w:spacing w:after="0" w:line="147" w:lineRule="exact"/>
        <w:rPr>
          <w:sz w:val="20"/>
          <w:szCs w:val="20"/>
          <w:color w:val="auto"/>
        </w:rPr>
      </w:pPr>
    </w:p>
    <w:p>
      <w:pPr>
        <w:ind w:left="160" w:right="20"/>
        <w:spacing w:after="0" w:line="239" w:lineRule="auto"/>
        <w:rPr>
          <w:sz w:val="20"/>
          <w:szCs w:val="20"/>
          <w:color w:val="auto"/>
        </w:rPr>
      </w:pPr>
      <w:r>
        <w:rPr>
          <w:rFonts w:ascii="Arial" w:cs="Arial" w:eastAsia="Arial" w:hAnsi="Arial"/>
          <w:sz w:val="17"/>
          <w:szCs w:val="17"/>
          <w:color w:val="auto"/>
        </w:rPr>
        <w:t>Based on our early stage of development and other relevant factors, we determined that the OPM was the most appropriate method for allocating our enterprise value to determine the estimated fair value of our common stock for valuations during 2019 and early 2020.</w:t>
      </w:r>
    </w:p>
    <w:p>
      <w:pPr>
        <w:spacing w:after="0" w:line="146" w:lineRule="exact"/>
        <w:rPr>
          <w:sz w:val="20"/>
          <w:szCs w:val="20"/>
          <w:color w:val="auto"/>
        </w:rPr>
      </w:pPr>
    </w:p>
    <w:p>
      <w:pPr>
        <w:ind w:left="160"/>
        <w:spacing w:after="0" w:line="239" w:lineRule="auto"/>
        <w:rPr>
          <w:sz w:val="20"/>
          <w:szCs w:val="20"/>
          <w:color w:val="auto"/>
        </w:rPr>
      </w:pPr>
      <w:r>
        <w:rPr>
          <w:rFonts w:ascii="Arial" w:cs="Arial" w:eastAsia="Arial" w:hAnsi="Arial"/>
          <w:sz w:val="17"/>
          <w:szCs w:val="17"/>
          <w:color w:val="auto"/>
        </w:rPr>
        <w:t>Beginning in March 2020, we used a hybrid method to determine the estimated fair value of our common stock, which included both the OPM and PWERM models.</w:t>
      </w:r>
    </w:p>
    <w:p>
      <w:pPr>
        <w:spacing w:after="0" w:line="146"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 The assumptions underlying these valuations represent our management’s best estimate, which involve inherent uncertainties and the application of management judgment. As a result, if factors or expected outcomes change and we use significantly different assumptions or estimates, our stock-based compensation could be materially different.</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060"/>
          </w:cols>
          <w:pgMar w:left="320" w:top="456" w:right="5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39" w:lineRule="auto"/>
        <w:rPr>
          <w:sz w:val="20"/>
          <w:szCs w:val="20"/>
          <w:color w:val="auto"/>
        </w:rPr>
      </w:pPr>
      <w:r>
        <w:rPr>
          <w:rFonts w:ascii="Arial" w:cs="Arial" w:eastAsia="Arial" w:hAnsi="Arial"/>
          <w:sz w:val="17"/>
          <w:szCs w:val="17"/>
          <w:color w:val="auto"/>
        </w:rPr>
        <w:t>After the completion of this offering, the fair value of each share of the underlying common stock will be determined based on the closing price as reported on the date of grant on the primary stock exchange on which our common stock is traded.</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Emerging Growth Company Status</w:t>
      </w:r>
    </w:p>
    <w:p>
      <w:pPr>
        <w:spacing w:after="0" w:line="91"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audited financial statements in a registration statement for an initial public offering, an exemption from the requirement to provide an auditor’s report on internal controls over financial reporting pursuant to the Sarbanes-Oxley Act,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50" w:lineRule="exact"/>
        <w:rPr>
          <w:sz w:val="20"/>
          <w:szCs w:val="20"/>
          <w:color w:val="auto"/>
        </w:rPr>
      </w:pPr>
    </w:p>
    <w:p>
      <w:pPr>
        <w:ind w:left="160" w:right="120"/>
        <w:spacing w:after="0" w:line="233" w:lineRule="auto"/>
        <w:rPr>
          <w:sz w:val="20"/>
          <w:szCs w:val="20"/>
          <w:color w:val="auto"/>
        </w:rPr>
      </w:pPr>
      <w:r>
        <w:rPr>
          <w:rFonts w:ascii="Arial" w:cs="Arial" w:eastAsia="Arial" w:hAnsi="Arial"/>
          <w:sz w:val="17"/>
          <w:szCs w:val="17"/>
          <w:color w:val="auto"/>
        </w:rPr>
        <w:t>We will remain an emerging growth company under the JOBS Act until the earliest of (i) the last day of our first fiscal year in which we have total annual gross revenue of $1.07 billion or more, (ii) the date on which we have issued more than $1.0 billion of non-convertible debt instruments during the previous three fiscal years, (iii) the date on which we are deemed a “large accelerated filer” under the rules of the SEC with at least $700.0 million of outstanding equity securities held by non-affiliates, or (iv) the last day of the fiscal year following the fifth anniversary of completion of this offering.</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w:t>
      </w:r>
    </w:p>
    <w:p>
      <w:pPr>
        <w:spacing w:after="0" w:line="77" w:lineRule="exact"/>
        <w:rPr>
          <w:sz w:val="20"/>
          <w:szCs w:val="20"/>
          <w:color w:val="auto"/>
        </w:rPr>
      </w:pPr>
    </w:p>
    <w:p>
      <w:pPr>
        <w:jc w:val="both"/>
        <w:ind w:left="160" w:right="80"/>
        <w:spacing w:after="0" w:line="236" w:lineRule="auto"/>
        <w:rPr>
          <w:sz w:val="20"/>
          <w:szCs w:val="20"/>
          <w:color w:val="auto"/>
        </w:rPr>
      </w:pPr>
      <w:r>
        <w:rPr>
          <w:rFonts w:ascii="Arial" w:cs="Arial" w:eastAsia="Arial" w:hAnsi="Arial"/>
          <w:sz w:val="17"/>
          <w:szCs w:val="17"/>
          <w:color w:val="auto"/>
        </w:rPr>
        <w:t>See Note 2 to our financial statements included elsewhere in this prospectus for more information about recent accounting pronouncements, the timing of their adoption, and our assessment, to the extent we have made one yet, of their potential impact on our financial condition of results of operations.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52"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As of December 31, 2020, we had cash and cash equivalents of $53.7 million, which cash equivalents consisted of money market funds.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restricted cash, and investments.</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040"/>
          </w:cols>
          <w:pgMar w:left="320" w:top="456" w:right="5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91"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We are a clinical stage biotechnology company focused on developing and commercializing transformative treatments for patients with serious immunological diseases. Our lead product candidate is atacicept, a fusion protein self-administered as a subcutaneous injection once weekly that blocks both B lymphocyte stimulator (BLyS) and a proliferation-inducing ligand (APRIL), which stimulate B cells and plasma cells to produce autoantibodies contributing to certain autoimmune diseases. We are conducting a Phase 2b clinical trial of atacicept in patients with immunoglobulin A nephropathy (IgAN), a disease with a high unmet medical need and no approved therapies. IgAN is a serious and progressive autoimmune disease of the kidney that is driven by the production of immunogenic galactose-deficient IgA1 (Gd-IgA1). IgAN patients with elevated Gd-IgA1 are at increased risk of kidney-related morbidity and mortality. As reported in a Phase 2a clinical trial of 16 patients conducted by Merck KGaA, Darmstadt, Germany, atacicept is the first and only molecule in development to demonstrate a 60% reduction in plasma Gd-IgA1 in IgAN patients (75 mg dose, n=4 at 24 weeks), which we believe can be disease modifying. We plan to initiate patient screening for our Phase 2b clinical trial in IgAN in the second quarter of 2021, and we expect to report topline results in the fourth quarter of 2022. In addition, we are evaluating additional diseases where atacicept’s reduction of autoantibodies may prove medically useful, including lupus nephritis (LN), a severe renal manifestation of systemic lupus erythematosus (SLE).</w:t>
      </w:r>
    </w:p>
    <w:p>
      <w:pPr>
        <w:spacing w:after="0" w:line="150" w:lineRule="exact"/>
        <w:rPr>
          <w:sz w:val="20"/>
          <w:szCs w:val="20"/>
          <w:color w:val="auto"/>
        </w:rPr>
      </w:pPr>
    </w:p>
    <w:p>
      <w:pPr>
        <w:ind w:left="160" w:right="100"/>
        <w:spacing w:after="0" w:line="232" w:lineRule="auto"/>
        <w:rPr>
          <w:sz w:val="20"/>
          <w:szCs w:val="20"/>
          <w:color w:val="auto"/>
        </w:rPr>
      </w:pPr>
      <w:r>
        <w:rPr>
          <w:rFonts w:ascii="Arial" w:cs="Arial" w:eastAsia="Arial" w:hAnsi="Arial"/>
          <w:sz w:val="17"/>
          <w:szCs w:val="17"/>
          <w:color w:val="auto"/>
        </w:rPr>
        <w:t>We estimate there are approximately 126,000 biopsy-confirmed IgAN patients in the United States, 136,000 in the European Union, and 130,000 in Japan. Up to 50% of patients diagnosed with IgAN develop end-stage renal disease (ESRD) within 20 years from initial diagnosis, requiring dialysis or kidney transplant. ESRD causes considerable morbidity and impact on patients’ lives and represents a significant health economic burden, which was estimated to be $49.2 billion in the United States in 2018. Despite this high level of morbidity, there are currently no approved treatments indicated for IgAN. The current standard of care consists of off-label use of renin-angiotensin-aldosterone system (RAAS) inhibitors, including angiotensin-converting enzyme (ACE) inhibitors and angiotensin II receptor blockers (ARBs), as well as steroids. We estimate the U.S. market opportunity for novel therapeutics in IgAN is approximately $4.0 billion to $8.0 billion annually, based on the disease prevalence and the segment of IgAN patients at high risk of progressing to ESRD. In Europe and Japan, we estimate the annual market opportunity for novel IgAN therapeutics to be $1.0 billion and $600 million, respectively.</w:t>
      </w:r>
    </w:p>
    <w:p>
      <w:pPr>
        <w:spacing w:after="0" w:line="145"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Atacicept has been shown in clinical trials to reduce Gd-IgA1, which is central to the pathogenesis of IgAN, and therefore has the potential to be the first disease modifying therapy for IgAN due to its ability to act on core pathophysiology processes. We believe that atacicept’s mechanism has the potential to drive clinical success by measures designed to assess efficacy in IgAN and other immunologic diseases. BLyS inhibition has been clinically and commercially validated through the approval of Benlysta (belimumab) in both SLE and lupus nephritis (LN). Preclinical and clinical evidence supports that atacicept’s mechanism of dual inhibition of BLyS and APRIL may provide improved clinical outcomes, measured by endpoints designed to assess efficacy, than inhibiting either signal alone.</w:t>
      </w:r>
    </w:p>
    <w:p>
      <w:pPr>
        <w:spacing w:after="0" w:line="145" w:lineRule="exact"/>
        <w:rPr>
          <w:sz w:val="20"/>
          <w:szCs w:val="20"/>
          <w:color w:val="auto"/>
        </w:rPr>
      </w:pPr>
    </w:p>
    <w:p>
      <w:pPr>
        <w:ind w:left="160" w:right="180"/>
        <w:spacing w:after="0" w:line="233" w:lineRule="auto"/>
        <w:rPr>
          <w:sz w:val="20"/>
          <w:szCs w:val="20"/>
          <w:color w:val="auto"/>
        </w:rPr>
      </w:pPr>
      <w:r>
        <w:rPr>
          <w:rFonts w:ascii="Arial" w:cs="Arial" w:eastAsia="Arial" w:hAnsi="Arial"/>
          <w:sz w:val="17"/>
          <w:szCs w:val="17"/>
          <w:color w:val="auto"/>
        </w:rPr>
        <w:t>We have worldwide, exclusive rights to atacicept from Ares Trading S.A. (Ares), an affiliate of Merck KGaA, Darmstadt, Germany, pursuant to a license agreement (Ares Agreement), which advanced atacicept in randomized, double-blind, placebo-controlled clinical trials for several autoimmune diseases in over 1,500 patients, in which it was well tolerated. In IgAN, Ares conducted arandomized, double-blind, placebo-controlled Phase 2a trial, known as JANUS. Results from the JANUS trial showed a dose-dependent effect of atacicept 25mg and 75mg weekly on serum Gd-IgA1, proteinuria and key biomarkers, including serum immunoglobulin levels. Atacicept was observed to be generally well tolerated. Specifically, the atacicept 75 mg dose arm demonstrated a 60% reduction in serum Gd-IgA1.</w:t>
      </w:r>
    </w:p>
    <w:p>
      <w:pPr>
        <w:spacing w:after="0" w:line="145"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We are conducting a global, randomized, double-blind, placebo-controlled Phase 2b clinical trial in IgAN, which we refer to as ORIGIN. The ORIGIN trial is designed to evaluate three subcutaneous weekly doses of atacicept (25 mg, 75 mg, and 150 mg) and their impact on the reduction of proteinuria as the primary endpoint. A significant reduction in proteinuria, as measured by urine protein to creatinine ratio (UPCR) in a 24-hour urine collection, is</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080"/>
          </w:cols>
          <w:pgMar w:left="320" w:top="456"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associated with improved renal outcomes in patients with IgAN. UPCR is a surrogate endpoint endorsed by the U.S. Food and Drug Administration (FDA) for primary glomerular diseases associated with significant proteinuria, including IgAN. The ORIGIN trial is powered to demonstrate a statistically significant difference between atacicept and placebo in decrease of proteinuria. Secondary endpoints include the difference in kidney function between treated and placebo patients as measured by estimated glomerular filtration rate (eGFR) and reduction in Gd-IgA1. We plan to initiate patient screening for our Phase 2b clinical trial in the second quarter of 2021. We expect to report topline results from ORIGIN in the fourth quarter of 2022.</w:t>
      </w:r>
    </w:p>
    <w:p>
      <w:pPr>
        <w:spacing w:after="0" w:line="145"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We are evaluating further development of atacicept as a potential treatment for patients with LN, a severe renal manifestation of SLE. We estimate that there are approximately 110,000 LN patients in the United States, 69,000 in the European Union, and 22,000 in Japan. We estimate the market for novel LN therapeutics annually to be approximately $2.0 to $5.0 billion, $600 million, and $200 million in United States, Europe, and Japan, respectively. Significant unmet need for improved efficacy persists for these patients despite the recent approval of the first two LN-specific therapies. Fewer than half of patients treated for LN have a complete response to therapy, and among patients without a complete response, over half will have non-functioning kidneys within five years. Benlysta (belimumab), a BlyS-only inhibitor, is one of the two therapies now approved for patients with LN. Both BlyS and APRIL levels are increased in patients with SLE, suggesting that dual inhibition by atacicept may be more potent than blocking BLyS alone and has the benefit of targeting plasma cells in addition to B cells. Merck KGaA, Darmstadt, Germany previously initiated a randomized, double-blind, placebo-controlled Phase 2/3 clinical trial of atacicept in LN, the APRIL-LN trial, aimed to evaluate the efficacy and safety of atacicept at 150 mg twice weekly for four weeks - then weekly - in patients with active LN. However, this trial was terminated early due to two subjects developing hypogammaglobulinemia with induction therapy (MMF and CS) which continued to worsen when initiating atacicept and subsequently developed pneumonia. In a prior Phase 2 clinical trial of atacicept in SLE also conducted by Merck KGaA, Darmstadt, Germany, despite missing its primary endpoint in the broader SLE study population, atacicept achieved positive clinical data on multiple measures within the pre-specified High Disease Activity patient segment (defined as Systemic Lupus Erythematosus Disease Activity Index 2000 (SLEDAI-2K) ³ 10 at screening), including reduction of renal flares, which we believe supports atacicept’s applicability in LN. Because both preclinical and clinical evidence suggests atacicept’s dual inhibition of BLyS and APRIL may provide improved clinical outcomes, measured by endpoints designed to assess efficacy, than inhibiting either signal alone, we believe there is a strong rationale to conduct a clinical trial of atacicept in LN. We intend to discuss our development plans for LN with the FDA and obtain feedback in the second half of 2021 and expect to initiate a Phase 2b or Phase 3 clinical trial in 2022.</w:t>
      </w:r>
    </w:p>
    <w:p>
      <w:pPr>
        <w:spacing w:after="0" w:line="157"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As of April 30, 2021 our licensed patent portfolio related to atacicept contains approximately 15 issued U.S. patents, as well as certain foreign counterparts of a subset of these patents in several foreign countries, including countries within the European Patent Convention and the Eurasian Patent Organization. Because atacicept is a biologic, marketing approval would also provide 12 years of market exclusivity from the approval date of a Biologics License Application (BLA) in the United States. Additionally, we plan to seek orphan drug designation for atacicept in IgAN from the FDA and European Medicines Agency (EMA), which would allow us to obtain regulatory exclusivity protection from the approval date for seven years in the United States and 10 years in the European Union.</w:t>
      </w:r>
    </w:p>
    <w:p>
      <w:pPr>
        <w:spacing w:after="0" w:line="145"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We were founded and are led by a team of experienced drug development professionals who have proven track records in clinical and commercial development and have led or been involved in the approvals of 10 medicines from Gilead Sciences. Inc. (Gilead) and Genentech, Inc. (Genentech), including numerous drugs within Gilead’s multi-billion blockbuster HIV and HCV franchises. Our Chief Executive Officer, Marshall Fordyce, M.D., brings more than 15 years of experience leading teams in clinical translation, development, and commercialization of new treatments. Earlier in his career, Dr. Fordyce served as Gilead’s Senior Director of Clinical Research where he contributed to seven new drug approvals and served as project lead for Gilead’s tenofovir alafenamide development program that led to five commercial products, including Genvoya and Descovy, which collectively generated over $12.0 billion in worldwide sales in 2019. Our senior management team also includes: Chief Medical Officer, Celia Lin, M.D., who joined from Genentech and was previously at Amgen Inc., where she led Phase 3 global trial execution in various therapeutic areas, as well as a regulatory filing in an orphan disease; Chief Development Officer, Joanne Curley, Ph.D., who was formerly head of Portfolio Management at Gilead; Chief Business Officer, Lauren Frenz, who held positions of increasing responsibility within Gilead’s commercial organization; Chief Financial</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080"/>
          </w:cols>
          <w:pgMar w:left="320" w:top="456"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Officer, Jonathan Wolter, who is a partner at FLG Partners, LLC, and has served as Chief Financial Officer for multiple public and private companies; Senior Vice President, Development Operations, Tom Doan, who was formerly Executive Director of Clinical Operations and Therapeutic Area Head of Inflammation and Respiratory at Gilead; Senior Vice President and Head of Product Development and Manufacturing, Tad Thomas, Ph.D., who was formerly Associate Vice President, Technical Operations at Codexis, Inc. and held previous manufacturing leadership roles at Bayer HealthCare LLC and other biopharmaceutical companies; and Senior Vice President, Finance and Chief Accounting Officer, Joseph Young, who was formerly Senior Vice President, Finance and Treasurer at Plexxikon Inc. In conjunction with the Ares Agreement, we completed an approximately $80.0 million Series C redeemable convertible preferred stock financing led by Abingworth LLP. Other investors included Sofinnova Investments, Longitude Capital, Fidelity Management &amp; Research Company LLC, Surveyor Capital (a Citadel company), Octagon Capital, Kleiner Perkins, GV (formerly Google Ventures), and Alexandria Venture Investments.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Business Principles and Strategy</w:t>
      </w:r>
    </w:p>
    <w:p>
      <w:pPr>
        <w:spacing w:after="0" w:line="91" w:lineRule="exact"/>
        <w:rPr>
          <w:sz w:val="20"/>
          <w:szCs w:val="20"/>
          <w:color w:val="auto"/>
        </w:rPr>
      </w:pPr>
    </w:p>
    <w:p>
      <w:pPr>
        <w:jc w:val="both"/>
        <w:ind w:left="160" w:right="240"/>
        <w:spacing w:after="0" w:line="236" w:lineRule="auto"/>
        <w:rPr>
          <w:sz w:val="20"/>
          <w:szCs w:val="20"/>
          <w:color w:val="auto"/>
        </w:rPr>
      </w:pPr>
      <w:r>
        <w:rPr>
          <w:rFonts w:ascii="Arial" w:cs="Arial" w:eastAsia="Arial" w:hAnsi="Arial"/>
          <w:sz w:val="17"/>
          <w:szCs w:val="17"/>
          <w:color w:val="auto"/>
        </w:rPr>
        <w:t>Our goal is to develop and commercialize transformative treatments for patients suffering from severe immunological diseases. We believe the successful translation of biomedical science into innovative therapeutic products for patients with immunological diseases will enable outsized growth over the next decade and beyond. Specifically, our strategy is based on the following business principles:</w:t>
      </w:r>
    </w:p>
    <w:p>
      <w:pPr>
        <w:spacing w:after="0" w:line="166" w:lineRule="exact"/>
        <w:rPr>
          <w:sz w:val="20"/>
          <w:szCs w:val="20"/>
          <w:color w:val="auto"/>
        </w:rPr>
      </w:pPr>
    </w:p>
    <w:p>
      <w:pPr>
        <w:ind w:left="1020" w:right="360" w:hanging="425"/>
        <w:spacing w:after="0" w:line="238" w:lineRule="auto"/>
        <w:tabs>
          <w:tab w:leader="none" w:pos="1020" w:val="left"/>
        </w:tabs>
        <w:numPr>
          <w:ilvl w:val="0"/>
          <w:numId w:val="59"/>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Develop disease modifying medicines to improve patients’ lives. </w:t>
      </w:r>
      <w:r>
        <w:rPr>
          <w:rFonts w:ascii="Arial" w:cs="Arial" w:eastAsia="Arial" w:hAnsi="Arial"/>
          <w:sz w:val="17"/>
          <w:szCs w:val="17"/>
          <w:color w:val="auto"/>
        </w:rPr>
        <w:t>Our team seeks to bring transformative medical products to</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with severe immunological diseases, who often receive steroids for treatment. The non-specific immunologic effect of steroids, with known acute and chronic side effects, present an important opportunity for innovation. We aim to develop and commercialize disease modifying drugs that target the source of disease, minimize side effects, and have high potential to meaningfully change standard medical care and improve patients’ lives.</w:t>
      </w:r>
    </w:p>
    <w:p>
      <w:pPr>
        <w:spacing w:after="0" w:line="7" w:lineRule="exact"/>
        <w:rPr>
          <w:rFonts w:ascii="MS PGothic" w:cs="MS PGothic" w:eastAsia="MS PGothic" w:hAnsi="MS PGothic"/>
          <w:sz w:val="12"/>
          <w:szCs w:val="12"/>
          <w:color w:val="auto"/>
        </w:rPr>
      </w:pPr>
    </w:p>
    <w:p>
      <w:pPr>
        <w:ind w:left="1020" w:right="180" w:hanging="425"/>
        <w:spacing w:after="0" w:line="241" w:lineRule="auto"/>
        <w:tabs>
          <w:tab w:leader="none" w:pos="1020" w:val="left"/>
        </w:tabs>
        <w:numPr>
          <w:ilvl w:val="0"/>
          <w:numId w:val="59"/>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Establish clear line-of-sight to successful products. </w:t>
      </w:r>
      <w:r>
        <w:rPr>
          <w:rFonts w:ascii="Arial" w:cs="Arial" w:eastAsia="Arial" w:hAnsi="Arial"/>
          <w:sz w:val="17"/>
          <w:szCs w:val="17"/>
          <w:color w:val="auto"/>
        </w:rPr>
        <w:t>We apply our deep drug development experience, scientific rigor, and</w:t>
      </w:r>
      <w:r>
        <w:rPr>
          <w:rFonts w:ascii="Arial" w:cs="Arial" w:eastAsia="Arial" w:hAnsi="Arial"/>
          <w:sz w:val="17"/>
          <w:szCs w:val="17"/>
          <w:b w:val="1"/>
          <w:bCs w:val="1"/>
          <w:color w:val="auto"/>
        </w:rPr>
        <w:t xml:space="preserve"> </w:t>
      </w:r>
      <w:r>
        <w:rPr>
          <w:rFonts w:ascii="Arial" w:cs="Arial" w:eastAsia="Arial" w:hAnsi="Arial"/>
          <w:sz w:val="17"/>
          <w:szCs w:val="17"/>
          <w:color w:val="auto"/>
        </w:rPr>
        <w:t>disciplined decision making to establish clear line-of-sight along the full spectrum of drug development. We pursue biologic targets, product candidates, and disease indications with a de-risked profile and capital efficient development pathway, and optimize for high probability of clinical, regulatory, and commercial success.</w:t>
      </w:r>
    </w:p>
    <w:p>
      <w:pPr>
        <w:spacing w:after="0" w:line="3" w:lineRule="exact"/>
        <w:rPr>
          <w:rFonts w:ascii="MS PGothic" w:cs="MS PGothic" w:eastAsia="MS PGothic" w:hAnsi="MS PGothic"/>
          <w:sz w:val="12"/>
          <w:szCs w:val="12"/>
          <w:color w:val="auto"/>
        </w:rPr>
      </w:pPr>
    </w:p>
    <w:p>
      <w:pPr>
        <w:ind w:left="1020" w:right="80" w:hanging="425"/>
        <w:spacing w:after="0" w:line="237" w:lineRule="auto"/>
        <w:tabs>
          <w:tab w:leader="none" w:pos="1020" w:val="left"/>
        </w:tabs>
        <w:numPr>
          <w:ilvl w:val="0"/>
          <w:numId w:val="59"/>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Build a leading biotech company that delivers innovative medicines to patients. </w:t>
      </w:r>
      <w:r>
        <w:rPr>
          <w:rFonts w:ascii="Arial" w:cs="Arial" w:eastAsia="Arial" w:hAnsi="Arial"/>
          <w:sz w:val="17"/>
          <w:szCs w:val="17"/>
          <w:color w:val="auto"/>
        </w:rPr>
        <w:t>We believe our team’s expertise and our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culture are fundamental to our success. Our Research and Development team is led by experienced drug development executives with proven track records in clinical and commercial development who have led or been involved in the approvals of more than 12 medicines from leading companies, including Gilead Sciences and Genentech. We leverage our team’s know-how with additional outsourced resources and enable focused clinical development of our product candidates with the goal to improve patients’ lives.</w:t>
      </w:r>
    </w:p>
    <w:p>
      <w:pPr>
        <w:spacing w:after="0" w:line="146" w:lineRule="exact"/>
        <w:rPr>
          <w:sz w:val="20"/>
          <w:szCs w:val="20"/>
          <w:color w:val="auto"/>
        </w:rPr>
      </w:pPr>
    </w:p>
    <w:p>
      <w:pPr>
        <w:ind w:left="160" w:right="160"/>
        <w:spacing w:after="0" w:line="236" w:lineRule="auto"/>
        <w:rPr>
          <w:sz w:val="20"/>
          <w:szCs w:val="20"/>
          <w:color w:val="auto"/>
        </w:rPr>
      </w:pPr>
      <w:r>
        <w:rPr>
          <w:rFonts w:ascii="Arial" w:cs="Arial" w:eastAsia="Arial" w:hAnsi="Arial"/>
          <w:sz w:val="17"/>
          <w:szCs w:val="17"/>
          <w:color w:val="auto"/>
        </w:rPr>
        <w:t>These principles have guided us to the successful in-licensing of atacicept from Ares with worldwide rights for development and commercialization in all indications. We take a gated-capital raise approach and scale product candidate investment and exposure in close step with key development milestones to ensure high return on development costs.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key elements of our strategy to achieve our goal include:</w:t>
      </w:r>
    </w:p>
    <w:p>
      <w:pPr>
        <w:spacing w:after="0" w:line="172" w:lineRule="exact"/>
        <w:rPr>
          <w:sz w:val="20"/>
          <w:szCs w:val="20"/>
          <w:color w:val="auto"/>
        </w:rPr>
      </w:pPr>
    </w:p>
    <w:p>
      <w:pPr>
        <w:ind w:left="1020" w:hanging="425"/>
        <w:spacing w:after="0" w:line="241" w:lineRule="auto"/>
        <w:tabs>
          <w:tab w:leader="none" w:pos="1020" w:val="left"/>
        </w:tabs>
        <w:numPr>
          <w:ilvl w:val="0"/>
          <w:numId w:val="60"/>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Complete global development of atacicept in IgAN. </w:t>
      </w:r>
      <w:r>
        <w:rPr>
          <w:rFonts w:ascii="Arial" w:cs="Arial" w:eastAsia="Arial" w:hAnsi="Arial"/>
          <w:sz w:val="17"/>
          <w:szCs w:val="17"/>
          <w:color w:val="auto"/>
        </w:rPr>
        <w:t>We plan to initiate patient screening for our Phase 2b clinical trial in IgAN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second quarter of 2021. We expect to report topline results from ORIGIN in the fourth quarter of 2022. If these data are positive, we plan to seek an accelerated approval path in the United States by the FDA and in the European Union by the EMA while initiating a pivotal Phase 3 clinical trial in 2023.</w:t>
      </w:r>
    </w:p>
    <w:p>
      <w:pPr>
        <w:spacing w:after="0" w:line="3" w:lineRule="exact"/>
        <w:rPr>
          <w:rFonts w:ascii="MS PGothic" w:cs="MS PGothic" w:eastAsia="MS PGothic" w:hAnsi="MS PGothic"/>
          <w:sz w:val="12"/>
          <w:szCs w:val="12"/>
          <w:color w:val="auto"/>
        </w:rPr>
      </w:pPr>
    </w:p>
    <w:p>
      <w:pPr>
        <w:ind w:left="1020" w:right="40" w:hanging="425"/>
        <w:spacing w:after="0" w:line="238" w:lineRule="auto"/>
        <w:tabs>
          <w:tab w:leader="none" w:pos="1020" w:val="left"/>
        </w:tabs>
        <w:numPr>
          <w:ilvl w:val="0"/>
          <w:numId w:val="60"/>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Advance atacicept in lupus nephritis (LN). </w:t>
      </w:r>
      <w:r>
        <w:rPr>
          <w:rFonts w:ascii="Arial" w:cs="Arial" w:eastAsia="Arial" w:hAnsi="Arial"/>
          <w:sz w:val="17"/>
          <w:szCs w:val="17"/>
          <w:color w:val="auto"/>
        </w:rPr>
        <w:t>LN is a frequent but devastating complication of SLE. The recent FDA approval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anti-BLyS antibody, Benlysta (belimumab), provides clinical and regulatory precedent upon which to build our program. We believe that atacicept could offer a significant efficacy advantage for LN patients with its dual anti-APRIL and anti-BlyS mechanism. We intend to discuss our development plans for LN with the FDA and obtain feedback in the second half of 2021 and expect to initiate a Phase 2b or Phase 3 clinical trial in 2022.</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060"/>
          </w:cols>
          <w:pgMar w:left="320" w:top="456" w:right="5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020" w:right="80" w:hanging="425"/>
        <w:spacing w:after="0" w:line="246" w:lineRule="auto"/>
        <w:tabs>
          <w:tab w:leader="none" w:pos="1020" w:val="left"/>
        </w:tabs>
        <w:numPr>
          <w:ilvl w:val="0"/>
          <w:numId w:val="61"/>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Explore additional disease areas where atacicept holds significant therapeutic promise. </w:t>
      </w:r>
      <w:r>
        <w:rPr>
          <w:rFonts w:ascii="Arial" w:cs="Arial" w:eastAsia="Arial" w:hAnsi="Arial"/>
          <w:sz w:val="17"/>
          <w:szCs w:val="17"/>
          <w:color w:val="auto"/>
        </w:rPr>
        <w:t>By targeting APRIL and BLyS,</w:t>
      </w:r>
      <w:r>
        <w:rPr>
          <w:rFonts w:ascii="Arial" w:cs="Arial" w:eastAsia="Arial" w:hAnsi="Arial"/>
          <w:sz w:val="17"/>
          <w:szCs w:val="17"/>
          <w:b w:val="1"/>
          <w:bCs w:val="1"/>
          <w:color w:val="auto"/>
        </w:rPr>
        <w:t xml:space="preserve"> </w:t>
      </w:r>
      <w:r>
        <w:rPr>
          <w:rFonts w:ascii="Arial" w:cs="Arial" w:eastAsia="Arial" w:hAnsi="Arial"/>
          <w:sz w:val="17"/>
          <w:szCs w:val="17"/>
          <w:color w:val="auto"/>
        </w:rPr>
        <w:t>atacicept’s ability to reduce disease causing autoantibodies may provide clinical benefit. We intend to explore additional immunologic diseases where BLyS and APRIL are abnormally elevated, or where autoantibodies play an important role.</w:t>
      </w:r>
    </w:p>
    <w:p>
      <w:pPr>
        <w:ind w:left="1020" w:right="100" w:hanging="425"/>
        <w:spacing w:after="0" w:line="246" w:lineRule="auto"/>
        <w:tabs>
          <w:tab w:leader="none" w:pos="1020" w:val="left"/>
        </w:tabs>
        <w:numPr>
          <w:ilvl w:val="0"/>
          <w:numId w:val="61"/>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Build and scale organizational capabilities to support commercialization of atacicept. </w:t>
      </w:r>
      <w:r>
        <w:rPr>
          <w:rFonts w:ascii="Arial" w:cs="Arial" w:eastAsia="Arial" w:hAnsi="Arial"/>
          <w:sz w:val="17"/>
          <w:szCs w:val="17"/>
          <w:color w:val="auto"/>
        </w:rPr>
        <w:t>Under the leadership of our experienced</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team, we plan to build a specialized commercial organization to launch atacicept in the United States and other key markets, if approved. Within certain ex-U.S. markets, we may consider strategic collaborations for commercialization.</w:t>
      </w:r>
    </w:p>
    <w:p>
      <w:pPr>
        <w:ind w:left="1020" w:hanging="425"/>
        <w:spacing w:after="0" w:line="241" w:lineRule="auto"/>
        <w:tabs>
          <w:tab w:leader="none" w:pos="1020" w:val="left"/>
        </w:tabs>
        <w:numPr>
          <w:ilvl w:val="0"/>
          <w:numId w:val="61"/>
        </w:numPr>
        <w:rPr>
          <w:rFonts w:ascii="MS PGothic" w:cs="MS PGothic" w:eastAsia="MS PGothic" w:hAnsi="MS PGothic"/>
          <w:sz w:val="12"/>
          <w:szCs w:val="12"/>
          <w:color w:val="auto"/>
        </w:rPr>
      </w:pPr>
      <w:r>
        <w:rPr>
          <w:rFonts w:ascii="Arial" w:cs="Arial" w:eastAsia="Arial" w:hAnsi="Arial"/>
          <w:sz w:val="17"/>
          <w:szCs w:val="17"/>
          <w:b w:val="1"/>
          <w:bCs w:val="1"/>
          <w:color w:val="auto"/>
        </w:rPr>
        <w:t xml:space="preserve">Expand our pipeline by acquiring or in-licensing product candidates for immunologic diseases with unmet needs. </w:t>
      </w:r>
      <w:r>
        <w:rPr>
          <w:rFonts w:ascii="Arial" w:cs="Arial" w:eastAsia="Arial" w:hAnsi="Arial"/>
          <w:sz w:val="17"/>
          <w:szCs w:val="17"/>
          <w:color w:val="auto"/>
        </w:rPr>
        <w:t>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our expertise and track record will enable us to identify and acquire or in-license additional product candidates that represent opportunities to expand the potential value of our pipeline. We will leverage our lean clinical development operation to bring to market additional product candidates to address immunologic diseases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Atacicept in IgAN</w:t>
      </w:r>
    </w:p>
    <w:p>
      <w:pPr>
        <w:spacing w:after="0" w:line="91"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We are developing atacicept as a potential treatment for patients with IgAN, a disease with a high unmet medical need and currently no approved therapies. IgAN is a serious and progressive autoimmune disease of the kidney, that is driven by the production of pathogenic Gd-IgA1. IgAN patients with elevated Gd-IgA1 are at increased risk of kidney-related morbidity and mortality. As reported in the Phase 2a JANUS trial, atacicept is the first and only molecule in development to demonstrate a 60% reduction in plasma Gd-IgA1 in IgAN patients, suggesting atacicept targets the source of disease in these patients. Based on these encouraging results, we are initiating the randomized, double-blind, placebo-controlled Phase 2b ORIGIN trial to further evaluate the efficacy and safety of atacicept in patients with IgAN. We expect to report topline results in the fourth quarter of 2022, and if positive, we plan to seek an accelerated approval path in the United States by the FDA and in the European Union by the EMA while initiating a pivotal Phase 3 clinical trial in 2023. We believe that atacicept has the potential to be the best-in-class and the leading B cell-targeted therapy for IgAN. Up to 50% of confirmed IgAN patients progress to ESRD, requiring dialysis or kidney transplant. ESRD causes significant morbidity and impact on patients’ lives and represents a significant health economic burden estimated to be over $40.0 billion annually in the United States. Despite this high level of morbidity, there is currently no approved treatment indicated for IgAN.</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040"/>
          </w:cols>
          <w:pgMar w:left="320" w:top="456" w:right="5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Pathophysiology of IgAN</w:t>
      </w:r>
    </w:p>
    <w:p>
      <w:pPr>
        <w:spacing w:after="0" w:line="52" w:lineRule="exact"/>
        <w:rPr>
          <w:sz w:val="20"/>
          <w:szCs w:val="20"/>
          <w:color w:val="auto"/>
        </w:rPr>
      </w:pPr>
    </w:p>
    <w:p>
      <w:pPr>
        <w:ind w:left="160" w:right="180"/>
        <w:spacing w:after="0" w:line="269" w:lineRule="auto"/>
        <w:rPr>
          <w:sz w:val="20"/>
          <w:szCs w:val="20"/>
          <w:color w:val="auto"/>
        </w:rPr>
      </w:pPr>
      <w:r>
        <w:rPr>
          <w:rFonts w:ascii="Arial" w:cs="Arial" w:eastAsia="Arial" w:hAnsi="Arial"/>
          <w:sz w:val="16"/>
          <w:szCs w:val="16"/>
          <w:color w:val="auto"/>
        </w:rPr>
        <w:t>The IgA antibody plays a key role in the immune system by protecting the body from foreign substances such as bacteria and viruses. Patients with IgAN produce elevated levels of Gd-IgA1. This abnormal glycosylation pattern of IgA1 is of central importance to the disease etiology.</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shown in Figure 1 below, a multi-step process leads to the ultimate development of progressive renal injury.</w:t>
      </w:r>
    </w:p>
    <w:p>
      <w:pPr>
        <w:spacing w:after="0" w:line="132"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Figure 1: IgAN Pathophysiology—Overview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138430</wp:posOffset>
            </wp:positionV>
            <wp:extent cx="5137785" cy="25393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37785" cy="253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0"/>
        <w:spacing w:after="0" w:line="236" w:lineRule="auto"/>
        <w:rPr>
          <w:sz w:val="20"/>
          <w:szCs w:val="20"/>
          <w:color w:val="auto"/>
        </w:rPr>
      </w:pPr>
      <w:r>
        <w:rPr>
          <w:rFonts w:ascii="Arial" w:cs="Arial" w:eastAsia="Arial" w:hAnsi="Arial"/>
          <w:sz w:val="17"/>
          <w:szCs w:val="17"/>
          <w:color w:val="auto"/>
        </w:rPr>
        <w:t>B cells, which mature into plasma cells, are abnormally primed in the Peyer’s patch region of the ileum of the intestines, potentially due to a combination of genetic predisposition and environmental, bacterial or dietary factors. BLyS promotes B cell maturation and survival, increasing the number of disease causing B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-361950</wp:posOffset>
            </wp:positionV>
            <wp:extent cx="153035" cy="153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3035" cy="15303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7"/>
          <w:szCs w:val="17"/>
          <w:color w:val="auto"/>
        </w:rPr>
        <w:t>APRIL, a factor important for plasma cell survival, becomes upregulated, resulting in increased numbers of disease-causing plasma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153035" cy="153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3035" cy="153035"/>
                    </a:xfrm>
                    <a:prstGeom prst="rect">
                      <a:avLst/>
                    </a:prstGeom>
                    <a:noFill/>
                  </pic:spPr>
                </pic:pic>
              </a:graphicData>
            </a:graphic>
          </wp:anchor>
        </w:drawing>
      </w:r>
    </w:p>
    <w:p>
      <w:pPr>
        <w:spacing w:after="0" w:line="239" w:lineRule="exact"/>
        <w:rPr>
          <w:sz w:val="20"/>
          <w:szCs w:val="20"/>
          <w:color w:val="auto"/>
        </w:rPr>
      </w:pPr>
    </w:p>
    <w:p>
      <w:pPr>
        <w:ind w:left="600" w:right="100"/>
        <w:spacing w:after="0" w:line="269" w:lineRule="auto"/>
        <w:rPr>
          <w:sz w:val="20"/>
          <w:szCs w:val="20"/>
          <w:color w:val="auto"/>
        </w:rPr>
      </w:pPr>
      <w:r>
        <w:rPr>
          <w:rFonts w:ascii="Arial" w:cs="Arial" w:eastAsia="Arial" w:hAnsi="Arial"/>
          <w:sz w:val="16"/>
          <w:szCs w:val="16"/>
          <w:color w:val="auto"/>
        </w:rPr>
        <w:t>APRIL increases the number of plasma cells and increases antibody class switching, which is a mechanism that changes cells production from one immunoglobulin to another, causing an increase in the production of immunogenic Gd-IgA1. (See “Hit 1” in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-257175</wp:posOffset>
            </wp:positionV>
            <wp:extent cx="153035" cy="153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3035" cy="153035"/>
                    </a:xfrm>
                    <a:prstGeom prst="rect">
                      <a:avLst/>
                    </a:prstGeom>
                    <a:noFill/>
                  </pic:spPr>
                </pic:pic>
              </a:graphicData>
            </a:graphic>
          </wp:anchor>
        </w:drawing>
      </w:r>
    </w:p>
    <w:p>
      <w:pPr>
        <w:spacing w:after="0" w:line="22" w:lineRule="exact"/>
        <w:rPr>
          <w:sz w:val="20"/>
          <w:szCs w:val="20"/>
          <w:color w:val="auto"/>
        </w:rPr>
      </w:pPr>
    </w:p>
    <w:p>
      <w:pPr>
        <w:ind w:left="600" w:right="180"/>
        <w:spacing w:after="0" w:line="239" w:lineRule="auto"/>
        <w:rPr>
          <w:sz w:val="20"/>
          <w:szCs w:val="20"/>
          <w:color w:val="auto"/>
        </w:rPr>
      </w:pPr>
      <w:r>
        <w:rPr>
          <w:rFonts w:ascii="Arial" w:cs="Arial" w:eastAsia="Arial" w:hAnsi="Arial"/>
          <w:sz w:val="17"/>
          <w:szCs w:val="17"/>
          <w:color w:val="auto"/>
        </w:rPr>
        <w:t>The Gd-IgA1 antibodies are immunogenic when found in the systemic circulation, which triggers autoantibodies, or antibodies created by the body in response to a constituent of its own tissue. (See “Hit 2” in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-242570</wp:posOffset>
            </wp:positionV>
            <wp:extent cx="153035" cy="153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3035" cy="153035"/>
                    </a:xfrm>
                    <a:prstGeom prst="rect">
                      <a:avLst/>
                    </a:prstGeom>
                    <a:noFill/>
                  </pic:spPr>
                </pic:pic>
              </a:graphicData>
            </a:graphic>
          </wp:anchor>
        </w:drawing>
      </w:r>
    </w:p>
    <w:p>
      <w:pPr>
        <w:spacing w:after="0" w:line="45" w:lineRule="exact"/>
        <w:rPr>
          <w:sz w:val="20"/>
          <w:szCs w:val="20"/>
          <w:color w:val="auto"/>
        </w:rPr>
      </w:pPr>
    </w:p>
    <w:p>
      <w:pPr>
        <w:ind w:left="600" w:right="240"/>
        <w:spacing w:after="0" w:line="239" w:lineRule="auto"/>
        <w:rPr>
          <w:sz w:val="20"/>
          <w:szCs w:val="20"/>
          <w:color w:val="auto"/>
        </w:rPr>
      </w:pPr>
      <w:r>
        <w:rPr>
          <w:rFonts w:ascii="Arial" w:cs="Arial" w:eastAsia="Arial" w:hAnsi="Arial"/>
          <w:sz w:val="17"/>
          <w:szCs w:val="17"/>
          <w:color w:val="auto"/>
        </w:rPr>
        <w:t>Autoantibodies against Gd-IgA lead to the formation of pathogenic immune complexes, or clusters of antibodies. (See “Hit 3” in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-242570</wp:posOffset>
            </wp:positionV>
            <wp:extent cx="153035" cy="153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3035" cy="153035"/>
                    </a:xfrm>
                    <a:prstGeom prst="rect">
                      <a:avLst/>
                    </a:prstGeom>
                    <a:noFill/>
                  </pic:spPr>
                </pic:pic>
              </a:graphicData>
            </a:graphic>
          </wp:anchor>
        </w:drawing>
      </w:r>
    </w:p>
    <w:p>
      <w:pPr>
        <w:spacing w:after="0" w:line="45" w:lineRule="exact"/>
        <w:rPr>
          <w:sz w:val="20"/>
          <w:szCs w:val="20"/>
          <w:color w:val="auto"/>
        </w:rPr>
      </w:pPr>
    </w:p>
    <w:p>
      <w:pPr>
        <w:ind w:left="600" w:right="320"/>
        <w:spacing w:after="0" w:line="239" w:lineRule="auto"/>
        <w:rPr>
          <w:sz w:val="20"/>
          <w:szCs w:val="20"/>
          <w:color w:val="auto"/>
        </w:rPr>
      </w:pPr>
      <w:r>
        <w:rPr>
          <w:rFonts w:ascii="Arial" w:cs="Arial" w:eastAsia="Arial" w:hAnsi="Arial"/>
          <w:sz w:val="17"/>
          <w:szCs w:val="17"/>
          <w:color w:val="auto"/>
        </w:rPr>
        <w:t>Pathogenic immune complexes are deposited and become trapped in the kidney’s glomeruli and initiate an inflammatory response that damages the membranes, resulting in protein and blood leaking into the urine. (See “Hit 4” in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-242570</wp:posOffset>
            </wp:positionV>
            <wp:extent cx="153035" cy="153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3035" cy="153035"/>
                    </a:xfrm>
                    <a:prstGeom prst="rect">
                      <a:avLst/>
                    </a:prstGeom>
                    <a:noFill/>
                  </pic:spPr>
                </pic:pic>
              </a:graphicData>
            </a:graphic>
          </wp:anchor>
        </w:drawing>
      </w:r>
    </w:p>
    <w:p>
      <w:pPr>
        <w:spacing w:after="0" w:line="45" w:lineRule="exact"/>
        <w:rPr>
          <w:sz w:val="20"/>
          <w:szCs w:val="20"/>
          <w:color w:val="auto"/>
        </w:rPr>
      </w:pPr>
    </w:p>
    <w:p>
      <w:pPr>
        <w:ind w:left="600" w:right="80"/>
        <w:spacing w:after="0" w:line="239" w:lineRule="auto"/>
        <w:rPr>
          <w:sz w:val="20"/>
          <w:szCs w:val="20"/>
          <w:color w:val="auto"/>
        </w:rPr>
      </w:pPr>
      <w:r>
        <w:rPr>
          <w:rFonts w:ascii="Arial" w:cs="Arial" w:eastAsia="Arial" w:hAnsi="Arial"/>
          <w:sz w:val="17"/>
          <w:szCs w:val="17"/>
          <w:color w:val="auto"/>
        </w:rPr>
        <w:t>As the glomeruli are destroyed, the kidney’s ability to remove waste products from the blood is reduced, which can result in potentially life-threatening complications that lead to the need for dialysis or kidney transplant in many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-242570</wp:posOffset>
            </wp:positionV>
            <wp:extent cx="153035" cy="153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3035" cy="153035"/>
                    </a:xfrm>
                    <a:prstGeom prst="rect">
                      <a:avLst/>
                    </a:prstGeom>
                    <a:noFill/>
                  </pic:spPr>
                </pic:pic>
              </a:graphicData>
            </a:graphic>
          </wp:anchor>
        </w:drawing>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Similarly, IgAN has also been described as having a multi-hit pathogenesis, as shown in Figure 2 below, and referenced in the steps 3-6 above.</w:t>
      </w:r>
    </w:p>
    <w:p>
      <w:pPr>
        <w:spacing w:after="0" w:line="14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000"/>
          </w:cols>
          <w:pgMar w:left="320" w:top="456" w:right="5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Figure 2: IgAN Pathophysiology—Downstream Effects of Elevated Gd-IgA1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139065</wp:posOffset>
            </wp:positionV>
            <wp:extent cx="5137785" cy="2573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3778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Gd-IgA1 is Central to the Pathogenesis of IgAN</w:t>
      </w:r>
    </w:p>
    <w:p>
      <w:pPr>
        <w:spacing w:after="0" w:line="39"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Gd-IgA1 is a subclass of IgA antibodies that lack units of galactose, a type of sugar, at the O-linked glycans of their hinge region, as shown in Figure 3 below. The hinge region is a stretch of amino acids in the IgA antibody. Circulating immune complex—containing Gd-IgA1 proteins have been shown to be the target antigens for immunoglobulin G (IgG) antibodies with specificity for the hinge region.</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Figure 3: Components of Gd-IgA1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139065</wp:posOffset>
            </wp:positionV>
            <wp:extent cx="5137785" cy="23437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37785" cy="234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60" w:right="380"/>
        <w:spacing w:after="0" w:line="236" w:lineRule="auto"/>
        <w:rPr>
          <w:sz w:val="20"/>
          <w:szCs w:val="20"/>
          <w:color w:val="auto"/>
        </w:rPr>
      </w:pPr>
      <w:r>
        <w:rPr>
          <w:rFonts w:ascii="Arial" w:cs="Arial" w:eastAsia="Arial" w:hAnsi="Arial"/>
          <w:sz w:val="17"/>
          <w:szCs w:val="17"/>
          <w:color w:val="auto"/>
        </w:rPr>
        <w:t>A histopathological hallmark of IgAN is deposition of Gd—IgA1 in the glomerular mesangium, either alone or in combination with IgG and/or immunoglobulin M (IgM). Sampling of the serum of subjects with IgAN has confirmed the presence of elevated levels of circulating immune complex—containing Gd-IgA1.</w:t>
      </w:r>
    </w:p>
    <w:p>
      <w:pPr>
        <w:spacing w:after="0" w:line="146" w:lineRule="exact"/>
        <w:rPr>
          <w:sz w:val="20"/>
          <w:szCs w:val="20"/>
          <w:color w:val="auto"/>
        </w:rPr>
      </w:pPr>
    </w:p>
    <w:p>
      <w:pPr>
        <w:ind w:left="160" w:right="20"/>
        <w:spacing w:after="0" w:line="236" w:lineRule="auto"/>
        <w:rPr>
          <w:sz w:val="20"/>
          <w:szCs w:val="20"/>
          <w:color w:val="auto"/>
        </w:rPr>
      </w:pPr>
      <w:r>
        <w:rPr>
          <w:rFonts w:ascii="Arial" w:cs="Arial" w:eastAsia="Arial" w:hAnsi="Arial"/>
          <w:sz w:val="17"/>
          <w:szCs w:val="17"/>
          <w:color w:val="auto"/>
        </w:rPr>
        <w:t>Clinical trials of patients with IgAN have correlated higher serum levels of Gd-IgA1 with greater severity of IgAN disease, suggesting that reduction in serum levels of Gd-IgA1 may slow disease progression. Compared with healthy subjects, patients with IgAN have an increase in the proportion of Gd-IgA1 O-glycoforms in the serum. As published</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0980"/>
          </w:cols>
          <w:pgMar w:left="320" w:top="456" w:right="5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160"/>
        <w:spacing w:after="0" w:line="234" w:lineRule="auto"/>
        <w:rPr>
          <w:sz w:val="20"/>
          <w:szCs w:val="20"/>
          <w:color w:val="auto"/>
        </w:rPr>
      </w:pPr>
      <w:r>
        <w:rPr>
          <w:rFonts w:ascii="Arial" w:cs="Arial" w:eastAsia="Arial" w:hAnsi="Arial"/>
          <w:sz w:val="17"/>
          <w:szCs w:val="17"/>
          <w:color w:val="auto"/>
        </w:rPr>
        <w:t>in Kidney International, in a prospective study of 275 patients with IgAN, higher serum levels of aberrantly glycosylated IgA1 demonstrated correlation with a higher likelihood of developing progressive renal failure, as shown in Figure 4 below. A separate clinical trial of patients with IgAN of varying severity found that higher titers of autoantibodies specific for Gd-IgA1 corresponded to both absolute renal risk score and risk of end-stage renal disease or death.</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Figure 4: Renal Survival in IgAN Patients with Four Quartile Serum Gd-IgA1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139065</wp:posOffset>
            </wp:positionV>
            <wp:extent cx="5137785" cy="23609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37785" cy="236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In addition, high serum APRIL levels correlate with increased expression of serum Gd—IgA1 in IgAN patients and high serum BLyS levels are associated with more severe clinical features, as well as more severe histopathological features. For these reasons, we believe a fusion protein that blocks both BLyS and APRIL, which has the potential to reduce levels of Gd-IgA1 in serum, would address the upstream source of IgAN, and represent the first disease-modifying approach for IgAN.</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Disease Burden, Diagnosis, and Predictors of Disease Progression</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IgAN is a rare disease in the United States and European Union and is also the predominant cause of primary glomerulonephritis.</w:t>
      </w:r>
    </w:p>
    <w:p>
      <w:pPr>
        <w:spacing w:after="0" w:line="152" w:lineRule="exact"/>
        <w:rPr>
          <w:sz w:val="20"/>
          <w:szCs w:val="20"/>
          <w:color w:val="auto"/>
        </w:rPr>
      </w:pPr>
    </w:p>
    <w:p>
      <w:pPr>
        <w:ind w:left="160" w:right="320"/>
        <w:spacing w:after="0" w:line="239" w:lineRule="auto"/>
        <w:rPr>
          <w:sz w:val="20"/>
          <w:szCs w:val="20"/>
          <w:color w:val="auto"/>
        </w:rPr>
      </w:pPr>
      <w:r>
        <w:rPr>
          <w:rFonts w:ascii="Arial" w:cs="Arial" w:eastAsia="Arial" w:hAnsi="Arial"/>
          <w:sz w:val="17"/>
          <w:szCs w:val="17"/>
          <w:color w:val="auto"/>
        </w:rPr>
        <w:t>Patients with IgAN are diagnosed throughout life, but most commonly in the second and third decade. There are three common ways in which patients present:</w:t>
      </w:r>
    </w:p>
    <w:p>
      <w:pPr>
        <w:spacing w:after="0" w:line="186" w:lineRule="exact"/>
        <w:rPr>
          <w:sz w:val="20"/>
          <w:szCs w:val="20"/>
          <w:color w:val="auto"/>
        </w:rPr>
      </w:pPr>
    </w:p>
    <w:p>
      <w:pPr>
        <w:ind w:left="1020" w:hanging="425"/>
        <w:spacing w:after="0"/>
        <w:tabs>
          <w:tab w:leader="none" w:pos="1020" w:val="left"/>
        </w:tabs>
        <w:numPr>
          <w:ilvl w:val="0"/>
          <w:numId w:val="62"/>
        </w:numPr>
        <w:rPr>
          <w:rFonts w:ascii="MS PGothic" w:cs="MS PGothic" w:eastAsia="MS PGothic" w:hAnsi="MS PGothic"/>
          <w:sz w:val="12"/>
          <w:szCs w:val="12"/>
          <w:color w:val="auto"/>
        </w:rPr>
      </w:pPr>
      <w:r>
        <w:rPr>
          <w:rFonts w:ascii="Arial" w:cs="Arial" w:eastAsia="Arial" w:hAnsi="Arial"/>
          <w:sz w:val="17"/>
          <w:szCs w:val="17"/>
          <w:color w:val="auto"/>
        </w:rPr>
        <w:t>40-50% present with one or more episodes of gross (visible) hematuria, often linked to an upper respiratory tract infection.</w:t>
      </w:r>
    </w:p>
    <w:p>
      <w:pPr>
        <w:spacing w:after="0" w:line="31" w:lineRule="exact"/>
        <w:rPr>
          <w:rFonts w:ascii="MS PGothic" w:cs="MS PGothic" w:eastAsia="MS PGothic" w:hAnsi="MS PGothic"/>
          <w:sz w:val="12"/>
          <w:szCs w:val="12"/>
          <w:color w:val="auto"/>
        </w:rPr>
      </w:pPr>
    </w:p>
    <w:p>
      <w:pPr>
        <w:ind w:left="1020" w:right="460" w:hanging="425"/>
        <w:spacing w:after="0" w:line="239" w:lineRule="auto"/>
        <w:tabs>
          <w:tab w:leader="none" w:pos="1020" w:val="left"/>
        </w:tabs>
        <w:numPr>
          <w:ilvl w:val="0"/>
          <w:numId w:val="62"/>
        </w:numPr>
        <w:rPr>
          <w:rFonts w:ascii="MS PGothic" w:cs="MS PGothic" w:eastAsia="MS PGothic" w:hAnsi="MS PGothic"/>
          <w:sz w:val="12"/>
          <w:szCs w:val="12"/>
          <w:color w:val="auto"/>
        </w:rPr>
      </w:pPr>
      <w:r>
        <w:rPr>
          <w:rFonts w:ascii="Arial" w:cs="Arial" w:eastAsia="Arial" w:hAnsi="Arial"/>
          <w:sz w:val="17"/>
          <w:szCs w:val="17"/>
          <w:color w:val="auto"/>
        </w:rPr>
        <w:t>30-40% present with microscopic hematuria and mild proteinuria, which is detected in a routine physical or during chronic kidney disease evaluation.</w:t>
      </w:r>
    </w:p>
    <w:p>
      <w:pPr>
        <w:spacing w:after="0" w:line="25" w:lineRule="exact"/>
        <w:rPr>
          <w:rFonts w:ascii="MS PGothic" w:cs="MS PGothic" w:eastAsia="MS PGothic" w:hAnsi="MS PGothic"/>
          <w:sz w:val="12"/>
          <w:szCs w:val="12"/>
          <w:color w:val="auto"/>
        </w:rPr>
      </w:pPr>
    </w:p>
    <w:p>
      <w:pPr>
        <w:ind w:left="1020" w:right="260" w:hanging="425"/>
        <w:spacing w:after="0" w:line="239" w:lineRule="auto"/>
        <w:tabs>
          <w:tab w:leader="none" w:pos="1020" w:val="left"/>
        </w:tabs>
        <w:numPr>
          <w:ilvl w:val="0"/>
          <w:numId w:val="62"/>
        </w:numPr>
        <w:rPr>
          <w:rFonts w:ascii="MS PGothic" w:cs="MS PGothic" w:eastAsia="MS PGothic" w:hAnsi="MS PGothic"/>
          <w:sz w:val="12"/>
          <w:szCs w:val="12"/>
          <w:color w:val="auto"/>
        </w:rPr>
      </w:pPr>
      <w:r>
        <w:rPr>
          <w:rFonts w:ascii="Arial" w:cs="Arial" w:eastAsia="Arial" w:hAnsi="Arial"/>
          <w:sz w:val="17"/>
          <w:szCs w:val="17"/>
          <w:color w:val="auto"/>
        </w:rPr>
        <w:t>Less than 10% present with either nephrotic syndrome or an acute, rapidly progressive glomerulonephritis with symptoms including edema, hypertension, renal insufficiency, and hematuria.</w:t>
      </w:r>
    </w:p>
    <w:p>
      <w:pPr>
        <w:spacing w:after="0" w:line="146" w:lineRule="exact"/>
        <w:rPr>
          <w:sz w:val="20"/>
          <w:szCs w:val="20"/>
          <w:color w:val="auto"/>
        </w:rPr>
      </w:pPr>
    </w:p>
    <w:p>
      <w:pPr>
        <w:ind w:left="160" w:right="80"/>
        <w:spacing w:after="0" w:line="295" w:lineRule="auto"/>
        <w:rPr>
          <w:sz w:val="20"/>
          <w:szCs w:val="20"/>
          <w:color w:val="auto"/>
        </w:rPr>
      </w:pPr>
      <w:r>
        <w:rPr>
          <w:rFonts w:ascii="Arial" w:cs="Arial" w:eastAsia="Arial" w:hAnsi="Arial"/>
          <w:sz w:val="17"/>
          <w:szCs w:val="17"/>
          <w:color w:val="auto"/>
        </w:rPr>
        <w:t xml:space="preserve">Once IgAN is suspected based on clinical history and laboratory data, kidney biopsy, which is the gold standard for IgAN diagnosis, is performed. </w:t>
      </w:r>
      <w:r>
        <w:rPr>
          <w:rFonts w:ascii="Arial" w:cs="Arial" w:eastAsia="Arial" w:hAnsi="Arial"/>
          <w:sz w:val="17"/>
          <w:szCs w:val="17"/>
          <w:b w:val="1"/>
          <w:bCs w:val="1"/>
          <w:i w:val="1"/>
          <w:iCs w:val="1"/>
          <w:color w:val="auto"/>
        </w:rPr>
        <w:t>IgAN Market Opportunity</w:t>
      </w:r>
    </w:p>
    <w:p>
      <w:pPr>
        <w:spacing w:after="0" w:line="1"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We estimate there are approximately 126,000 biopsy-confirmed IgAN patients in the United States, 136,000 in the European Union, and 130,000 in Japan, and that growth in the diagnosed prevalent population is due to overall population growth. Underlying genetic differences may contribute to the significantly higher rate in Japan. As therapies become commercially available, however, an increase in diagnosis rate or longer time to progression, due to better treatments, may increase the diagnosed population over time.</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080"/>
          </w:cols>
          <w:pgMar w:left="320" w:top="456"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240"/>
        <w:spacing w:after="0" w:line="236" w:lineRule="auto"/>
        <w:rPr>
          <w:sz w:val="20"/>
          <w:szCs w:val="20"/>
          <w:color w:val="auto"/>
        </w:rPr>
      </w:pPr>
      <w:r>
        <w:rPr>
          <w:rFonts w:ascii="Arial" w:cs="Arial" w:eastAsia="Arial" w:hAnsi="Arial"/>
          <w:sz w:val="17"/>
          <w:szCs w:val="17"/>
          <w:color w:val="auto"/>
        </w:rPr>
        <w:t>We estimate the U.S. market opportunity for novel therapeutics in IgAN is approximately $4.0 billion to $8.0 billion annually, based on the prevalence of the disease in the United States and the segment of IgAN patients at high risk of progressing to ESRD. In Europe and Japan, we estimate the annual market opportunity for novel IgAN therapeutics to be $1.0 billion and $600 million, respectively.</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Current Standard of Care for IgAN Patients</w:t>
      </w:r>
    </w:p>
    <w:p>
      <w:pPr>
        <w:spacing w:after="0" w:line="39" w:lineRule="exact"/>
        <w:rPr>
          <w:sz w:val="20"/>
          <w:szCs w:val="20"/>
          <w:color w:val="auto"/>
        </w:rPr>
      </w:pPr>
    </w:p>
    <w:p>
      <w:pPr>
        <w:ind w:left="160" w:right="460"/>
        <w:spacing w:after="0" w:line="239" w:lineRule="auto"/>
        <w:rPr>
          <w:sz w:val="20"/>
          <w:szCs w:val="20"/>
          <w:color w:val="auto"/>
        </w:rPr>
      </w:pPr>
      <w:r>
        <w:rPr>
          <w:rFonts w:ascii="Arial" w:cs="Arial" w:eastAsia="Arial" w:hAnsi="Arial"/>
          <w:sz w:val="17"/>
          <w:szCs w:val="17"/>
          <w:color w:val="auto"/>
        </w:rPr>
        <w:t>There are currently no approved therapies indicated for IgAN, However, the two following general approaches are typically employed for the treatment of patients with IgAN:</w:t>
      </w:r>
    </w:p>
    <w:p>
      <w:pPr>
        <w:spacing w:after="0" w:line="186" w:lineRule="exact"/>
        <w:rPr>
          <w:sz w:val="20"/>
          <w:szCs w:val="20"/>
          <w:color w:val="auto"/>
        </w:rPr>
      </w:pPr>
    </w:p>
    <w:p>
      <w:pPr>
        <w:ind w:left="1020" w:right="620" w:hanging="425"/>
        <w:spacing w:after="0" w:line="239" w:lineRule="auto"/>
        <w:tabs>
          <w:tab w:leader="none" w:pos="1020" w:val="left"/>
        </w:tabs>
        <w:numPr>
          <w:ilvl w:val="0"/>
          <w:numId w:val="63"/>
        </w:numPr>
        <w:rPr>
          <w:rFonts w:ascii="MS PGothic" w:cs="MS PGothic" w:eastAsia="MS PGothic" w:hAnsi="MS PGothic"/>
          <w:sz w:val="12"/>
          <w:szCs w:val="12"/>
          <w:color w:val="auto"/>
        </w:rPr>
      </w:pPr>
      <w:r>
        <w:rPr>
          <w:rFonts w:ascii="Arial" w:cs="Arial" w:eastAsia="Arial" w:hAnsi="Arial"/>
          <w:sz w:val="17"/>
          <w:szCs w:val="17"/>
          <w:color w:val="auto"/>
        </w:rPr>
        <w:t>Non-specific measures to slow progression, including blood pressure control, and in patients with proteinuria, RAAS inhibitors, including ACE inhibitors or ARBs.</w:t>
      </w:r>
    </w:p>
    <w:p>
      <w:pPr>
        <w:spacing w:after="0" w:line="25" w:lineRule="exact"/>
        <w:rPr>
          <w:rFonts w:ascii="MS PGothic" w:cs="MS PGothic" w:eastAsia="MS PGothic" w:hAnsi="MS PGothic"/>
          <w:sz w:val="12"/>
          <w:szCs w:val="12"/>
          <w:color w:val="auto"/>
        </w:rPr>
      </w:pPr>
    </w:p>
    <w:p>
      <w:pPr>
        <w:ind w:left="1020" w:right="460" w:hanging="425"/>
        <w:spacing w:after="0" w:line="239" w:lineRule="auto"/>
        <w:tabs>
          <w:tab w:leader="none" w:pos="1020" w:val="left"/>
        </w:tabs>
        <w:numPr>
          <w:ilvl w:val="0"/>
          <w:numId w:val="63"/>
        </w:numPr>
        <w:rPr>
          <w:rFonts w:ascii="MS PGothic" w:cs="MS PGothic" w:eastAsia="MS PGothic" w:hAnsi="MS PGothic"/>
          <w:sz w:val="12"/>
          <w:szCs w:val="12"/>
          <w:color w:val="auto"/>
        </w:rPr>
      </w:pPr>
      <w:r>
        <w:rPr>
          <w:rFonts w:ascii="Arial" w:cs="Arial" w:eastAsia="Arial" w:hAnsi="Arial"/>
          <w:sz w:val="17"/>
          <w:szCs w:val="17"/>
          <w:color w:val="auto"/>
        </w:rPr>
        <w:t>Steroids with or without other immunosuppressive agents to non-specifically reduce inflammation as a result of immune complex deposition in the glomeruli.</w:t>
      </w:r>
    </w:p>
    <w:p>
      <w:pPr>
        <w:spacing w:after="0" w:line="146"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Treatment is selected based on perceived risk of progressive kidney disease, and clinical measures such as hematuria, proteinuria, and eGFR are used to monitor patients while on treatment. The current standard of care is seen as insufficient by physicians and patients; these treatment approaches have limited clinical efficacy and are not well tolerated. Approximately 50% of patients fail to achieve controlled UPCR on ACE inhibitors, ARBS, or steroids. The use of steroids may cause significant side effects, including serious infections, high blood pressure, weight gain, diabetes, and osteoporosis. As such, there is a high unmet medical need for targeted therapies that impact the underlying disease pathophysiology and more tolerable, steroid-sparing treatment options for IgAN patients.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Emerging Therapies in Development</w:t>
      </w:r>
    </w:p>
    <w:p>
      <w:pPr>
        <w:spacing w:after="0" w:line="39" w:lineRule="exact"/>
        <w:rPr>
          <w:sz w:val="20"/>
          <w:szCs w:val="20"/>
          <w:color w:val="auto"/>
        </w:rPr>
      </w:pPr>
    </w:p>
    <w:p>
      <w:pPr>
        <w:ind w:left="160" w:right="20"/>
        <w:spacing w:after="0" w:line="234" w:lineRule="auto"/>
        <w:rPr>
          <w:sz w:val="20"/>
          <w:szCs w:val="20"/>
          <w:color w:val="auto"/>
        </w:rPr>
      </w:pPr>
      <w:r>
        <w:rPr>
          <w:rFonts w:ascii="Arial" w:cs="Arial" w:eastAsia="Arial" w:hAnsi="Arial"/>
          <w:sz w:val="17"/>
          <w:szCs w:val="17"/>
          <w:color w:val="auto"/>
        </w:rPr>
        <w:t>Though there are no currently approved therapies indicated for IgAN, there are several treatments in clinical development. The multistep IgAN pathogenesis hypothesis offers potential target points and approaches for therapeutic intervention. Most therapeutic candidates in clinical development have employed various approaches to target inflammation and the downstream effects. Atacicept is the first and only agent currently in development that has demonstrated a 60% reduction of Gd-IgA1 in IgAN patients, the upstream source of IgAN pathogenesis.</w:t>
      </w:r>
    </w:p>
    <w:p>
      <w:pPr>
        <w:spacing w:after="0" w:line="147" w:lineRule="exact"/>
        <w:rPr>
          <w:sz w:val="20"/>
          <w:szCs w:val="20"/>
          <w:color w:val="auto"/>
        </w:rPr>
      </w:pPr>
    </w:p>
    <w:p>
      <w:pPr>
        <w:ind w:left="160" w:right="400"/>
        <w:spacing w:after="0" w:line="239" w:lineRule="auto"/>
        <w:rPr>
          <w:sz w:val="20"/>
          <w:szCs w:val="20"/>
          <w:color w:val="auto"/>
        </w:rPr>
      </w:pPr>
      <w:r>
        <w:rPr>
          <w:rFonts w:ascii="Arial" w:cs="Arial" w:eastAsia="Arial" w:hAnsi="Arial"/>
          <w:sz w:val="17"/>
          <w:szCs w:val="17"/>
          <w:color w:val="auto"/>
        </w:rPr>
        <w:t>These agents can be grouped mechanistically into the following categories: glucocorticoid receptor agonists, endothelin receptor antagonists (ERAs), complement inhibitors, B-cell modulators, and a variety of other approaches that are earlier in development.</w:t>
      </w:r>
    </w:p>
    <w:p>
      <w:pPr>
        <w:spacing w:after="0" w:line="126" w:lineRule="exact"/>
        <w:rPr>
          <w:sz w:val="20"/>
          <w:szCs w:val="20"/>
          <w:color w:val="auto"/>
        </w:rPr>
      </w:pPr>
    </w:p>
    <w:p>
      <w:pPr>
        <w:ind w:left="160" w:right="160"/>
        <w:spacing w:after="0" w:line="237" w:lineRule="auto"/>
        <w:rPr>
          <w:sz w:val="20"/>
          <w:szCs w:val="20"/>
          <w:color w:val="auto"/>
        </w:rPr>
      </w:pPr>
      <w:r>
        <w:rPr>
          <w:rFonts w:ascii="Arial" w:cs="Arial" w:eastAsia="Arial" w:hAnsi="Arial"/>
          <w:sz w:val="17"/>
          <w:szCs w:val="17"/>
          <w:b w:val="1"/>
          <w:bCs w:val="1"/>
          <w:i w:val="1"/>
          <w:iCs w:val="1"/>
          <w:color w:val="auto"/>
        </w:rPr>
        <w:t xml:space="preserve">Glucocorticoid Receptor Agonists. </w:t>
      </w:r>
      <w:r>
        <w:rPr>
          <w:rFonts w:ascii="Arial" w:cs="Arial" w:eastAsia="Arial" w:hAnsi="Arial"/>
          <w:sz w:val="17"/>
          <w:szCs w:val="17"/>
          <w:color w:val="auto"/>
        </w:rPr>
        <w:t>Glucocorticoid receptor agonists are a well-known class of molecules that have broad anti-inflammatory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effects, and well established acute and chronic side effects. Though reduction in the risk of eGFR decline was shown in clinical trials, there is no consensus on whether glucocorticoid may improve renal survival. The glucocorticoid, budesonide, has been reformulated to concentrate steroid effects locally on the gut mucosa, theoretically suppressing the abnormal B-cell activity reducing systemic steroid toxicity. Currently in a Phase 3 clinical trial in IgAN, reformulated budesonide has demonstrated statistically meaningful reduction of proteinuria, though systemic steroid side effects have been observed in prior clinical trials and the ongoing Phase 3 clinical trial.</w:t>
      </w:r>
    </w:p>
    <w:p>
      <w:pPr>
        <w:spacing w:after="0" w:line="126" w:lineRule="exact"/>
        <w:rPr>
          <w:sz w:val="20"/>
          <w:szCs w:val="20"/>
          <w:color w:val="auto"/>
        </w:rPr>
      </w:pPr>
    </w:p>
    <w:p>
      <w:pPr>
        <w:ind w:left="160" w:right="60"/>
        <w:spacing w:after="0" w:line="237" w:lineRule="auto"/>
        <w:rPr>
          <w:sz w:val="20"/>
          <w:szCs w:val="20"/>
          <w:color w:val="auto"/>
        </w:rPr>
      </w:pPr>
      <w:r>
        <w:rPr>
          <w:rFonts w:ascii="Arial" w:cs="Arial" w:eastAsia="Arial" w:hAnsi="Arial"/>
          <w:sz w:val="17"/>
          <w:szCs w:val="17"/>
          <w:b w:val="1"/>
          <w:bCs w:val="1"/>
          <w:i w:val="1"/>
          <w:iCs w:val="1"/>
          <w:color w:val="auto"/>
        </w:rPr>
        <w:t xml:space="preserve">ERAs. </w:t>
      </w:r>
      <w:r>
        <w:rPr>
          <w:rFonts w:ascii="Arial" w:cs="Arial" w:eastAsia="Arial" w:hAnsi="Arial"/>
          <w:sz w:val="17"/>
          <w:szCs w:val="17"/>
          <w:color w:val="auto"/>
        </w:rPr>
        <w:t>Aberrant endothelin signaling is implicated in structural podocyte changes and increased mesangial proliferation in chronic kidney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diseases, including IgAN. ERAs block endothelin-induced cell proliferation hence may reduce renal perfusion pressure and proteinuria. Since this mechanism of action works downstream of disease related immune activities, it is not expected to reduce Gd-IgA1 or the resulting immune complexes that cause the disease. Several ERAs, which have previously been approved for the treatment of pulmonary arterial hypertension and erectile dysfunction and make use of a vasodilatory effect, are currently in Phase 3 development and have been shown to reduce proteinuria in patients with IgAN. However, ERAs have been associated with edema, significant liver toxicity and increased risk of heart failure.</w:t>
      </w:r>
    </w:p>
    <w:p>
      <w:pPr>
        <w:spacing w:after="0" w:line="126" w:lineRule="exact"/>
        <w:rPr>
          <w:sz w:val="20"/>
          <w:szCs w:val="20"/>
          <w:color w:val="auto"/>
        </w:rPr>
      </w:pPr>
    </w:p>
    <w:p>
      <w:pPr>
        <w:ind w:left="160" w:right="120"/>
        <w:spacing w:after="0" w:line="241" w:lineRule="auto"/>
        <w:rPr>
          <w:sz w:val="20"/>
          <w:szCs w:val="20"/>
          <w:color w:val="auto"/>
        </w:rPr>
      </w:pPr>
      <w:r>
        <w:rPr>
          <w:rFonts w:ascii="Arial" w:cs="Arial" w:eastAsia="Arial" w:hAnsi="Arial"/>
          <w:sz w:val="17"/>
          <w:szCs w:val="17"/>
          <w:b w:val="1"/>
          <w:bCs w:val="1"/>
          <w:i w:val="1"/>
          <w:iCs w:val="1"/>
          <w:color w:val="auto"/>
        </w:rPr>
        <w:t xml:space="preserve">Complement Inhibitors. </w:t>
      </w:r>
      <w:r>
        <w:rPr>
          <w:rFonts w:ascii="Arial" w:cs="Arial" w:eastAsia="Arial" w:hAnsi="Arial"/>
          <w:sz w:val="17"/>
          <w:szCs w:val="17"/>
          <w:color w:val="auto"/>
        </w:rPr>
        <w:t>Increased complement activation is commonly observed in patients with IgAN. It is hypothesized that immune-complex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deposition in glomeruli may contribute to complement activation, though the exact mechanism is not well understood. Several agents that inhibit complement activation are in clinical development for IgAN. Modest reduction of proteinuria has been observed in early clinical trials. As complement</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80"/>
        <w:spacing w:after="0" w:line="239" w:lineRule="auto"/>
        <w:rPr>
          <w:sz w:val="20"/>
          <w:szCs w:val="20"/>
          <w:color w:val="auto"/>
        </w:rPr>
      </w:pPr>
      <w:r>
        <w:rPr>
          <w:rFonts w:ascii="Arial" w:cs="Arial" w:eastAsia="Arial" w:hAnsi="Arial"/>
          <w:sz w:val="17"/>
          <w:szCs w:val="17"/>
          <w:color w:val="auto"/>
        </w:rPr>
        <w:t>inhibition works downstream of immune complex formation, these agents are not expected to impact the upstream cause of disease and reduce Gd-IgA1 or the resulting immune complexes that cause inflammation and complement activation in the kidney.</w:t>
      </w:r>
    </w:p>
    <w:p>
      <w:pPr>
        <w:spacing w:after="0" w:line="126" w:lineRule="exact"/>
        <w:rPr>
          <w:sz w:val="20"/>
          <w:szCs w:val="20"/>
          <w:color w:val="auto"/>
        </w:rPr>
      </w:pPr>
    </w:p>
    <w:p>
      <w:pPr>
        <w:ind w:left="160"/>
        <w:spacing w:after="0" w:line="237" w:lineRule="auto"/>
        <w:rPr>
          <w:sz w:val="20"/>
          <w:szCs w:val="20"/>
          <w:color w:val="auto"/>
        </w:rPr>
      </w:pPr>
      <w:r>
        <w:rPr>
          <w:rFonts w:ascii="Arial" w:cs="Arial" w:eastAsia="Arial" w:hAnsi="Arial"/>
          <w:sz w:val="17"/>
          <w:szCs w:val="17"/>
          <w:b w:val="1"/>
          <w:bCs w:val="1"/>
          <w:i w:val="1"/>
          <w:iCs w:val="1"/>
          <w:color w:val="auto"/>
        </w:rPr>
        <w:t xml:space="preserve">B-cell Modulators. </w:t>
      </w:r>
      <w:r>
        <w:rPr>
          <w:rFonts w:ascii="Arial" w:cs="Arial" w:eastAsia="Arial" w:hAnsi="Arial"/>
          <w:sz w:val="17"/>
          <w:szCs w:val="17"/>
          <w:color w:val="auto"/>
        </w:rPr>
        <w:t>B-cell modulators, including atacicept, are an important category of emerging therapies for IgAN. The disease causing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Gd-IgA1 is predominantly produced by B cells and plasma cells. Therefore, control of B-cell activation may reduce production of Gd-IgA1 and the downstream formation of autoantibodies and immune complex. Interestingly, product candidates that modulate B cells through other single-target mechanisms, such as rituximab (CD20 alone), or blisibimod (BlyS alone), have been studied in patients with IgAN and have not shown a meaningful reduction of Gd-IgA1. Preclinical models have shown that dual inhibition of BlyS and APRIL offers improved suppression of B cell activities than blocking BlyS or APRIL alone. Atacicept blocks both BlyS and APRIL, and has shown substantial reduction (60%) in Gd-IgA1.</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Solution: Atacicept</w:t>
      </w:r>
    </w:p>
    <w:p>
      <w:pPr>
        <w:spacing w:after="0" w:line="39"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Atacicept is a fusion protein that blocks both BLyS and APRIL, which play key roles in the upstream pathway that causes IgAN, and is dosed once weekly via subcutaneous injection. As a result, we believe atacicept has the potential to be the first disease modifying therapy for IgAN. Through an integrated analysis of randomized, double-blind, placebo-controlled clinical trials in over 1,500 patients to date, atacicept has a well-characterized clinical safety profile. In a Phase 2a clinical trial in patients with IgAN, atacicept substantially reduced Gd-IgA1 and demonstrated a clinically meaningful reduction in proteinuria and eGFR parameters at week 24. We plan to initiate patient screening for our Phase 2b clinical trial in IgAN in the second quarter of 2021, and we expect to report topline results in the fourth quarter of 2022.</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Approach to IgAN: Reducing Gd-IgA1, the Source of Autoantibodies</w:t>
      </w:r>
    </w:p>
    <w:p>
      <w:pPr>
        <w:spacing w:after="0" w:line="39"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Atacicept is a fully humanized fusion protein that impacts the B-cell pathway, which has well characterized implications in immunologic diseases. Specifically, as shown in Figure 5 below, atacicept contains the soluble transmembrane activator and calcium-modulating cyclophilin ligand interactor (TACI) receptor that binds to the cytokines BLyS and APRIL. These cytokines are members of the tumor necrosis factor family that promote B-cell survival and autoantibody production associated with IgAN and other immunologic diseases. Dual blockade of BlyS and APRIL by TACI has been shown to be more potent than blocking BLyS alone and has the benefit of targeting long-lived plasma cells, in addition to B cells, thus reducing autoantibody production, including Gd-IgA1, IgA, IgG, and IgM. Therefore, atacicept’s mechanism acts directly on the source of IgAN, which we believe will significantly mitigate the downstream effects of the disease.</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000"/>
          </w:cols>
          <w:pgMar w:left="320" w:top="456" w:right="5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Figure 5: Atacicept Blocks Both BLyS and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138430</wp:posOffset>
            </wp:positionV>
            <wp:extent cx="5137785" cy="36518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3778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right="3319"/>
        <w:spacing w:after="0" w:line="330" w:lineRule="auto"/>
        <w:rPr>
          <w:sz w:val="20"/>
          <w:szCs w:val="20"/>
          <w:color w:val="auto"/>
        </w:rPr>
      </w:pPr>
      <w:r>
        <w:rPr>
          <w:rFonts w:ascii="Arial" w:cs="Arial" w:eastAsia="Arial" w:hAnsi="Arial"/>
          <w:sz w:val="16"/>
          <w:szCs w:val="16"/>
          <w:b w:val="1"/>
          <w:bCs w:val="1"/>
          <w:i w:val="1"/>
          <w:iCs w:val="1"/>
          <w:color w:val="auto"/>
        </w:rPr>
        <w:t xml:space="preserve">Atacicept: Potential to Address the Core Processes Underlying IgAN Pathogenesis </w:t>
      </w:r>
      <w:r>
        <w:rPr>
          <w:rFonts w:ascii="Arial" w:cs="Arial" w:eastAsia="Arial" w:hAnsi="Arial"/>
          <w:sz w:val="16"/>
          <w:szCs w:val="16"/>
          <w:color w:val="auto"/>
        </w:rPr>
        <w:t>Atacicept’s specific actions on IgAN disease pathogenesis are shown in Figure 6 below.</w:t>
      </w:r>
    </w:p>
    <w:p>
      <w:pPr>
        <w:spacing w:after="0" w:line="59" w:lineRule="exact"/>
        <w:rPr>
          <w:sz w:val="20"/>
          <w:szCs w:val="20"/>
          <w:color w:val="auto"/>
        </w:rPr>
      </w:pPr>
    </w:p>
    <w:p>
      <w:pPr>
        <w:jc w:val="right"/>
        <w:ind w:right="2439"/>
        <w:spacing w:after="0"/>
        <w:rPr>
          <w:sz w:val="20"/>
          <w:szCs w:val="20"/>
          <w:color w:val="auto"/>
        </w:rPr>
      </w:pPr>
      <w:r>
        <w:rPr>
          <w:rFonts w:ascii="Arial" w:cs="Arial" w:eastAsia="Arial" w:hAnsi="Arial"/>
          <w:sz w:val="18"/>
          <w:szCs w:val="18"/>
          <w:b w:val="1"/>
          <w:bCs w:val="1"/>
          <w:color w:val="auto"/>
        </w:rPr>
        <w:t>Figure 6: Atacicept Impact on IgAN Pathogenesis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137795</wp:posOffset>
            </wp:positionV>
            <wp:extent cx="5137785" cy="25393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37785" cy="253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0139"/>
          </w:cols>
          <w:pgMar w:left="320" w:top="456" w:right="1440"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Atacicept blocks BLyS, a factor important for B cell survival and maturation, resulting in reduced numbers of disease-causing B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153035" cy="153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3035" cy="153035"/>
                    </a:xfrm>
                    <a:prstGeom prst="rect">
                      <a:avLst/>
                    </a:prstGeom>
                    <a:noFill/>
                  </pic:spPr>
                </pic:pic>
              </a:graphicData>
            </a:graphic>
          </wp:anchor>
        </w:drawing>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Atacicept blocks APRIL, a factor important for Plasma cell survival, resulting in reduced numbers of disease-causing plasma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153035" cy="153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3035" cy="153035"/>
                    </a:xfrm>
                    <a:prstGeom prst="rect">
                      <a:avLst/>
                    </a:prstGeom>
                    <a:noFill/>
                  </pic:spPr>
                </pic:pic>
              </a:graphicData>
            </a:graphic>
          </wp:anchor>
        </w:drawing>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Reductions in plasma cells and in antibody class switching to IgA reduces production of immunogenic Gd-IgA.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153035" cy="153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3035" cy="153035"/>
                    </a:xfrm>
                    <a:prstGeom prst="rect">
                      <a:avLst/>
                    </a:prstGeom>
                    <a:noFill/>
                  </pic:spPr>
                </pic:pic>
              </a:graphicData>
            </a:graphic>
          </wp:anchor>
        </w:drawing>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Reductions in B cells, plasma cells, and Gd-IgA1 work together to cause a reduction in production of autoantibodies to Gd-IgA1.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153035" cy="153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3035" cy="153035"/>
                    </a:xfrm>
                    <a:prstGeom prst="rect">
                      <a:avLst/>
                    </a:prstGeom>
                    <a:noFill/>
                  </pic:spPr>
                </pic:pic>
              </a:graphicData>
            </a:graphic>
          </wp:anchor>
        </w:drawing>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Therefore, formation of pathogenic immune complexes is greatly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153035" cy="153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3035" cy="153035"/>
                    </a:xfrm>
                    <a:prstGeom prst="rect">
                      <a:avLst/>
                    </a:prstGeom>
                    <a:noFill/>
                  </pic:spPr>
                </pic:pic>
              </a:graphicData>
            </a:graphic>
          </wp:anchor>
        </w:drawing>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in turn, reduces immune complex deposition in glomeruli and reduces complement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153035" cy="153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3035" cy="153035"/>
                    </a:xfrm>
                    <a:prstGeom prst="rect">
                      <a:avLst/>
                    </a:prstGeom>
                    <a:noFill/>
                  </pic:spPr>
                </pic:pic>
              </a:graphicData>
            </a:graphic>
          </wp:anchor>
        </w:drawing>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Ultimately, progressive renal injury is reduced, which we believe will significantly lower the morbidity and mortality associated with 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153035" cy="153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3035" cy="153035"/>
                    </a:xfrm>
                    <a:prstGeom prst="rect">
                      <a:avLst/>
                    </a:prstGeom>
                    <a:noFill/>
                  </pic:spPr>
                </pic:pic>
              </a:graphicData>
            </a:graphic>
          </wp:anchor>
        </w:drawing>
      </w:r>
    </w:p>
    <w:p>
      <w:pPr>
        <w:spacing w:after="0" w:line="373"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Atacicept’s disease modifying mechanism addresses the upstream processes that cause IgAN, while most other molecules in development act downstream. Therefore, we believe that the clinical outcomes of atacicept, measured by measures designed to assess efficacy and durability will be favorable to competitors, with a demonstrated tolerability profile. Once weekly subcutaneous dosing also provides an attractive target product profile for patients.</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Atacicept in IgAN: Clinical Development</w:t>
      </w:r>
    </w:p>
    <w:p>
      <w:pPr>
        <w:spacing w:after="0" w:line="39" w:lineRule="exact"/>
        <w:rPr>
          <w:sz w:val="20"/>
          <w:szCs w:val="20"/>
          <w:color w:val="auto"/>
        </w:rPr>
      </w:pPr>
    </w:p>
    <w:p>
      <w:pPr>
        <w:ind w:left="160" w:right="120"/>
        <w:spacing w:after="0" w:line="252" w:lineRule="auto"/>
        <w:rPr>
          <w:sz w:val="20"/>
          <w:szCs w:val="20"/>
          <w:color w:val="auto"/>
        </w:rPr>
      </w:pPr>
      <w:r>
        <w:rPr>
          <w:rFonts w:ascii="Arial" w:cs="Arial" w:eastAsia="Arial" w:hAnsi="Arial"/>
          <w:sz w:val="16"/>
          <w:szCs w:val="16"/>
          <w:color w:val="auto"/>
        </w:rPr>
        <w:t>Atacicept was the subject of a collaboration agreement between ZymoGenetics, Inc. in 2001 and licensed on an exclusive basis to Ares in 2008. It was advanced by Ares in clinical trials for several autoimmune disease, including rheumatoid arthritis (RA), multiple sclerosis, SLE, and IgAN, and in totality studied in double-blind placebo-controlled clinical trials in over 1,50(0 subjects to date. Safety, tolerability, pharmacokinetics, pharmacodynamics, and clinical efficacy of the weekly 25 mg, 75 mg, and 150 mg doses administered subcutaneously have been studied.</w:t>
      </w:r>
    </w:p>
    <w:p>
      <w:pPr>
        <w:spacing w:after="0" w:line="137"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In the Phase 2a JANUS clinical trial conducted by Merck KGaA, Darmstadt, Germany in patients with IgAN, atacicept (25 mg and 75 mg doses) reduced Gd-IgA1 by 60% in IgAN patients. Atacicept has been the first and only molecule observed to reduce Gd-IgA1, the presumed upstream source of the disease, by this magnitude in IgAN patients. The 150 mg dose was not studied in the JANUS study. A clinically meaningful reduction in proteinuria and eGFR parameters was observed at week 24 for both the 25 mg and 75 mg doses. The clinically significant and robust reduction in Gd-IgA1 provides important corroborative evidence of the potential benefit of atacicept for patients with IgAN. Based on this encouraging data, we are initiating a Phase 2b ORIGIN clinical trial in IgAN to test 25 mg, 75 mg, and 150 mg of atacicept with endpoints of proteinuria, eGFR and Gd-IgA1 planned from week 12 though week 96.</w:t>
      </w:r>
    </w:p>
    <w:p>
      <w:pPr>
        <w:spacing w:after="0" w:line="148"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We believe atacicept has the potential to be the first disease modifying therapy for IgAN. We believe the large and established clinical data set for atacicept provides a competitive advantage for us versus other emerging therapies in development, many of which are either earlier in development and have clinical profiles that are not as well characterized or are characterized by the well-known acute and chronic side effects of corticosteroids that limit their medical use.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Phase 2a JANUS Trial of Atacicept in Patients with IgAN</w:t>
      </w:r>
    </w:p>
    <w:p>
      <w:pPr>
        <w:spacing w:after="0" w:line="37" w:lineRule="exact"/>
        <w:rPr>
          <w:sz w:val="20"/>
          <w:szCs w:val="20"/>
          <w:color w:val="auto"/>
        </w:rPr>
      </w:pPr>
    </w:p>
    <w:p>
      <w:pPr>
        <w:ind w:left="160" w:right="200"/>
        <w:spacing w:after="0" w:line="232" w:lineRule="auto"/>
        <w:rPr>
          <w:sz w:val="20"/>
          <w:szCs w:val="20"/>
          <w:color w:val="auto"/>
        </w:rPr>
      </w:pPr>
      <w:r>
        <w:rPr>
          <w:rFonts w:ascii="Arial" w:cs="Arial" w:eastAsia="Arial" w:hAnsi="Arial"/>
          <w:sz w:val="17"/>
          <w:szCs w:val="17"/>
          <w:color w:val="auto"/>
        </w:rPr>
        <w:t>The Phase 2a JANUS trial was a randomized, double-blind, placebo-controlled trial evaluating the efficacy and safety of atacicept in IgAN. The trial enrolled 16 subjects with IgAN and persistent proteinuria who were on a stable and optimized dose of ACEi and/or ARB. The JANUS trial design is shown in Figure 7 below and the baseline patient characteristics shown in Figure 8 below. Results showed a dose dependent effect of atacicept 25mg and 75mg weekly on proteinuria as well as key biomarkers including serum immunoglobulin levels, and Gd-IgA1, and atacicept was observed to be generally well tolerated. The JANUS trial was terminated earlier than planned due to Ares’ decision to deprioritize the program and therefore the sample size was truncated to 16 subjects, the 150 mg dose arm was not enrolled, and there was limited long-term follow up after week 24. Trial termination was not related to safety or efficacy. Due to the small sample size of JANUS, the results should be interpreted with caution.</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080"/>
          </w:cols>
          <w:pgMar w:left="320" w:top="456"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Figure 7: Phase 2a JANUS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86995</wp:posOffset>
            </wp:positionV>
            <wp:extent cx="5137785" cy="2853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37785" cy="285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2139"/>
        <w:spacing w:after="0"/>
        <w:rPr>
          <w:sz w:val="20"/>
          <w:szCs w:val="20"/>
          <w:color w:val="auto"/>
        </w:rPr>
      </w:pPr>
      <w:r>
        <w:rPr>
          <w:rFonts w:ascii="Arial" w:cs="Arial" w:eastAsia="Arial" w:hAnsi="Arial"/>
          <w:sz w:val="18"/>
          <w:szCs w:val="18"/>
          <w:b w:val="1"/>
          <w:bCs w:val="1"/>
          <w:color w:val="auto"/>
        </w:rPr>
        <w:t>Figure 8: Phase 2a JANUS Trial Baseline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86995</wp:posOffset>
            </wp:positionV>
            <wp:extent cx="5137785" cy="23101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37785" cy="2310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0139"/>
          </w:cols>
          <w:pgMar w:left="320" w:top="456" w:right="1440"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rPr>
          <w:sz w:val="20"/>
          <w:szCs w:val="20"/>
          <w:color w:val="auto"/>
        </w:rPr>
      </w:pPr>
      <w:r>
        <w:rPr>
          <w:rFonts w:ascii="Arial" w:cs="Arial" w:eastAsia="Arial" w:hAnsi="Arial"/>
          <w:sz w:val="17"/>
          <w:szCs w:val="17"/>
          <w:u w:val="single" w:color="auto"/>
          <w:color w:val="auto"/>
        </w:rPr>
        <w:t>Atacicept Dose-Related Effects Within Target Weekly Dose Ranges</w:t>
      </w:r>
    </w:p>
    <w:p>
      <w:pPr>
        <w:spacing w:after="0" w:line="32"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A clinically meaningful reduction in proteinuria parameters was observed at week 24 in the atacicept group. The median percent change for UPCR and total protein by 24-hour urine collection decreased from baseline to week 24 for the atacicept 25 mg and 75 mg groups and increased for the placebo group, as shown in Figure 9 below.</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Figure 9: Proteinuria at Week 24 in the Phase 2a JANUS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137795</wp:posOffset>
            </wp:positionV>
            <wp:extent cx="5137785" cy="2165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37785" cy="2165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After week 24, a persistent reduction in UPCR and total protein by 24-hour urine collection was observed in the atacicept 25 mg group. The results for the 75 mg group after week 24 were inconclusive, however, because of confounding factors related to low subject numbers and changes in co-morbid disease and treatments, such as diabetes and hypertension, that affected four of the five subjects. All five subjects showed an initial decrease of proteinuria parameters. The one subject without trial management issues after week 24 showed a persistent reduction in UPCR and total protein at weeks 48 and 72.</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000"/>
          </w:cols>
          <w:pgMar w:left="320" w:top="456" w:right="5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340"/>
        <w:spacing w:after="0" w:line="239" w:lineRule="auto"/>
        <w:rPr>
          <w:sz w:val="20"/>
          <w:szCs w:val="20"/>
          <w:color w:val="auto"/>
        </w:rPr>
      </w:pPr>
      <w:r>
        <w:rPr>
          <w:rFonts w:ascii="Arial" w:cs="Arial" w:eastAsia="Arial" w:hAnsi="Arial"/>
          <w:sz w:val="17"/>
          <w:szCs w:val="17"/>
          <w:color w:val="auto"/>
        </w:rPr>
        <w:t>As seen in Figure 10 below, atacicept also showed stable eGFR for greater than one year versus expected 25% decline, as was shown in the placebo arm.</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Figure 10: eGFR Over Time in the Phase 2a JANUS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138430</wp:posOffset>
            </wp:positionV>
            <wp:extent cx="5137785" cy="27768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37785" cy="277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Atacicept 75 mg also showed a 60% of Gd-IgA1 reduction at 24 weeks, the largest magnitude in reduction in of any molecule in development in IgAN patients, and dose-dependent reduction in serum IgA, IgG, and IgM, as shown in Figure 11 below. Clear dose-dependent reductions of serum Gd-IgA1 were observed over the 72-week period studied (as shown in Figure 12 below), with atacicept 75 mg reducing Gd-IgA significantly (60%) and durably.</w:t>
      </w:r>
    </w:p>
    <w:p>
      <w:pPr>
        <w:spacing w:after="0" w:line="12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Figure 11: Median Change from Baseline (%) in Immunoglobulin Levels at Week 24 in the Phase 2a JANUS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164465</wp:posOffset>
            </wp:positionV>
            <wp:extent cx="5044440" cy="19278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44440" cy="192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080"/>
          </w:cols>
          <w:pgMar w:left="320" w:top="456"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Figure 12: Serum Gd-IgA1 Levels Over Time in the Phase 2a JANUS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139065</wp:posOffset>
            </wp:positionV>
            <wp:extent cx="5137785" cy="2963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37785" cy="296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As the number of subjects included in the Phase 2a JANUS trial in IgAN for atacicept 25 mg and 75 mg was limited, further investigation of these doses is warranted in a larger cohort, while also evaluating the safety and efficacy of atacicept 150 mg in IgAN, to ensure the optimal dose of atacicept is selected for a Phase 3 clinical trial.</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7"/>
          <w:szCs w:val="17"/>
          <w:u w:val="single" w:color="auto"/>
          <w:color w:val="auto"/>
        </w:rPr>
        <w:t>Atacicept Safety and Tolerability Profile in the JANUS Trial</w:t>
      </w:r>
    </w:p>
    <w:p>
      <w:pPr>
        <w:spacing w:after="0" w:line="19"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Atacicept 25 mg and 75 mg weekly were observed to be generally well tolerated in the Phase 2a JANUS trial, with treatment-emergent adverse events (TEAEs) shown in Figure 13 below. Among the 11 atacicept treated patients, there was no TEAE leading to death and only one patient in the 25 mg weekly cohort discontinued treatment due to injection site pruritus. Most TEAEs were graded as mild and were related to injection site events such as injection site bruising and erythema. The one severe TEAE event of cervical spinal stenosis was reported by a patient in the 25 mg weekly cohort during the safety follow-up period, and was deemed not drug related.</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Figure 13: Overview of Treatment-emergent Adverse Events by Severity in the Phase 2a JANUS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137795</wp:posOffset>
            </wp:positionV>
            <wp:extent cx="5137785" cy="1036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37785" cy="103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0980"/>
          </w:cols>
          <w:pgMar w:left="320" w:top="456" w:right="5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rPr>
          <w:sz w:val="20"/>
          <w:szCs w:val="20"/>
          <w:color w:val="auto"/>
        </w:rPr>
      </w:pPr>
      <w:r>
        <w:rPr>
          <w:rFonts w:ascii="Arial" w:cs="Arial" w:eastAsia="Arial" w:hAnsi="Arial"/>
          <w:sz w:val="17"/>
          <w:szCs w:val="17"/>
          <w:u w:val="single" w:color="auto"/>
          <w:color w:val="auto"/>
        </w:rPr>
        <w:t>Atacicept Safety and Tolerability Profile: Integrated Analysis</w:t>
      </w:r>
    </w:p>
    <w:p>
      <w:pPr>
        <w:spacing w:after="0" w:line="32" w:lineRule="exact"/>
        <w:rPr>
          <w:sz w:val="20"/>
          <w:szCs w:val="20"/>
          <w:color w:val="auto"/>
        </w:rPr>
      </w:pPr>
    </w:p>
    <w:p>
      <w:pPr>
        <w:ind w:left="160" w:right="180"/>
        <w:spacing w:after="0" w:line="233" w:lineRule="auto"/>
        <w:rPr>
          <w:sz w:val="20"/>
          <w:szCs w:val="20"/>
          <w:color w:val="auto"/>
        </w:rPr>
      </w:pPr>
      <w:r>
        <w:rPr>
          <w:rFonts w:ascii="Arial" w:cs="Arial" w:eastAsia="Arial" w:hAnsi="Arial"/>
          <w:sz w:val="17"/>
          <w:szCs w:val="17"/>
          <w:color w:val="auto"/>
        </w:rPr>
        <w:t>Though there was a limited number of patients in the JANUS trial, in an integrated safety analysis in clinical trials of over 1,500 patients in a number of indications atacicept was well tolerated, shown in Figure 14 below. Serious TEAEs reported in the highest proportions were those in infections and infestations (placebo 3.9% versus atacicept 4.4%), musculoskeletal and connective tissue disorders (placebo 1.9% versus atacicept 1.3%), and nervous system disorders (placebo 2.1% versus atacicept 1.2%). The most frequently reported TEAE was pneumonia (placebo 1.2% versus atacicept 1.3%). We believe that this large and established data set is a competitive advantage for us versus other emerging therapies in development, many of which lack extensive safety data.</w:t>
      </w:r>
    </w:p>
    <w:p>
      <w:pPr>
        <w:spacing w:after="0" w:line="129"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Figure 14. Integrated Safety Analysis: Summary of Treatment-Emergent Adverse Events &gt; 5% in Any Arm, by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137795</wp:posOffset>
            </wp:positionV>
            <wp:extent cx="5137785" cy="2199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37785" cy="2199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The safety profile of atacicept 25 mg, 75 mg, and 150 mg has been characterized in healthy subjects and subjects with RA, multiple sclerosis, optic neuritis, SLE, IgAN, and B-cell malignancies, and is considered acceptable in IgAN. Over 1,940 subjects have been enrolled in 22 clinical trials, of which, over 1,425 subjects have received at least one dose of atacicept. In the three Phase 2/3 clinical trials, 590 subjects with SLE and 11 subjects with IgAN have received at least one dose of atacicept.</w:t>
      </w:r>
    </w:p>
    <w:p>
      <w:pPr>
        <w:spacing w:after="0" w:line="147" w:lineRule="exact"/>
        <w:rPr>
          <w:sz w:val="20"/>
          <w:szCs w:val="20"/>
          <w:color w:val="auto"/>
        </w:rPr>
      </w:pPr>
    </w:p>
    <w:p>
      <w:pPr>
        <w:ind w:left="160" w:right="120"/>
        <w:spacing w:after="0" w:line="234" w:lineRule="auto"/>
        <w:rPr>
          <w:sz w:val="20"/>
          <w:szCs w:val="20"/>
          <w:color w:val="auto"/>
        </w:rPr>
      </w:pPr>
      <w:r>
        <w:rPr>
          <w:rFonts w:ascii="Arial" w:cs="Arial" w:eastAsia="Arial" w:hAnsi="Arial"/>
          <w:sz w:val="17"/>
          <w:szCs w:val="17"/>
          <w:color w:val="auto"/>
        </w:rPr>
        <w:t>In the most recent atacicept Phase 2 SLE clinical trial, ADDRESS II, the frequencies of treatment-emergent adverse events were infections and infestations were similar among atacicept 75 mg, 150 mg, and placebo. There was no correlation between infections and reduced levels of IgG, IgM, or IgA or reduced naïve B cell or plasma cell numbers. No association was found between decreases in IgG and risk of serious or severe infection.</w:t>
      </w:r>
    </w:p>
    <w:p>
      <w:pPr>
        <w:spacing w:after="0" w:line="147"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We believe the benefit-risk balance of atacicept to be favorable for further development in IgAN and certain additional autoimmune diseases, and we intend to explore additional immunologic diseases where BLyS and APRIL are abnormally elevated, or where autoantibodies play an important role.</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000"/>
          </w:cols>
          <w:pgMar w:left="320" w:top="456" w:right="5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Planned Phase 2b ORIGIN Clinical Trial Design</w:t>
      </w:r>
    </w:p>
    <w:p>
      <w:pPr>
        <w:spacing w:after="0" w:line="52"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ORIGIN, our planned Phase 2b randomized, double-blinded, placebo-controlled, dose-ranging trial, will aim to evaluate the efficacy and safety of atacicept in subjects with IgAN. The clinical trial consists of a 36-week double-blind treatment period, followed by a 60-week open-label treatment period and a 26-week safety follow-up period. The trial will assess multiple doses (25 mg, 75 mg, and 150 mg) of once weekly subcutaneous injections of atacicept by prefilled syringe versus placebo on impact of renal function as measured by proteinuria. The primary endpoint is change from baseline in UPCR at 24 weeks based on 24-hour urine collection, with a secondary endpoint of UPCR at 36 weeks. Other endpoints include change from baseline in UPCR at 12, 48, 96 weeks, change from baseline in eGFR at 12, 24, 36, 48, 96 weeks, change from baseline in IgA, IgG, IgM, C3, C4, and Gd-IgA1 levels at 12, 24, 36, 48, and 96 weeks, number of participants with adverse events during the double-blind treatment period through 36 weeks, and the serum concentration of atacicept through study completion.</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Figure 15. Phase 2b ORIGIN Trial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0" w:right="100"/>
        <w:spacing w:after="0" w:line="233" w:lineRule="auto"/>
        <w:rPr>
          <w:sz w:val="20"/>
          <w:szCs w:val="20"/>
          <w:color w:val="auto"/>
        </w:rPr>
      </w:pPr>
      <w:r>
        <w:rPr>
          <w:rFonts w:ascii="Arial" w:cs="Arial" w:eastAsia="Arial" w:hAnsi="Arial"/>
          <w:sz w:val="17"/>
          <w:szCs w:val="17"/>
          <w:color w:val="auto"/>
        </w:rPr>
        <w:t>UPCR is an accepted surrogate primary endpoint for clinical trials in IgAN, which allows for a faster path to commercialization than rate of change/slope in GFR, which is measured at or after week 110. The recommendation for usage of this surrogate endpoint was put forward by the ASN, partnering with the FDA under the auspices of the Kidney Health Initiative, and the EMA, and has now been implemented in five Phase 3 clinical trials in IgAN. Accelerated and/or conditional approval may be granted on the UPCR endpoint, with full approval to be granted upon longer-term data demonstrating stabilization of eGFR with treatment.</w:t>
      </w:r>
    </w:p>
    <w:p>
      <w:pPr>
        <w:spacing w:after="0" w:line="148" w:lineRule="exact"/>
        <w:rPr>
          <w:sz w:val="20"/>
          <w:szCs w:val="20"/>
          <w:color w:val="auto"/>
        </w:rPr>
      </w:pPr>
    </w:p>
    <w:p>
      <w:pPr>
        <w:jc w:val="both"/>
        <w:ind w:left="160" w:right="60"/>
        <w:spacing w:after="0" w:line="256" w:lineRule="auto"/>
        <w:rPr>
          <w:sz w:val="20"/>
          <w:szCs w:val="20"/>
          <w:color w:val="auto"/>
        </w:rPr>
      </w:pPr>
      <w:r>
        <w:rPr>
          <w:rFonts w:ascii="Arial" w:cs="Arial" w:eastAsia="Arial" w:hAnsi="Arial"/>
          <w:sz w:val="16"/>
          <w:szCs w:val="16"/>
          <w:color w:val="auto"/>
        </w:rPr>
        <w:t>We are initiating the Phase 2b ORIGIN trial and expect to enroll a total of 105 patients at multiple global sites, commencing in the second quarter of 2021. We expect to report topline results from ORIGIN in the fourth quarter of 2022. If these data are positive, we plan to seek an accelerated approval path in the United States by the FDA and in the European Union by the EMA while initiating a pivotal Phase 3 clinical trial in 2023.</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Atacicept in LN: A Severe Renal Manifestation of SLE</w:t>
      </w:r>
    </w:p>
    <w:p>
      <w:pPr>
        <w:spacing w:after="0" w:line="77"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We are evaluating further development of atacicept as a potential treatment for patients with LN, a severe renal manifestation of SLE. We estimate that there are approximately 110,000 LN patients in the United States, 69,000 in the European Union, and 22,000 in Japan. Significant unmet need for improved efficacy persists for these patients despite the recent approval of the first two LN-specific therapies. Fewer than half of patients treated for LN have a complete response to therapy, and among patients without a complete response, over half will have non-functioning kidneys within five years. Benlysta (belimumab), a BlyS-only inhibitor, is one of the two therapies now approved for patients with LN. Both BlyS and APRIL levels are increased in patients with SLE, suggesting that dual inhibition by atacicept may be more potent than blocking BLyS alone and has the benefit of targeting plasma cells in addition to B cells. Merck KGaA, Darmstadt, Germany previously initiated a randomized, double-blind,</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040"/>
          </w:cols>
          <w:pgMar w:left="320" w:top="456" w:right="5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placebo-controlled Phase 2/3 clinical trial of atacicept in LN, the APRIL-LN trial, aimed to evaluate the efficacy and safety of atacicept at 150 mg twice weekly for four weeks - then weekly - in patients with active LN. However, this trial was terminated early due to two subjects developing hypogammaglobulinemia with induction therapy (MMF and CS) which continued to worsen when initiating atacicept and subsequently developed pneumonia. In a prior Phase 2 clinical trial of atacicept in SLE also conducted by Merck KGaA, Darmstadt, Germany, despite missing its primary endpoint of improved SLE responder index 4 (SRI- 4) at week 24, in the broader SLE study population, atacicept achieved positive clinical data on multiple measures within the prespecified High Disease Activity patient segment, including reduction of renal flares, which we believe supports atacicept’s applicability in LN. Because both preclinical and clinical evidence suggests atacicept’s dual inhibition of BLyS and APRIL may provide improved clinical outcomes, measured by endpoints designed to assess efficacy, than inhibiting either signal alone, we believe there is a strong rationale to conduct a clinical trial of atacicept in LN. We intend to discuss our development plans for LN with the FDA and obtain feedback in the second half of 2021 and expect to initiate a Phase 2b or Phase 3 clinical trial in 2022.</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Pathophysiology of LN</w:t>
      </w:r>
    </w:p>
    <w:p>
      <w:pPr>
        <w:spacing w:after="0" w:line="39"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LN is a severe renal manifestation of SLE (also referred to as lupus). SLE is a chronic and disabling autoimmune disease in which the body’s own immune system attacks itself. SLE predominantly affects women and is more prevalent in women of color. When LN is diagnosed in a patient, mortality risk dramatically increases.</w:t>
      </w:r>
    </w:p>
    <w:p>
      <w:pPr>
        <w:spacing w:after="0" w:line="146" w:lineRule="exact"/>
        <w:rPr>
          <w:sz w:val="20"/>
          <w:szCs w:val="20"/>
          <w:color w:val="auto"/>
        </w:rPr>
      </w:pPr>
    </w:p>
    <w:p>
      <w:pPr>
        <w:ind w:left="160" w:right="280"/>
        <w:spacing w:after="0" w:line="234" w:lineRule="auto"/>
        <w:rPr>
          <w:sz w:val="20"/>
          <w:szCs w:val="20"/>
          <w:color w:val="auto"/>
        </w:rPr>
      </w:pPr>
      <w:r>
        <w:rPr>
          <w:rFonts w:ascii="Arial" w:cs="Arial" w:eastAsia="Arial" w:hAnsi="Arial"/>
          <w:sz w:val="17"/>
          <w:szCs w:val="17"/>
          <w:color w:val="auto"/>
        </w:rPr>
        <w:t>LN pathogenesis involves a variety of disease-causing mechanisms, including the formation of immune deposits within the kidneys that are primarily due to anti-double stranded DNA (anti-dsDNA) antibodies, which atacicept has been shown to reduce in a dose-dependent manner. However, there are also instances in which induction of LN by anti-dsDNA may not require immune complex formation — autoreactive plasma cells in the kidney may be another cause of nephritis. Certain genes and genetic factors may also predispose patients.</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LN Disease Burden and Diagnosis</w:t>
      </w:r>
    </w:p>
    <w:p>
      <w:pPr>
        <w:spacing w:after="0" w:line="39" w:lineRule="exact"/>
        <w:rPr>
          <w:sz w:val="20"/>
          <w:szCs w:val="20"/>
          <w:color w:val="auto"/>
        </w:rPr>
      </w:pPr>
    </w:p>
    <w:p>
      <w:pPr>
        <w:ind w:left="160" w:right="60"/>
        <w:spacing w:after="0" w:line="239" w:lineRule="auto"/>
        <w:rPr>
          <w:sz w:val="20"/>
          <w:szCs w:val="20"/>
          <w:color w:val="auto"/>
        </w:rPr>
      </w:pPr>
      <w:r>
        <w:rPr>
          <w:rFonts w:ascii="Arial" w:cs="Arial" w:eastAsia="Arial" w:hAnsi="Arial"/>
          <w:sz w:val="17"/>
          <w:szCs w:val="17"/>
          <w:color w:val="auto"/>
        </w:rPr>
        <w:t>LN has a strong influence on morbidity and mortality within SLE, with up to 26% of patients progressing to ESRD within 15 to 20 years from initial diagnosis. LN is characterized by abnormal proteinuria, hematuria, and impaired kidney function.</w:t>
      </w:r>
    </w:p>
    <w:p>
      <w:pPr>
        <w:spacing w:after="0" w:line="146" w:lineRule="exact"/>
        <w:rPr>
          <w:sz w:val="20"/>
          <w:szCs w:val="20"/>
          <w:color w:val="auto"/>
        </w:rPr>
      </w:pPr>
    </w:p>
    <w:p>
      <w:pPr>
        <w:ind w:left="160" w:right="60"/>
        <w:spacing w:after="0" w:line="234" w:lineRule="auto"/>
        <w:rPr>
          <w:sz w:val="20"/>
          <w:szCs w:val="20"/>
          <w:color w:val="auto"/>
        </w:rPr>
      </w:pPr>
      <w:r>
        <w:rPr>
          <w:rFonts w:ascii="Arial" w:cs="Arial" w:eastAsia="Arial" w:hAnsi="Arial"/>
          <w:sz w:val="17"/>
          <w:szCs w:val="17"/>
          <w:color w:val="auto"/>
        </w:rPr>
        <w:t>Diagnosed SLE patients are routinely monitored by rheumatologists, who will refer to nephrologists upon suspicion of renal manifestations. In the United States and European Union, LN patients without a prior SLE diagnosis will typically first present to a primary care physician (U.S.) or internist (EU) with hematuria or proteinuria before ultimate referral to a nephrologist. For confirmatory diagnosis, nephrologists perform renal biopsy — of which the results are analyzed to determine histologic class and relevant treatment course.</w:t>
      </w:r>
    </w:p>
    <w:p>
      <w:pPr>
        <w:spacing w:after="0" w:line="147"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LN patients are segmented in Class I — VI based on histopathology and degree of renal impairment, and this classification drives treatment decisions. Class I, or Minimal mesangial LN, is rarely diagnosed as these patients have normal urinalysis and therefore biopsy is not typically performed. Class II, Mesangial proliferative LN, refers to microscopic hematuria and/or proteinuria. Patients with Class III, or Focal LN, tend to have both hematuria and proteinuria, and may have hypertension, decreased eGFR, and nephrotic syndrome. Class IV, or Diffuse LN, is the most commonly diagnosed and severe form of LN, with patients exhibiting hematuria, proteinuria, nephrotic syndrome, hypertension, and decreased eGFR. Patients with Class V, or lupus membranous nephropathy, tend to have nephrotic syndrome, may have microscopic hematuria and hypertension, but normal UPCR. Class VI, or advanced sclerosing LN, refers to a slow progression of kidney dysfunction correlated with proteinuria.</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060"/>
          </w:cols>
          <w:pgMar w:left="320" w:top="456"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80"/>
        <w:spacing w:after="0" w:line="239" w:lineRule="auto"/>
        <w:rPr>
          <w:sz w:val="20"/>
          <w:szCs w:val="20"/>
          <w:color w:val="auto"/>
        </w:rPr>
      </w:pPr>
      <w:r>
        <w:rPr>
          <w:rFonts w:ascii="Arial" w:cs="Arial" w:eastAsia="Arial" w:hAnsi="Arial"/>
          <w:sz w:val="17"/>
          <w:szCs w:val="17"/>
          <w:color w:val="auto"/>
        </w:rPr>
        <w:t>As shown in Figure 16 below, LN typically develops early in the disease course, though the rate of SLE patients that develop LN increases over time.</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Figure 16: LN Progression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86995</wp:posOffset>
            </wp:positionV>
            <wp:extent cx="5137785" cy="13246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37785" cy="1324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LN Market Opportunity</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According to the Centers for Disease Control and Prevention, there are approximately 322,000 people living with SLE in the United States.</w:t>
      </w:r>
    </w:p>
    <w:p>
      <w:pPr>
        <w:ind w:left="160"/>
        <w:spacing w:after="0"/>
        <w:rPr>
          <w:sz w:val="20"/>
          <w:szCs w:val="20"/>
          <w:color w:val="auto"/>
        </w:rPr>
      </w:pPr>
      <w:r>
        <w:rPr>
          <w:rFonts w:ascii="Arial" w:cs="Arial" w:eastAsia="Arial" w:hAnsi="Arial"/>
          <w:sz w:val="17"/>
          <w:szCs w:val="17"/>
          <w:color w:val="auto"/>
        </w:rPr>
        <w:t>Approximately half of individuals living with SLE develop LN within 15 years of their initial diagnosis, as shown in Figure 16 above.</w:t>
      </w:r>
    </w:p>
    <w:p>
      <w:pPr>
        <w:spacing w:after="0" w:line="152"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We estimate that there are approximately 110,000 LN patients in the United States, 69,000 in the European Union, and 22,000 in Japan at present. In the United States, higher prevalence rates occur in the heterogeneous population, as both SLE and LN occur more frequently among non-Caucasian patients — with the highest frequency of LN occurring in Black and Hispanic populations after adjustment for socioeconomic factors. In all three geographies, women account for the majority of LN cases.</w:t>
      </w:r>
    </w:p>
    <w:p>
      <w:pPr>
        <w:spacing w:after="0" w:line="147" w:lineRule="exact"/>
        <w:rPr>
          <w:sz w:val="20"/>
          <w:szCs w:val="20"/>
          <w:color w:val="auto"/>
        </w:rPr>
      </w:pPr>
    </w:p>
    <w:p>
      <w:pPr>
        <w:ind w:left="160" w:right="140"/>
        <w:spacing w:after="0" w:line="269" w:lineRule="auto"/>
        <w:rPr>
          <w:sz w:val="20"/>
          <w:szCs w:val="20"/>
          <w:color w:val="auto"/>
        </w:rPr>
      </w:pPr>
      <w:r>
        <w:rPr>
          <w:rFonts w:ascii="Arial" w:cs="Arial" w:eastAsia="Arial" w:hAnsi="Arial"/>
          <w:sz w:val="16"/>
          <w:szCs w:val="16"/>
          <w:color w:val="auto"/>
        </w:rPr>
        <w:t>Based on primary market research with physicians and payors and extensive secondary research, we estimate the market for novel LN therapeutics annually to be approximately $2.0 to $5.0 billion, $600 million, and $200 million in United States, Europe, and Japan, respectively.</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Current Standard of Care for LN Patients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Current LN treatment is largely cyclical, with induction versus maintenance therapy dictated by the severity of disease and frequency of flares.</w:t>
      </w:r>
    </w:p>
    <w:p>
      <w:pPr>
        <w:ind w:left="160"/>
        <w:spacing w:after="0" w:line="229" w:lineRule="auto"/>
        <w:rPr>
          <w:sz w:val="20"/>
          <w:szCs w:val="20"/>
          <w:color w:val="auto"/>
        </w:rPr>
      </w:pPr>
      <w:r>
        <w:rPr>
          <w:rFonts w:ascii="Arial" w:cs="Arial" w:eastAsia="Arial" w:hAnsi="Arial"/>
          <w:sz w:val="17"/>
          <w:szCs w:val="17"/>
          <w:color w:val="auto"/>
        </w:rPr>
        <w:t>Treatment is driven by histologic class and can be influenced by the treatments that the patient has been on since SLE diagnosis. Class I and II</w:t>
      </w:r>
    </w:p>
    <w:p>
      <w:pPr>
        <w:ind w:left="160"/>
        <w:spacing w:after="0" w:line="230" w:lineRule="auto"/>
        <w:rPr>
          <w:sz w:val="20"/>
          <w:szCs w:val="20"/>
          <w:color w:val="auto"/>
        </w:rPr>
      </w:pPr>
      <w:r>
        <w:rPr>
          <w:rFonts w:ascii="Arial" w:cs="Arial" w:eastAsia="Arial" w:hAnsi="Arial"/>
          <w:sz w:val="17"/>
          <w:szCs w:val="17"/>
          <w:color w:val="auto"/>
        </w:rPr>
        <w:t>LN do not generally need LN-specific treatment. Within Class III-V, patients tend to receive induction therapy for approximately one year to</w:t>
      </w:r>
    </w:p>
    <w:p>
      <w:pPr>
        <w:ind w:left="160"/>
        <w:spacing w:after="0" w:line="230" w:lineRule="auto"/>
        <w:rPr>
          <w:sz w:val="20"/>
          <w:szCs w:val="20"/>
          <w:color w:val="auto"/>
        </w:rPr>
      </w:pPr>
      <w:r>
        <w:rPr>
          <w:rFonts w:ascii="Arial" w:cs="Arial" w:eastAsia="Arial" w:hAnsi="Arial"/>
          <w:sz w:val="17"/>
          <w:szCs w:val="17"/>
          <w:color w:val="auto"/>
        </w:rPr>
        <w:t>achieve complete or partial remission. Induction therapy for Class III-IV patients include several immunosuppressive agents, such as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mycophenolate mofetil (MMF) ± corticosteroids or cylophosphamide (CYC) ± corticosteroids in the first line of treatment, switching to either CYC</w:t>
      </w:r>
    </w:p>
    <w:p>
      <w:pPr>
        <w:ind w:left="160"/>
        <w:spacing w:after="0" w:line="233" w:lineRule="auto"/>
        <w:rPr>
          <w:sz w:val="20"/>
          <w:szCs w:val="20"/>
          <w:color w:val="auto"/>
        </w:rPr>
      </w:pPr>
      <w:r>
        <w:rPr>
          <w:rFonts w:ascii="Arial" w:cs="Arial" w:eastAsia="Arial" w:hAnsi="Arial"/>
          <w:sz w:val="17"/>
          <w:szCs w:val="17"/>
          <w:color w:val="auto"/>
        </w:rPr>
        <w:t>or MMF in the second line, whichever was not administered first line. Third line induction therapy has generally consisted of rituximab for</w:t>
      </w:r>
    </w:p>
    <w:p>
      <w:pPr>
        <w:ind w:left="160"/>
        <w:spacing w:after="0" w:line="230" w:lineRule="auto"/>
        <w:rPr>
          <w:sz w:val="20"/>
          <w:szCs w:val="20"/>
          <w:color w:val="auto"/>
        </w:rPr>
      </w:pPr>
      <w:r>
        <w:rPr>
          <w:rFonts w:ascii="Arial" w:cs="Arial" w:eastAsia="Arial" w:hAnsi="Arial"/>
          <w:sz w:val="17"/>
          <w:szCs w:val="17"/>
          <w:color w:val="auto"/>
        </w:rPr>
        <w:t>Class III-V patients. For induction therapy of Class V LN patients, patients typically receive MMF ± steroids in the first line, a calcineurin inhibitor</w:t>
      </w:r>
    </w:p>
    <w:p>
      <w:pPr>
        <w:ind w:left="160"/>
        <w:spacing w:after="0" w:line="230" w:lineRule="auto"/>
        <w:rPr>
          <w:sz w:val="20"/>
          <w:szCs w:val="20"/>
          <w:color w:val="auto"/>
        </w:rPr>
      </w:pPr>
      <w:r>
        <w:rPr>
          <w:rFonts w:ascii="Arial" w:cs="Arial" w:eastAsia="Arial" w:hAnsi="Arial"/>
          <w:sz w:val="17"/>
          <w:szCs w:val="17"/>
          <w:color w:val="auto"/>
        </w:rPr>
        <w:t>in the second line, and rituximab for third line. Maintenance therapy, which typically consists of MMF, azathioprine (AZA), or hydroxychloroquine</w:t>
      </w:r>
    </w:p>
    <w:p>
      <w:pPr>
        <w:ind w:left="160"/>
        <w:spacing w:after="0" w:line="230" w:lineRule="auto"/>
        <w:rPr>
          <w:sz w:val="20"/>
          <w:szCs w:val="20"/>
          <w:color w:val="auto"/>
        </w:rPr>
      </w:pPr>
      <w:r>
        <w:rPr>
          <w:rFonts w:ascii="Arial" w:cs="Arial" w:eastAsia="Arial" w:hAnsi="Arial"/>
          <w:sz w:val="17"/>
          <w:szCs w:val="17"/>
          <w:color w:val="auto"/>
        </w:rPr>
        <w:t>(HCQ), is typically prescribed to well controlled patients after any line of induction to reduce flares. Immunosuppressive therapy is unlikely to be</w:t>
      </w:r>
    </w:p>
    <w:p>
      <w:pPr>
        <w:ind w:left="160"/>
        <w:spacing w:after="0"/>
        <w:rPr>
          <w:sz w:val="20"/>
          <w:szCs w:val="20"/>
          <w:color w:val="auto"/>
        </w:rPr>
      </w:pPr>
      <w:r>
        <w:rPr>
          <w:rFonts w:ascii="Arial" w:cs="Arial" w:eastAsia="Arial" w:hAnsi="Arial"/>
          <w:sz w:val="17"/>
          <w:szCs w:val="17"/>
          <w:color w:val="auto"/>
        </w:rPr>
        <w:t>beneficial for Class VI, or advanced sclerosing LN.</w:t>
      </w:r>
    </w:p>
    <w:p>
      <w:pPr>
        <w:spacing w:after="0" w:line="152" w:lineRule="exact"/>
        <w:rPr>
          <w:sz w:val="20"/>
          <w:szCs w:val="20"/>
          <w:color w:val="auto"/>
        </w:rPr>
      </w:pPr>
    </w:p>
    <w:p>
      <w:pPr>
        <w:ind w:left="160" w:right="80"/>
        <w:spacing w:after="0" w:line="236" w:lineRule="auto"/>
        <w:rPr>
          <w:sz w:val="20"/>
          <w:szCs w:val="20"/>
          <w:color w:val="auto"/>
        </w:rPr>
      </w:pPr>
      <w:r>
        <w:rPr>
          <w:rFonts w:ascii="Arial" w:cs="Arial" w:eastAsia="Arial" w:hAnsi="Arial"/>
          <w:sz w:val="17"/>
          <w:szCs w:val="17"/>
          <w:color w:val="auto"/>
        </w:rPr>
        <w:t>Patients on maintenance still experience flares approximately every year, resulting in cycling back to induction therapy. Many of the therapies used in the treatment paradigm today have limited efficacy and poor tolerability profiles — and therefore there is significant unmet need for safe and specific therapies that have a direct impact on LN disease activity without a high risk of infection.</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Recently Approved and Emerging Therapies in Development</w:t>
      </w:r>
    </w:p>
    <w:p>
      <w:pPr>
        <w:spacing w:after="0" w:line="39" w:lineRule="exact"/>
        <w:rPr>
          <w:sz w:val="20"/>
          <w:szCs w:val="20"/>
          <w:color w:val="auto"/>
        </w:rPr>
      </w:pPr>
    </w:p>
    <w:p>
      <w:pPr>
        <w:jc w:val="both"/>
        <w:ind w:left="160" w:right="160"/>
        <w:spacing w:after="0" w:line="252" w:lineRule="auto"/>
        <w:rPr>
          <w:sz w:val="20"/>
          <w:szCs w:val="20"/>
          <w:color w:val="auto"/>
        </w:rPr>
      </w:pPr>
      <w:r>
        <w:rPr>
          <w:rFonts w:ascii="Arial" w:cs="Arial" w:eastAsia="Arial" w:hAnsi="Arial"/>
          <w:sz w:val="16"/>
          <w:szCs w:val="16"/>
          <w:color w:val="auto"/>
        </w:rPr>
        <w:t>Until recently, there were no approved therapies for the treatment of LN. In December 2020, the FDA approved Benlysta (belimumab), an anti-BLyS antibody, for treatment of adult patients with active LN who are receiving standard therapy. In January 2021, the FDA approved Lupkynis (voclosporin), a calcineurin inhibitor, to be used in combination with a background immunosuppressive therapy regimen for adult patients with active LN. Clinical guidelines on how these two medicines may be incorporated into standard of care remain to be updated. In addition</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0960"/>
          </w:cols>
          <w:pgMar w:left="320" w:top="456" w:right="6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 Benlysta (belimumab) and Lupkynis (voclosporin), there are several other cytokine inhibitors and complement inhibitors in development for LN.</w:t>
      </w:r>
    </w:p>
    <w:p>
      <w:pPr>
        <w:spacing w:after="0" w:line="132" w:lineRule="exact"/>
        <w:rPr>
          <w:sz w:val="20"/>
          <w:szCs w:val="20"/>
          <w:color w:val="auto"/>
        </w:rPr>
      </w:pPr>
    </w:p>
    <w:p>
      <w:pPr>
        <w:ind w:left="160" w:right="40"/>
        <w:spacing w:after="0" w:line="246" w:lineRule="auto"/>
        <w:rPr>
          <w:sz w:val="20"/>
          <w:szCs w:val="20"/>
          <w:color w:val="auto"/>
        </w:rPr>
      </w:pPr>
      <w:r>
        <w:rPr>
          <w:rFonts w:ascii="Arial" w:cs="Arial" w:eastAsia="Arial" w:hAnsi="Arial"/>
          <w:sz w:val="17"/>
          <w:szCs w:val="17"/>
          <w:b w:val="1"/>
          <w:bCs w:val="1"/>
          <w:i w:val="1"/>
          <w:iCs w:val="1"/>
          <w:color w:val="auto"/>
        </w:rPr>
        <w:t xml:space="preserve">B-cell Modulators. </w:t>
      </w:r>
      <w:r>
        <w:rPr>
          <w:rFonts w:ascii="Arial" w:cs="Arial" w:eastAsia="Arial" w:hAnsi="Arial"/>
          <w:sz w:val="17"/>
          <w:szCs w:val="17"/>
          <w:color w:val="auto"/>
        </w:rPr>
        <w:t>Benlysta (belimumab) is an anti-BLyS antibody, belonging to the class of B-cell modulators. Within the B-cell modulator class,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is a desire for different mechanisms to target the complex pathophysiology of LN. The results shared to date for these agents reveal statistically significant efficacy, but only achieve complete response rates in fewer than 50% of the patients studied.</w:t>
      </w:r>
    </w:p>
    <w:p>
      <w:pPr>
        <w:spacing w:after="0" w:line="121" w:lineRule="exact"/>
        <w:rPr>
          <w:sz w:val="20"/>
          <w:szCs w:val="20"/>
          <w:color w:val="auto"/>
        </w:rPr>
      </w:pPr>
    </w:p>
    <w:p>
      <w:pPr>
        <w:ind w:left="160" w:right="660"/>
        <w:spacing w:after="0" w:line="246" w:lineRule="auto"/>
        <w:rPr>
          <w:sz w:val="20"/>
          <w:szCs w:val="20"/>
          <w:color w:val="auto"/>
        </w:rPr>
      </w:pPr>
      <w:r>
        <w:rPr>
          <w:rFonts w:ascii="Arial" w:cs="Arial" w:eastAsia="Arial" w:hAnsi="Arial"/>
          <w:sz w:val="17"/>
          <w:szCs w:val="17"/>
          <w:b w:val="1"/>
          <w:bCs w:val="1"/>
          <w:i w:val="1"/>
          <w:iCs w:val="1"/>
          <w:color w:val="auto"/>
        </w:rPr>
        <w:t xml:space="preserve">Calcineurin Inhibition. </w:t>
      </w:r>
      <w:r>
        <w:rPr>
          <w:rFonts w:ascii="Arial" w:cs="Arial" w:eastAsia="Arial" w:hAnsi="Arial"/>
          <w:sz w:val="17"/>
          <w:szCs w:val="17"/>
          <w:color w:val="auto"/>
        </w:rPr>
        <w:t>Lupkynis (voclosporin) is a calcineurin inhibitor, a mechanism which has been commonly used in generic form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induction therapy for Class V patients. Calcineurin inhibition has been shown to reduce cytokine activation of T-cells and protect against proteinuria, however it may pose serious infection risks and nephrotoxicity is a known class effect.</w:t>
      </w:r>
    </w:p>
    <w:p>
      <w:pPr>
        <w:spacing w:after="0" w:line="121" w:lineRule="exact"/>
        <w:rPr>
          <w:sz w:val="20"/>
          <w:szCs w:val="20"/>
          <w:color w:val="auto"/>
        </w:rPr>
      </w:pPr>
    </w:p>
    <w:p>
      <w:pPr>
        <w:ind w:left="160" w:right="460"/>
        <w:spacing w:after="0" w:line="263" w:lineRule="auto"/>
        <w:rPr>
          <w:sz w:val="20"/>
          <w:szCs w:val="20"/>
          <w:color w:val="auto"/>
        </w:rPr>
      </w:pPr>
      <w:r>
        <w:rPr>
          <w:rFonts w:ascii="Arial" w:cs="Arial" w:eastAsia="Arial" w:hAnsi="Arial"/>
          <w:sz w:val="17"/>
          <w:szCs w:val="17"/>
          <w:b w:val="1"/>
          <w:bCs w:val="1"/>
          <w:i w:val="1"/>
          <w:iCs w:val="1"/>
          <w:color w:val="auto"/>
        </w:rPr>
        <w:t xml:space="preserve">Cytokine Inhibitors. </w:t>
      </w:r>
      <w:r>
        <w:rPr>
          <w:rFonts w:ascii="Arial" w:cs="Arial" w:eastAsia="Arial" w:hAnsi="Arial"/>
          <w:sz w:val="17"/>
          <w:szCs w:val="17"/>
          <w:color w:val="auto"/>
        </w:rPr>
        <w:t>The other cytokine inhibitors under investigation offer blockade of key pro-inflammatory cytokines (IL17A, IL23, Type 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IFNs) involved in the pathogenesis of LN, however they are early in their development.</w:t>
      </w:r>
    </w:p>
    <w:p>
      <w:pPr>
        <w:spacing w:after="0" w:line="107" w:lineRule="exact"/>
        <w:rPr>
          <w:sz w:val="20"/>
          <w:szCs w:val="20"/>
          <w:color w:val="auto"/>
        </w:rPr>
      </w:pPr>
    </w:p>
    <w:p>
      <w:pPr>
        <w:ind w:left="160" w:right="140"/>
        <w:spacing w:after="0" w:line="246" w:lineRule="auto"/>
        <w:rPr>
          <w:sz w:val="20"/>
          <w:szCs w:val="20"/>
          <w:color w:val="auto"/>
        </w:rPr>
      </w:pPr>
      <w:r>
        <w:rPr>
          <w:rFonts w:ascii="Arial" w:cs="Arial" w:eastAsia="Arial" w:hAnsi="Arial"/>
          <w:sz w:val="17"/>
          <w:szCs w:val="17"/>
          <w:b w:val="1"/>
          <w:bCs w:val="1"/>
          <w:i w:val="1"/>
          <w:iCs w:val="1"/>
          <w:color w:val="auto"/>
        </w:rPr>
        <w:t xml:space="preserve">Complement Pathway Inhibitors. </w:t>
      </w:r>
      <w:r>
        <w:rPr>
          <w:rFonts w:ascii="Arial" w:cs="Arial" w:eastAsia="Arial" w:hAnsi="Arial"/>
          <w:sz w:val="17"/>
          <w:szCs w:val="17"/>
          <w:color w:val="auto"/>
        </w:rPr>
        <w:t>Complement pathway inhibitors are also early in their development, but unlikely to be disease modifying,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complement activation is one result of the inflammation caused by immune-complex deposition in the kidneys, downstream of key steps in disease pathophysiology.</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Solution: Atacicept / Scientific Rationale in LN</w:t>
      </w:r>
    </w:p>
    <w:p>
      <w:pPr>
        <w:spacing w:after="0" w:line="28" w:lineRule="exact"/>
        <w:rPr>
          <w:sz w:val="20"/>
          <w:szCs w:val="20"/>
          <w:color w:val="auto"/>
        </w:rPr>
      </w:pPr>
    </w:p>
    <w:p>
      <w:pPr>
        <w:ind w:left="160"/>
        <w:spacing w:after="0" w:line="241" w:lineRule="auto"/>
        <w:rPr>
          <w:sz w:val="20"/>
          <w:szCs w:val="20"/>
          <w:color w:val="auto"/>
        </w:rPr>
      </w:pPr>
      <w:r>
        <w:rPr>
          <w:rFonts w:ascii="Arial" w:cs="Arial" w:eastAsia="Arial" w:hAnsi="Arial"/>
          <w:sz w:val="17"/>
          <w:szCs w:val="17"/>
          <w:b w:val="1"/>
          <w:bCs w:val="1"/>
          <w:color w:val="auto"/>
        </w:rPr>
        <w:t xml:space="preserve">Targeting both BLyS and APRIL is key to reduce autoantibodies produced by B cells and plasma cells in LN. </w:t>
      </w:r>
      <w:r>
        <w:rPr>
          <w:rFonts w:ascii="Arial" w:cs="Arial" w:eastAsia="Arial" w:hAnsi="Arial"/>
          <w:sz w:val="17"/>
          <w:szCs w:val="17"/>
          <w:color w:val="auto"/>
        </w:rPr>
        <w:t>Autoantibodies play a large</w:t>
      </w:r>
      <w:r>
        <w:rPr>
          <w:rFonts w:ascii="Arial" w:cs="Arial" w:eastAsia="Arial" w:hAnsi="Arial"/>
          <w:sz w:val="17"/>
          <w:szCs w:val="17"/>
          <w:b w:val="1"/>
          <w:bCs w:val="1"/>
          <w:color w:val="auto"/>
        </w:rPr>
        <w:t xml:space="preserve"> </w:t>
      </w:r>
      <w:r>
        <w:rPr>
          <w:rFonts w:ascii="Arial" w:cs="Arial" w:eastAsia="Arial" w:hAnsi="Arial"/>
          <w:sz w:val="17"/>
          <w:szCs w:val="17"/>
          <w:color w:val="auto"/>
        </w:rPr>
        <w:t>role in the pathogenesis of LN. Autoantibodies target tissue or form immune complexes, leading to tissue and organ damage. Both short-lived and long-lived plasma cells are responsible for generating high levels of autoantibodies in LN.</w:t>
      </w:r>
    </w:p>
    <w:p>
      <w:pPr>
        <w:spacing w:after="0" w:line="144" w:lineRule="exact"/>
        <w:rPr>
          <w:sz w:val="20"/>
          <w:szCs w:val="20"/>
          <w:color w:val="auto"/>
        </w:rPr>
      </w:pPr>
    </w:p>
    <w:p>
      <w:pPr>
        <w:ind w:left="160" w:right="260"/>
        <w:spacing w:after="0" w:line="236" w:lineRule="auto"/>
        <w:rPr>
          <w:sz w:val="20"/>
          <w:szCs w:val="20"/>
          <w:color w:val="auto"/>
        </w:rPr>
      </w:pPr>
      <w:r>
        <w:rPr>
          <w:rFonts w:ascii="Arial" w:cs="Arial" w:eastAsia="Arial" w:hAnsi="Arial"/>
          <w:sz w:val="17"/>
          <w:szCs w:val="17"/>
          <w:color w:val="auto"/>
        </w:rPr>
        <w:t>Short-lived plasma blasts are the main B cell effector subset dependent on activation of various of B cell receptors such as TACI, BCMA and BLyS. Therefore, B cell blocking agents such as rituxan (anti-CD20) and Benlysta (belimumab) (anti-BLyS) can reduce short-lived plasma cells and the resulting autoantibody production.</w:t>
      </w:r>
    </w:p>
    <w:p>
      <w:pPr>
        <w:spacing w:after="0" w:line="146" w:lineRule="exact"/>
        <w:rPr>
          <w:sz w:val="20"/>
          <w:szCs w:val="20"/>
          <w:color w:val="auto"/>
        </w:rPr>
      </w:pPr>
    </w:p>
    <w:p>
      <w:pPr>
        <w:ind w:left="160" w:right="60"/>
        <w:spacing w:after="0" w:line="236" w:lineRule="auto"/>
        <w:rPr>
          <w:sz w:val="20"/>
          <w:szCs w:val="20"/>
          <w:color w:val="auto"/>
        </w:rPr>
      </w:pPr>
      <w:r>
        <w:rPr>
          <w:rFonts w:ascii="Arial" w:cs="Arial" w:eastAsia="Arial" w:hAnsi="Arial"/>
          <w:sz w:val="17"/>
          <w:szCs w:val="17"/>
          <w:color w:val="auto"/>
        </w:rPr>
        <w:t>Long-lived plasma cells are in bone marrow and inflammatory tissue niches, and form antibodies in the absence of B-cell activation. Inflammatory tissue has high levels of BLyS and APRIL, which serve to maintain long-lived plasma cells. Inhibiting APRIL blocks long-lived nonproliferating plasma cell activities to further reduce autoantibody formations in LN.</w:t>
      </w:r>
    </w:p>
    <w:p>
      <w:pPr>
        <w:spacing w:after="0" w:line="146" w:lineRule="exact"/>
        <w:rPr>
          <w:sz w:val="20"/>
          <w:szCs w:val="20"/>
          <w:color w:val="auto"/>
        </w:rPr>
      </w:pPr>
    </w:p>
    <w:p>
      <w:pPr>
        <w:ind w:left="160" w:right="360"/>
        <w:spacing w:after="0" w:line="234" w:lineRule="auto"/>
        <w:rPr>
          <w:sz w:val="20"/>
          <w:szCs w:val="20"/>
          <w:color w:val="auto"/>
        </w:rPr>
      </w:pPr>
      <w:r>
        <w:rPr>
          <w:rFonts w:ascii="Arial" w:cs="Arial" w:eastAsia="Arial" w:hAnsi="Arial"/>
          <w:sz w:val="17"/>
          <w:szCs w:val="17"/>
          <w:color w:val="auto"/>
        </w:rPr>
        <w:t>Atacicept contains the soluble TACI receptor that binds to the cytokines BLyS and APRIL and prevents their interaction with TACI, BCMA and BlyS receptors (BLyS-R is also known as BAFF-R). Atacicept thus inhibits survival of immature and mature B cells and antibody-producing plasma cells and prevents immunoglobulin class switching. In contrast to a range of available biologics directed at B cells only, we believe atacicept has a prompt and marked effect on antibody production by inhibiting both short-lived and long-lived plasma cells.</w:t>
      </w:r>
    </w:p>
    <w:p>
      <w:pPr>
        <w:spacing w:after="0" w:line="127"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b w:val="1"/>
          <w:bCs w:val="1"/>
          <w:color w:val="auto"/>
        </w:rPr>
        <w:t xml:space="preserve">Preclinical evidence indicates that dual inhibition of BLyS and APRIL is superior to either BLyS or APRIL alone. </w:t>
      </w:r>
      <w:r>
        <w:rPr>
          <w:rFonts w:ascii="Arial" w:cs="Arial" w:eastAsia="Arial" w:hAnsi="Arial"/>
          <w:sz w:val="16"/>
          <w:szCs w:val="16"/>
          <w:color w:val="auto"/>
        </w:rPr>
        <w:t>Animal models of kidney</w:t>
      </w:r>
      <w:r>
        <w:rPr>
          <w:rFonts w:ascii="Arial" w:cs="Arial" w:eastAsia="Arial" w:hAnsi="Arial"/>
          <w:sz w:val="16"/>
          <w:szCs w:val="16"/>
          <w:b w:val="1"/>
          <w:bCs w:val="1"/>
          <w:color w:val="auto"/>
        </w:rPr>
        <w:t xml:space="preserve"> </w:t>
      </w:r>
      <w:r>
        <w:rPr>
          <w:rFonts w:ascii="Arial" w:cs="Arial" w:eastAsia="Arial" w:hAnsi="Arial"/>
          <w:sz w:val="16"/>
          <w:szCs w:val="16"/>
          <w:color w:val="auto"/>
        </w:rPr>
        <w:t>disease have confirmed that atacicept reduces plasma cell numbers and reduces autoantibodies more effectively than BLyS and APRIL antibodies given individually. In a mouse model of collagen-induced arthritis, soluble atacicept inhibited development of collagen-specific antibodies and reduced the incidence of the disease better than BLyS (also known as BAFF) agents alone. In a mouse model of SLE, soluble atacicept decreased the number of B cells, increased survival time and reduced severity of disease symptoms. Furthermore, in a mouse model of SLE, atacicept administered after onset of autoimmunity decreased the number of bone marrow plasma cells and slowed down further formation of autoantibodies. Atacicept prevented renal damage during a 12-week treatment period regardless of autoantibody levels, while BLyS-only inhibitor did not. Atacicept also decreased established plasma cells in an immunization model better than single inhibitors of BLyS or APRIL.</w:t>
      </w:r>
    </w:p>
    <w:p>
      <w:pPr>
        <w:spacing w:after="0" w:line="119" w:lineRule="exact"/>
        <w:rPr>
          <w:sz w:val="20"/>
          <w:szCs w:val="20"/>
          <w:color w:val="auto"/>
        </w:rPr>
      </w:pPr>
    </w:p>
    <w:p>
      <w:pPr>
        <w:ind w:left="160" w:right="80"/>
        <w:spacing w:after="0" w:line="246" w:lineRule="auto"/>
        <w:rPr>
          <w:sz w:val="20"/>
          <w:szCs w:val="20"/>
          <w:color w:val="auto"/>
        </w:rPr>
      </w:pPr>
      <w:r>
        <w:rPr>
          <w:rFonts w:ascii="Arial" w:cs="Arial" w:eastAsia="Arial" w:hAnsi="Arial"/>
          <w:sz w:val="17"/>
          <w:szCs w:val="17"/>
          <w:b w:val="1"/>
          <w:bCs w:val="1"/>
          <w:color w:val="auto"/>
        </w:rPr>
        <w:t xml:space="preserve">In patients with active SLE, targeting BLyS and APRIL (atacicept) appears to have improved clinical outcomes, measured by endpoints designed to assess efficacy, than BLyS alone (Benlysta (belimumab)). </w:t>
      </w:r>
      <w:r>
        <w:rPr>
          <w:rFonts w:ascii="Arial" w:cs="Arial" w:eastAsia="Arial" w:hAnsi="Arial"/>
          <w:sz w:val="17"/>
          <w:szCs w:val="17"/>
          <w:color w:val="auto"/>
        </w:rPr>
        <w:t>While Atacicept and Benlysta (belimumab) have not been studied</w:t>
      </w:r>
      <w:r>
        <w:rPr>
          <w:rFonts w:ascii="Arial" w:cs="Arial" w:eastAsia="Arial" w:hAnsi="Arial"/>
          <w:sz w:val="17"/>
          <w:szCs w:val="17"/>
          <w:b w:val="1"/>
          <w:bCs w:val="1"/>
          <w:color w:val="auto"/>
        </w:rPr>
        <w:t xml:space="preserve"> </w:t>
      </w:r>
      <w:r>
        <w:rPr>
          <w:rFonts w:ascii="Arial" w:cs="Arial" w:eastAsia="Arial" w:hAnsi="Arial"/>
          <w:sz w:val="17"/>
          <w:szCs w:val="17"/>
          <w:color w:val="auto"/>
        </w:rPr>
        <w:t>head-to-head in clinical trials, each has been studied in similar</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080"/>
          </w:cols>
          <w:pgMar w:left="320" w:top="456"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populations of patients with SLE, and results of a Phase 2 clinical trial of 150 mg of atacicept compared favorably to published reports on changes in symptom response index (SRI-4) of belimumab. In a Phase 2 clinical trial of atacicept, the magnitude of efficacy as measured by the difference between treatment and placebo by SRI-4 at 24 weeks was approximately 39% (25% placebo, 64% atacicept 75 mg, 65% atacicept 150 mg, both p=0.005). For Benlysta (belimumab), in a Phase 3 clinical trial of SLE patients, a published analysis of patients with HDA and serologically active disease, clinical efficacy for Benlysta (belimumab) 10 mg/kg showed a difference between treatment and placebo by SRI-4 at 24 weeks of approximately 12%. However, as this data is based on a cross-trial comparison and not a head-to-head clinical trial, such data may not be directly comparable due to differences in study protocols, conditions and patient populations. Accordingly, cross-trial comparisons may not be reliable predictors of the relative efficacy or other benefits of atacicept compared to other product candidates that may be approved or that are in development.</w:t>
      </w:r>
    </w:p>
    <w:p>
      <w:pPr>
        <w:spacing w:after="0" w:line="145" w:lineRule="exact"/>
        <w:rPr>
          <w:sz w:val="20"/>
          <w:szCs w:val="20"/>
          <w:color w:val="auto"/>
        </w:rPr>
      </w:pPr>
    </w:p>
    <w:p>
      <w:pPr>
        <w:ind w:left="160"/>
        <w:spacing w:after="0" w:line="235" w:lineRule="auto"/>
        <w:rPr>
          <w:sz w:val="20"/>
          <w:szCs w:val="20"/>
          <w:color w:val="auto"/>
        </w:rPr>
      </w:pPr>
      <w:r>
        <w:rPr>
          <w:rFonts w:ascii="Arial" w:cs="Arial" w:eastAsia="Arial" w:hAnsi="Arial"/>
          <w:sz w:val="17"/>
          <w:szCs w:val="17"/>
          <w:color w:val="auto"/>
        </w:rPr>
        <w:t>In SLE, atacicept consistently demonstrated improved clinical outcomes, measured by endpoints designed to assess efficacy, in SLE patients with HDA (SLEDAI-2K ³10) versus placebo across additional clinical measures and consistent across all SRI cut-offs, as well as using the separate clinical assessment, BILAG-based Combined Lupus Assessment (BICLA). In the HDA population in ADDRESS II, the BICLA delta at week 24 was 20% (atacicept 150 mg 49%, placebo 29.2%, p=0.035), which compares very favorably to BICLA data from other late-stage SLE clinical trials, such as anifrolumab (week 24 BICLA in 16%) and ustekinumab (2%). We believe that based on these results, we believe an improved clinical benefit may be observed in patients with LN.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Prior Clinical Development of Atacicept in LN</w:t>
      </w:r>
    </w:p>
    <w:p>
      <w:pPr>
        <w:spacing w:after="0" w:line="39"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Merck KGaA, Darmstadt, Germany conducted a randomized, double-blind, placebo-controlled Phase 2/3 clinical trial of atacicept in LN, the APRIL-LN trial, aimed to evaluate the efficacy and safety of atacicept in patients with active LN. As per trial protocol, patients initiated high-dose corticosteroids (CS) (the lesser of 0.8 mg/kg/day or 60 mg/day prednisone) and mycophenolate mofetil MMF (1 g daily, increased by 1 g/day each week to 3 g daily) at the time of screening (day -14). From day 1, atacicept (150 mg, subcutaneously, twice weekly for four weeks, then weekly) was initiated with MMF along with a tapered dose of CS.</w:t>
      </w:r>
    </w:p>
    <w:p>
      <w:pPr>
        <w:spacing w:after="0" w:line="148" w:lineRule="exact"/>
        <w:rPr>
          <w:sz w:val="20"/>
          <w:szCs w:val="20"/>
          <w:color w:val="auto"/>
        </w:rPr>
      </w:pPr>
    </w:p>
    <w:p>
      <w:pPr>
        <w:ind w:left="160" w:right="180"/>
        <w:spacing w:after="0" w:line="249" w:lineRule="auto"/>
        <w:rPr>
          <w:sz w:val="20"/>
          <w:szCs w:val="20"/>
          <w:color w:val="auto"/>
        </w:rPr>
      </w:pPr>
      <w:r>
        <w:rPr>
          <w:rFonts w:ascii="Arial" w:cs="Arial" w:eastAsia="Arial" w:hAnsi="Arial"/>
          <w:sz w:val="16"/>
          <w:szCs w:val="16"/>
          <w:color w:val="auto"/>
        </w:rPr>
        <w:t>Four of the six enrolled LN subjects developed decreases in the serum IgG levels following the initiation of MMF and CS in the setting of significant proteinuria, which are contributing factors of hypogammaglobulinemia. After initiation of atacicept, serum IgG levels further reduced; two subjects developed severe hypogammaglobulinemia, defined as IgG &lt;3 g/L and pneumonia. These two subjects recovered after treatment discontinuation and received antibiotics therapy. This trial was terminated. Based on the detailed assessment of results from this trial, plans to develop atacicept for the treatment of LN will explore alternatives to the induction regimen studied previously, including not dosing atacicept 150 mg twice weekly; clearly defining the dosing regimen for CS and MMF; and closely monitoring immunoglobulin levels during induction therapy.</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Evaluation of Safety and Efficacy Profile of Atacicept In SLE</w:t>
      </w:r>
    </w:p>
    <w:p>
      <w:pPr>
        <w:spacing w:after="0" w:line="91" w:lineRule="exact"/>
        <w:rPr>
          <w:sz w:val="20"/>
          <w:szCs w:val="20"/>
          <w:color w:val="auto"/>
        </w:rPr>
      </w:pPr>
    </w:p>
    <w:p>
      <w:pPr>
        <w:ind w:left="160" w:right="80"/>
        <w:spacing w:after="0" w:line="234" w:lineRule="auto"/>
        <w:rPr>
          <w:sz w:val="20"/>
          <w:szCs w:val="20"/>
          <w:color w:val="auto"/>
        </w:rPr>
      </w:pPr>
      <w:r>
        <w:rPr>
          <w:rFonts w:ascii="Arial" w:cs="Arial" w:eastAsia="Arial" w:hAnsi="Arial"/>
          <w:sz w:val="17"/>
          <w:szCs w:val="17"/>
          <w:color w:val="auto"/>
        </w:rPr>
        <w:t>Atacicept 75 mg and 150 mg, dosed once per week with subcutaneous auto-injection, have demonstrated improved clinical outcomes, measured by endpoints designed to assess efficacy, in subjects with SLE in the Phase 2 APRIL-SLE and ADDRESS II trials. In these trials, autoantibody titers were significantly reduced, and prespecified and post hoc analyses revealed prevention of flare and reduction of active disease with atacicept treatment, despite the fact that the primary endpoints in these trials were not met.</w:t>
      </w:r>
    </w:p>
    <w:p>
      <w:pPr>
        <w:spacing w:after="0" w:line="135" w:lineRule="exact"/>
        <w:rPr>
          <w:sz w:val="20"/>
          <w:szCs w:val="20"/>
          <w:color w:val="auto"/>
        </w:rPr>
      </w:pPr>
    </w:p>
    <w:p>
      <w:pPr>
        <w:ind w:left="160"/>
        <w:spacing w:after="0" w:line="248" w:lineRule="auto"/>
        <w:rPr>
          <w:sz w:val="20"/>
          <w:szCs w:val="20"/>
          <w:color w:val="auto"/>
        </w:rPr>
      </w:pPr>
      <w:r>
        <w:rPr>
          <w:rFonts w:ascii="Arial" w:cs="Arial" w:eastAsia="Arial" w:hAnsi="Arial"/>
          <w:sz w:val="17"/>
          <w:szCs w:val="17"/>
          <w:color w:val="auto"/>
        </w:rPr>
        <w:t>In ADDRESS II, SLE subjects with HDA (SLEDAI-2K ³ 10) had an increase in SLE Responder Index (SRI)-6 response, attainment of low disease activity (LDA), or SLEDAI-2K £ 2, and a reduction of the risk of a first new severe flare (defined by SLEDAI Flare Index (SFI) or by BILAG A) when treated with atacicept 150 mg. Furthermore, the 024 long-term extension (LTE) trial showed durability of these effects through a median duration of treatment of 96 weeks.</w:t>
      </w:r>
    </w:p>
    <w:p>
      <w:pPr>
        <w:spacing w:after="0" w:line="140" w:lineRule="exact"/>
        <w:rPr>
          <w:sz w:val="20"/>
          <w:szCs w:val="20"/>
          <w:color w:val="auto"/>
        </w:rPr>
      </w:pPr>
    </w:p>
    <w:p>
      <w:pPr>
        <w:ind w:left="160" w:right="80"/>
        <w:spacing w:after="0" w:line="234" w:lineRule="auto"/>
        <w:rPr>
          <w:sz w:val="20"/>
          <w:szCs w:val="20"/>
          <w:color w:val="auto"/>
        </w:rPr>
      </w:pPr>
      <w:r>
        <w:rPr>
          <w:rFonts w:ascii="Arial" w:cs="Arial" w:eastAsia="Arial" w:hAnsi="Arial"/>
          <w:sz w:val="17"/>
          <w:szCs w:val="17"/>
          <w:color w:val="auto"/>
        </w:rPr>
        <w:t>Following the release of the HDA data, Merck KGaA, Darmstadt, Germany pursued the planning and initiation of a global Phase 3 registrational program for atacicept 150 mg once per week in SLE. This program, including two large Phase 3 randomized placebo-controlled trials of atacicept 150 mg compared to placebo, were reviewed by FDA via end-of-phase 2 communication and scientific advice communication with EMA, prior to Merck KGaA, Darmstadt, Germany terminating the SLE program and the IgAN program for business strategy reasons.</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080"/>
          </w:cols>
          <w:pgMar w:left="320" w:top="456"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Phase 2 SLE Clinical Trial In Patients With SLE For 52 Weeks</w:t>
      </w:r>
    </w:p>
    <w:p>
      <w:pPr>
        <w:spacing w:after="0" w:line="52" w:lineRule="exact"/>
        <w:rPr>
          <w:sz w:val="20"/>
          <w:szCs w:val="20"/>
          <w:color w:val="auto"/>
        </w:rPr>
      </w:pPr>
    </w:p>
    <w:p>
      <w:pPr>
        <w:ind w:left="160"/>
        <w:spacing w:after="0" w:line="239" w:lineRule="auto"/>
        <w:rPr>
          <w:sz w:val="20"/>
          <w:szCs w:val="20"/>
          <w:color w:val="auto"/>
        </w:rPr>
      </w:pPr>
      <w:r>
        <w:rPr>
          <w:rFonts w:ascii="Arial" w:cs="Arial" w:eastAsia="Arial" w:hAnsi="Arial"/>
          <w:sz w:val="17"/>
          <w:szCs w:val="17"/>
          <w:color w:val="auto"/>
        </w:rPr>
        <w:t>ADDRESS II, a Phase 2b SLE trial of 306 patients, evaluated the efficacy and safety of atacicept at two subcutaneous doses (150 mg and 75 mg) versus placebo over the course of 24 weeks, with a LTE arm continuing an additional 96 weeks.</w:t>
      </w:r>
    </w:p>
    <w:p>
      <w:pPr>
        <w:spacing w:after="0" w:line="146" w:lineRule="exact"/>
        <w:rPr>
          <w:sz w:val="20"/>
          <w:szCs w:val="20"/>
          <w:color w:val="auto"/>
        </w:rPr>
      </w:pPr>
    </w:p>
    <w:p>
      <w:pPr>
        <w:ind w:left="160" w:right="980"/>
        <w:spacing w:after="0" w:line="239" w:lineRule="auto"/>
        <w:rPr>
          <w:sz w:val="20"/>
          <w:szCs w:val="20"/>
          <w:color w:val="auto"/>
        </w:rPr>
      </w:pPr>
      <w:r>
        <w:rPr>
          <w:rFonts w:ascii="Arial" w:cs="Arial" w:eastAsia="Arial" w:hAnsi="Arial"/>
          <w:sz w:val="17"/>
          <w:szCs w:val="17"/>
          <w:color w:val="auto"/>
        </w:rPr>
        <w:t>Atacicept demonstrated consistent reductions in IgG, IgA, and IgM serum levels, and reductions in anti-dsDNA antibodies, as well as improvements in serum C3 and C4 levels, as shown in Figure 17 below.</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Figure 17: Atacicept Impact on Key Biomarkers in the Phase 2 ADDRESS II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87630</wp:posOffset>
            </wp:positionV>
            <wp:extent cx="5137785" cy="2675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37785" cy="267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60" w:right="240"/>
        <w:spacing w:after="0" w:line="237" w:lineRule="auto"/>
        <w:rPr>
          <w:sz w:val="20"/>
          <w:szCs w:val="20"/>
          <w:color w:val="auto"/>
        </w:rPr>
      </w:pPr>
      <w:r>
        <w:rPr>
          <w:rFonts w:ascii="Arial" w:cs="Arial" w:eastAsia="Arial" w:hAnsi="Arial"/>
          <w:sz w:val="17"/>
          <w:szCs w:val="17"/>
          <w:color w:val="auto"/>
        </w:rPr>
        <w:t>Though atacicept missed its primary endpoint of SRI-6 reduction versus placebo in all comers, in a pre-specified analysis within HDA patients, which comprised approximately half of those enrolled, atacicept 150 mg showed improved clinical outcomes, measured by multiple endpoints designed to assess efficacy, including a 26% improvement (p=0.005) by SRI-6 versus placebo, flare risk reduction, and serologic marker normalization. SRI-6 response is defined as ³6-point reduction in the SELENA-SLEDAI score, and no new BILAG A organ domain score or two new BILAG B organ domain scores, and no worsening (&lt;0.30-point increase) in Physician’s Global Assessment score.</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060"/>
          </w:cols>
          <w:pgMar w:left="320" w:top="456" w:right="5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Figure 18: SRI-6 Response Among HDA Patients in the Phase 2 ADDRESS II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87630</wp:posOffset>
            </wp:positionV>
            <wp:extent cx="5137785" cy="2454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37785" cy="2454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0" w:right="80"/>
        <w:spacing w:after="0" w:line="239" w:lineRule="auto"/>
        <w:rPr>
          <w:sz w:val="20"/>
          <w:szCs w:val="20"/>
          <w:color w:val="auto"/>
        </w:rPr>
      </w:pPr>
      <w:r>
        <w:rPr>
          <w:rFonts w:ascii="Arial" w:cs="Arial" w:eastAsia="Arial" w:hAnsi="Arial"/>
          <w:sz w:val="17"/>
          <w:szCs w:val="17"/>
          <w:color w:val="auto"/>
        </w:rPr>
        <w:t>Also among this HDA patient segment, significantly more patients on the atacicept 150 mg arm reached LDA, as measured by SLEDAI-2K &lt;= 2, as shown in Figure 19 below.</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Figure 19: HDA Patients Reaching LDA in the Phase 2 ADDRESS II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87630</wp:posOffset>
            </wp:positionV>
            <wp:extent cx="5137785" cy="23780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37785" cy="2378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Furthermore, Figure 20 below demonstrates the durable clinical outcomes observed in the HDA segment: more patients reached LDA by multiple measures at both week 24 and week 48. Significantly more patients treated with atacicept 150 mg once weekly versus placebo demonstrated clinical improvement (as shown by SRI-6), achieved LDA, and remission.</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020"/>
          </w:cols>
          <w:pgMar w:left="320" w:top="456" w:right="5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Figure 20: Durable Clinical Outcomes Observed in HDA Patients in the Phase 2 ADDRESS II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86995</wp:posOffset>
            </wp:positionV>
            <wp:extent cx="5197475" cy="41700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97475" cy="417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We believe that the clinical outcomes, measured by endpoints designed to assess efficacy, demonstrated on multiple measures within the HDA segment of the SLE population in the ADDRESS II trial – and a favorable tolerability profile observed in ADDRESS II, as well as the integrated safety analysis in over 1,500 patients – provide the foundation of our rationale for developing atacicept further in LN, a severe renal manifestation of SLE.</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Exclusive License Agreement with Ares Trading S.A.</w:t>
      </w:r>
    </w:p>
    <w:p>
      <w:pPr>
        <w:spacing w:after="0" w:line="91"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On October 29, 2020, we entered into an Exclusive License Agreement with Ares, an affiliate of Merck KGaA, Darmstadt, Germany (Ares Agreement), pursuant to which Ares granted us an exclusive worldwide license to certain patents and related know-how to research, develop, manufacture, use and commercialize therapeutic products containing atacicept or any other compound that is covered by a claim of such licensed patents. Pursuant to the Ares Agreement, Ares also transferred inventory of licensed product to us for use in our clinical development of atacicept.</w:t>
      </w:r>
    </w:p>
    <w:p>
      <w:pPr>
        <w:spacing w:after="0" w:line="148" w:lineRule="exact"/>
        <w:rPr>
          <w:sz w:val="20"/>
          <w:szCs w:val="20"/>
          <w:color w:val="auto"/>
        </w:rPr>
      </w:pPr>
    </w:p>
    <w:p>
      <w:pPr>
        <w:ind w:left="160" w:right="120"/>
        <w:spacing w:after="0" w:line="234" w:lineRule="auto"/>
        <w:rPr>
          <w:sz w:val="20"/>
          <w:szCs w:val="20"/>
          <w:color w:val="auto"/>
        </w:rPr>
      </w:pPr>
      <w:r>
        <w:rPr>
          <w:rFonts w:ascii="Arial" w:cs="Arial" w:eastAsia="Arial" w:hAnsi="Arial"/>
          <w:sz w:val="17"/>
          <w:szCs w:val="17"/>
          <w:color w:val="auto"/>
        </w:rPr>
        <w:t>Per the Ares Agreement, we have obligations to use commercially reasonable efforts to develop at least one licensed product, to launch at least one licensed product in a major market country within a specified time frame after receiving marketing approval for such product and to maintain sufficient resources to manufacture and supply licensed products to meet the market demand in each country for which a licensed product has received marketing approval.</w:t>
      </w:r>
    </w:p>
    <w:p>
      <w:pPr>
        <w:spacing w:after="0" w:line="147" w:lineRule="exact"/>
        <w:rPr>
          <w:sz w:val="20"/>
          <w:szCs w:val="20"/>
          <w:color w:val="auto"/>
        </w:rPr>
      </w:pPr>
    </w:p>
    <w:p>
      <w:pPr>
        <w:ind w:left="160" w:right="40"/>
        <w:spacing w:after="0" w:line="239" w:lineRule="auto"/>
        <w:rPr>
          <w:sz w:val="20"/>
          <w:szCs w:val="20"/>
          <w:color w:val="auto"/>
        </w:rPr>
      </w:pPr>
      <w:r>
        <w:rPr>
          <w:rFonts w:ascii="Arial" w:cs="Arial" w:eastAsia="Arial" w:hAnsi="Arial"/>
          <w:sz w:val="17"/>
          <w:szCs w:val="17"/>
          <w:color w:val="auto"/>
        </w:rPr>
        <w:t>In consideration for the rights granted under the Ares Agreement, we issued 22,171,553 shares of our Series C redeemable convertible preferred stock to Ares at the time of the initial closing of our Series C redeemable convertible</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060"/>
          </w:cols>
          <w:pgMar w:left="320" w:top="456"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100"/>
        <w:spacing w:after="0" w:line="231" w:lineRule="auto"/>
        <w:rPr>
          <w:sz w:val="20"/>
          <w:szCs w:val="20"/>
          <w:color w:val="auto"/>
        </w:rPr>
      </w:pPr>
      <w:r>
        <w:rPr>
          <w:rFonts w:ascii="Arial" w:cs="Arial" w:eastAsia="Arial" w:hAnsi="Arial"/>
          <w:sz w:val="17"/>
          <w:szCs w:val="17"/>
          <w:color w:val="auto"/>
        </w:rPr>
        <w:t>preferred stock financing in October 2020, representing ownership of approximately 10% on a fully diluted basis. As additional consideration under the Ares Agreement, we paid Ares $25.0 million upon delivery and initiation of the transfer of specified information and supply of drug product and drug substance and we are required to pay Ares aggregate milestone payments of up to $176.5 million upon the achievement of specified BLA filing or regulatory approvals in the United States, Europe and Japan (the first of which consists of a $15.0 million payment upon filing of the BLA), and aggregate milestone payments of up to $515 million upon the achievement of specified commercial milestones. Commencing on the first commercial sale of licensed products, we are obligated to pay tiered royalties of low double-digit to mid-teen percentages on annual net sales of the products covered by the license. Our obligation to pay royalties will expire on a licensed product-by-licensed product and country-by-country basis until the latest of (i) 15 years after the first commercial sale of such licensed product in such country; (ii) the expiration of the last valid claim of a licensed patent that covers such licensed product in, or its use, importation or manufacture with respect to, such country; and (iii) expiration of all applicable regulatory exclusivity periods in such country with respect to such licensed product. In the event we sublicense our rights under the Ares Agreement, we are obligated to pay Ares a percentage ranging from the mid single-digit to the low double-digits of specified sublicensing income received.</w:t>
      </w:r>
    </w:p>
    <w:p>
      <w:pPr>
        <w:spacing w:after="0" w:line="150"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The term of the Ares Agreement will expire on a licensed product-by-licensed product and country-by-country basis upon the expiration of our obligation to pay royalties to Ares with respect to such licensed product in such country. We have the right to terminate the Ares Agreement at will upon a specified notice period, provided that such termination is not within two years of the effective date of the Ares Agreement. Ares has the right to terminate the Ares Agreement in the event we challenge the validity of the licensed patents. Additionally, either party can terminate the Ares Agreement for the other party’s uncured material breach or bankruptcy.</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Intellectual Property</w:t>
      </w:r>
    </w:p>
    <w:p>
      <w:pPr>
        <w:spacing w:after="0" w:line="91"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Our success depends in part upon our ability to protect our core technology and intellectual property. To protect our intellectual property rights, we rely on patents, trademarks, copyrights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the United States and internationally for our product candidate, and other inventions that are important to our business. For our product candidates, we generally intend to pursue patent protection covering compositions of matter, including new formulations, methods of making and methods of use. As we continue the development of our product candidates, we intend to identify additional means of obtaining patent protection that would potentially enhance commercial success, including through claims covering additional methods of use.</w:t>
      </w:r>
    </w:p>
    <w:p>
      <w:pPr>
        <w:spacing w:after="0" w:line="147"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As of October 29, 2020, we have licensed, including sublicenses, from Ares, an affiliate of Merck KGaA, Darmstadt, Germany, a patent portfolio related to atacicept that contains approximately fifteen issued U.S. patents, as well as certain foreign counterparts of a subset of these patents in foreign countries, including Australia, Brazil, Canada, China, Hong Kong, Israel, India, Japan, Mexico, New Zealand, Ukraine, Singapore, South Korea, South Africa, and countries within the European Patent Convention and the Eurasian Patent Organization. The issued patents are expected to expire between 2022 and 2029, with patents covering the composition of matter of atacicept expiring in 2022.</w:t>
      </w:r>
    </w:p>
    <w:p>
      <w:pPr>
        <w:spacing w:after="0" w:line="148"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In regards to atacicept, we in-license a patent family that includes one issued U.S. patent with claims covering a method of purifying atacicept and over 10 foreign patents granted in various jurisdictions including Australia, China, Europe, Israel, and Mexico. The U.S. patent is expected to expire in 2028 and the foreign patents are expected to expire in 2027. We also in-license a patent family that includes one issued U.S. patent with claims covering a formulation of atacicept and six foreign patents granted in various jurisdictions such as Australia, Canada, China, and Europe. The U.S. patent is expected to expire in 2029, without taking into account any patent term extension, and the foreign patents are expected to expire in 2028.</w:t>
      </w:r>
    </w:p>
    <w:p>
      <w:pPr>
        <w:spacing w:after="0" w:line="145" w:lineRule="exact"/>
        <w:rPr>
          <w:sz w:val="20"/>
          <w:szCs w:val="20"/>
          <w:color w:val="auto"/>
        </w:rPr>
      </w:pPr>
    </w:p>
    <w:p>
      <w:pPr>
        <w:ind w:left="160" w:right="180"/>
        <w:spacing w:after="0" w:line="256" w:lineRule="auto"/>
        <w:rPr>
          <w:sz w:val="20"/>
          <w:szCs w:val="20"/>
          <w:color w:val="auto"/>
        </w:rPr>
      </w:pPr>
      <w:r>
        <w:rPr>
          <w:rFonts w:ascii="Arial" w:cs="Arial" w:eastAsia="Arial" w:hAnsi="Arial"/>
          <w:sz w:val="16"/>
          <w:szCs w:val="16"/>
          <w:color w:val="auto"/>
        </w:rPr>
        <w:t>Because atacicept is a biologic, marketing approval would also provide 12 years of market exclusivity from the approval date of a BLA in the United States. We are currently seeking orphan drug designation for atacicept in IgAN from the FDA and EMA, which, if secured, would provide seven and ten years, in the United States and European Union, respectively, of regulatory exclusivity protection from the approval date.</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060"/>
          </w:cols>
          <w:pgMar w:left="320" w:top="456"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In addition to patents, we may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For more information, see “Risk Factors—Risks Related to Our Intellectual Property.”</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Furthermore, we seek trademark protection in the United States and internationally where available and when we deem appropriate.</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Manufacturing and Supply</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We manage a number of external commercial manufacturing organizations (CMOs) to develop and manufacture our product candidates.</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Atacicept is a fully humanized fusion protein that impacts the B-cell pathway, which has well characterized implications in immunologic diseases.</w:t>
      </w:r>
    </w:p>
    <w:p>
      <w:pPr>
        <w:ind w:left="160"/>
        <w:spacing w:after="0"/>
        <w:rPr>
          <w:sz w:val="20"/>
          <w:szCs w:val="20"/>
          <w:color w:val="auto"/>
        </w:rPr>
      </w:pPr>
      <w:r>
        <w:rPr>
          <w:rFonts w:ascii="Arial" w:cs="Arial" w:eastAsia="Arial" w:hAnsi="Arial"/>
          <w:sz w:val="17"/>
          <w:szCs w:val="17"/>
          <w:color w:val="auto"/>
        </w:rPr>
        <w:t>The human IgG1-Fc was modified to reduce the Fc binding to the C1q component of complement and the interaction with Fc receptors.</w:t>
      </w:r>
    </w:p>
    <w:p>
      <w:pPr>
        <w:spacing w:after="0" w:line="152" w:lineRule="exact"/>
        <w:rPr>
          <w:sz w:val="20"/>
          <w:szCs w:val="20"/>
          <w:color w:val="auto"/>
        </w:rPr>
      </w:pPr>
    </w:p>
    <w:p>
      <w:pPr>
        <w:ind w:left="160" w:right="400"/>
        <w:spacing w:after="0" w:line="239" w:lineRule="auto"/>
        <w:rPr>
          <w:sz w:val="20"/>
          <w:szCs w:val="20"/>
          <w:color w:val="auto"/>
        </w:rPr>
      </w:pPr>
      <w:r>
        <w:rPr>
          <w:rFonts w:ascii="Arial" w:cs="Arial" w:eastAsia="Arial" w:hAnsi="Arial"/>
          <w:sz w:val="17"/>
          <w:szCs w:val="17"/>
          <w:color w:val="auto"/>
        </w:rPr>
        <w:t>Atacicept is manufactured following Current Good Manufacturing Procedures (cGMP) using a process that is similar to that used routinely for production of monoclonal antibodies.</w:t>
      </w:r>
    </w:p>
    <w:p>
      <w:pPr>
        <w:spacing w:after="0" w:line="146" w:lineRule="exact"/>
        <w:rPr>
          <w:sz w:val="20"/>
          <w:szCs w:val="20"/>
          <w:color w:val="auto"/>
        </w:rPr>
      </w:pPr>
    </w:p>
    <w:p>
      <w:pPr>
        <w:ind w:left="160" w:right="120"/>
        <w:spacing w:after="0" w:line="252" w:lineRule="auto"/>
        <w:rPr>
          <w:sz w:val="20"/>
          <w:szCs w:val="20"/>
          <w:color w:val="auto"/>
        </w:rPr>
      </w:pPr>
      <w:r>
        <w:rPr>
          <w:rFonts w:ascii="Arial" w:cs="Arial" w:eastAsia="Arial" w:hAnsi="Arial"/>
          <w:sz w:val="16"/>
          <w:szCs w:val="16"/>
          <w:color w:val="auto"/>
        </w:rPr>
        <w:t>The atacicept drug product is available as a ready-to-use injection solution in a prefilled syringe (PFS) at strengths of 25 mg/mL, 75 mg/mL, or 150 mg/mL of trial drug. Each atacicept PFS is designed to deliver a 1 mL solution of drug product. The drug product formulation is composed of atacicept as the active substance, a sugar as a stabilizing agent, and sodium acetate as a buffer. All formulation components are pharmacopeia grade. An atacicept drug product presentation in a prefilled autoinjector has been developed and will be implemented for future clinical trials.</w:t>
      </w:r>
    </w:p>
    <w:p>
      <w:pPr>
        <w:spacing w:after="0" w:line="137" w:lineRule="exact"/>
        <w:rPr>
          <w:sz w:val="20"/>
          <w:szCs w:val="20"/>
          <w:color w:val="auto"/>
        </w:rPr>
      </w:pPr>
    </w:p>
    <w:p>
      <w:pPr>
        <w:ind w:left="160" w:right="40"/>
        <w:spacing w:after="0" w:line="239" w:lineRule="auto"/>
        <w:rPr>
          <w:sz w:val="20"/>
          <w:szCs w:val="20"/>
          <w:color w:val="auto"/>
        </w:rPr>
      </w:pPr>
      <w:r>
        <w:rPr>
          <w:rFonts w:ascii="Arial" w:cs="Arial" w:eastAsia="Arial" w:hAnsi="Arial"/>
          <w:sz w:val="17"/>
          <w:szCs w:val="17"/>
          <w:color w:val="auto"/>
        </w:rPr>
        <w:t>The Ares Agreement includes the transfer of all existing inventory of atacicept drug substance and drug product, for our use in planned and future clinical trials.</w:t>
      </w:r>
    </w:p>
    <w:p>
      <w:pPr>
        <w:spacing w:after="0" w:line="146" w:lineRule="exact"/>
        <w:rPr>
          <w:sz w:val="20"/>
          <w:szCs w:val="20"/>
          <w:color w:val="auto"/>
        </w:rPr>
      </w:pPr>
    </w:p>
    <w:p>
      <w:pPr>
        <w:ind w:left="160" w:right="80"/>
        <w:spacing w:after="0" w:line="252" w:lineRule="auto"/>
        <w:rPr>
          <w:sz w:val="20"/>
          <w:szCs w:val="20"/>
          <w:color w:val="auto"/>
        </w:rPr>
      </w:pPr>
      <w:r>
        <w:rPr>
          <w:rFonts w:ascii="Arial" w:cs="Arial" w:eastAsia="Arial" w:hAnsi="Arial"/>
          <w:sz w:val="16"/>
          <w:szCs w:val="16"/>
          <w:color w:val="auto"/>
        </w:rPr>
        <w:t>We acquired approximately 35,000 PFS of atacicept, representing all three strengths, 25 mg, 75 mg, and 150 mg, of atacicept and approximately 25,000 PFS of placebo, as part of the Ares Agreement. This drug product will be used to initiate the Phase 2b ORIGIN trial. Additionally, we will acquire 6 kg of atacicept drug substance. As part of the Ares Agreement, in the first quarter of 2022, Ares will convert the 6 kg of drug substance into drug product to supply both the ongoing Phase 2b ORIGIN trial and to support our future clinical trials through the first quarter in 2026.</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Commercialization Plans</w:t>
      </w:r>
    </w:p>
    <w:p>
      <w:pPr>
        <w:spacing w:after="0" w:line="77" w:lineRule="exact"/>
        <w:rPr>
          <w:sz w:val="20"/>
          <w:szCs w:val="20"/>
          <w:color w:val="auto"/>
        </w:rPr>
      </w:pPr>
    </w:p>
    <w:p>
      <w:pPr>
        <w:ind w:left="160" w:right="180"/>
        <w:spacing w:after="0" w:line="234" w:lineRule="auto"/>
        <w:rPr>
          <w:sz w:val="20"/>
          <w:szCs w:val="20"/>
          <w:color w:val="auto"/>
        </w:rPr>
      </w:pPr>
      <w:r>
        <w:rPr>
          <w:rFonts w:ascii="Arial" w:cs="Arial" w:eastAsia="Arial" w:hAnsi="Arial"/>
          <w:sz w:val="17"/>
          <w:szCs w:val="17"/>
          <w:color w:val="auto"/>
        </w:rPr>
        <w:t>We estimate the market opportunity for novel therapeutics in IgAN across the United States, Europe, and Japan to be approximately $5.6 billion to $9.6 billion annually, based on our assumptions, secondary research, and primary market research with physicians and payors. In order to capitalize on this opportunity, we plan to build a specialty commercial infrastructure focused on IgAN, engaging treating physicians, including nephrologists, educating and engaging patients, and ensuring market access for patients.</w:t>
      </w:r>
    </w:p>
    <w:p>
      <w:pPr>
        <w:spacing w:after="0" w:line="147" w:lineRule="exact"/>
        <w:rPr>
          <w:sz w:val="20"/>
          <w:szCs w:val="20"/>
          <w:color w:val="auto"/>
        </w:rPr>
      </w:pPr>
    </w:p>
    <w:p>
      <w:pPr>
        <w:ind w:left="160" w:right="180"/>
        <w:spacing w:after="0" w:line="234" w:lineRule="auto"/>
        <w:rPr>
          <w:sz w:val="20"/>
          <w:szCs w:val="20"/>
          <w:color w:val="auto"/>
        </w:rPr>
      </w:pPr>
      <w:r>
        <w:rPr>
          <w:rFonts w:ascii="Arial" w:cs="Arial" w:eastAsia="Arial" w:hAnsi="Arial"/>
          <w:sz w:val="17"/>
          <w:szCs w:val="17"/>
          <w:color w:val="auto"/>
        </w:rPr>
        <w:t>For novel therapeutics in LN, we estimate the market opportunity across the United States, Europe, and Japan to be $2.8 billion to $5.8 billion annually, based on a similar methodology. If we receive regulatory approval for atacicept in both IgAN and LN, we plan to assess call point overlap for the two indications and selectively build out our future commercial infrastructure to address any gaps to optimize our coverage of LN treating physicians. We also plan to build out LN-specific patient and market access programs, leveraging synergies where possible.</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080"/>
          </w:cols>
          <w:pgMar w:left="320" w:top="456"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color w:val="auto"/>
        </w:rPr>
        <w:t>Through with the Ares Agreement, we were granted worldwide rights to the development and commercialization of atacicept in all indications. We intend to commercialize atacicept ourselves in the United States and other key markets, if approved. Within certain ex-U.S. markets, we may consider strategic collaborations to facilitate commercialization.</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Competition</w:t>
      </w:r>
    </w:p>
    <w:p>
      <w:pPr>
        <w:spacing w:after="0" w:line="91" w:lineRule="exact"/>
        <w:rPr>
          <w:sz w:val="20"/>
          <w:szCs w:val="20"/>
          <w:color w:val="auto"/>
        </w:rPr>
      </w:pPr>
    </w:p>
    <w:p>
      <w:pPr>
        <w:ind w:left="160" w:right="220"/>
        <w:spacing w:after="0" w:line="252" w:lineRule="auto"/>
        <w:rPr>
          <w:sz w:val="20"/>
          <w:szCs w:val="20"/>
          <w:color w:val="auto"/>
        </w:rPr>
      </w:pPr>
      <w:r>
        <w:rPr>
          <w:rFonts w:ascii="Arial" w:cs="Arial" w:eastAsia="Arial" w:hAnsi="Arial"/>
          <w:sz w:val="16"/>
          <w:szCs w:val="16"/>
          <w:color w:val="auto"/>
        </w:rPr>
        <w:t>The biotechnology and pharmaceutical industries are characterized by rapidly changing technologies, significant competition and a strong emphasis on intellectual property. This is also true for the development and commercialization of treatments for immunologic diseases. Though we believe that our focus, experienced team, scientific knowledge, and intellectual property provide us with competitive advantages, we face competition from a number of sources, including large and small biopharmaceutical companies, universities, and other research institutions.</w:t>
      </w:r>
    </w:p>
    <w:p>
      <w:pPr>
        <w:spacing w:after="0" w:line="137"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There are currently no approved therapies for IgAN and current standard-of-care consists of treatment with RAAS inhibitors, including ACE inhibitors or ARBs, to control blood pressure, or steroids with or without other immunosuppressive agents to non-specifically reduce inflammation. Atacicept, if and when approved and successfully commercialized, may compete with these existing approaches and with any new therapies that may become available in the future. Among emerging therapies, we consider our most direct competitors with respect to atacicept in IgAN to be the programs in Phase 3 clinical development: Calliditas Therapeutics AB, Novartis Pharmaceuticals Corporation (Novartis), Omeros Corporation, Travere Therapeutics, Inc., and Chinook Therapeutics Inc., and the following companies with programs in Phase 2 of clinical development: Chinook Therapeutics Inc., Alnylam Pharmaceuticals Inc., Apellis Pharmaceuticals, Inc., Reata Pharmaceuticals, Inc., RemeGen Co., Ltd., Visterra, Inc., Ionis Pharmaceuticals, Inc., Alexion Pharmaceuticals Inc. (Alexion), and DiaMedica Therapeutics, Inc. There is also a potential that SGLT2 inhibitors, including AstraZeneca plc’s (AstraZeneca) farxiga, which has completed Phase 3 clinical development, and C.H. Boehringer Sohn AG &amp; Ko. KG’s (Boehringer) jardiance, which is undergoing Phase 3 clinical development, will be approved broadly for chronic kidney disease and used in IgAN.</w:t>
      </w:r>
    </w:p>
    <w:p>
      <w:pPr>
        <w:spacing w:after="0" w:line="150"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In LN, prior to December 2020, there had been no approved therapies, and the standard-of-care has consisted of a number of non-specific therapies, including MMF, steroids, CYC, rituxumab, calcineurin inhibitors, AZA, and HCQ, dependent on class of disease and whether a patient was cycling through the induction or maintenance phase of therapy. We expect that these paradigms will evolve with the recent FDA approvals of GlaxoSmithKline plc’s Benlysta (belimumab) and Aurinia Pharmaceuticals Inc.’s Lupkynis (voclosporin), both of which we consider to be direct competitors. Our competitors include the following companies with programs in Phase 3 clinical development: Roche Holding AG and Novartis, and the following companies with programs in Phase 2 clinical development: BeiGene Ltd., Janssen Pharmaceuticals, Inc., AstraZeneca, Alexion, Omeros Corporation, Kezar Life Science Inc., Bristol Myers Squibb, Boehringer, and Novartis.</w:t>
      </w:r>
    </w:p>
    <w:p>
      <w:pPr>
        <w:spacing w:after="0" w:line="148"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Many of our competitors have significantly greater financial, technical, human and other resources than we do and may be better equipped to develop, manufacture and market technologically superior products. In addition, many of these competitors have significantly greater experience than we have in undertaking nonclinical studies and human clinical trials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spacing w:after="0" w:line="145" w:lineRule="exact"/>
        <w:rPr>
          <w:sz w:val="20"/>
          <w:szCs w:val="20"/>
          <w:color w:val="auto"/>
        </w:rPr>
      </w:pPr>
    </w:p>
    <w:p>
      <w:pPr>
        <w:ind w:left="160" w:right="20"/>
        <w:spacing w:after="0" w:line="234" w:lineRule="auto"/>
        <w:rPr>
          <w:sz w:val="20"/>
          <w:szCs w:val="20"/>
          <w:color w:val="auto"/>
        </w:rPr>
      </w:pPr>
      <w:r>
        <w:rPr>
          <w:rFonts w:ascii="Arial" w:cs="Arial" w:eastAsia="Arial" w:hAnsi="Arial"/>
          <w:sz w:val="17"/>
          <w:szCs w:val="17"/>
          <w:color w:val="auto"/>
        </w:rPr>
        <w:t>Our competitors may obtain regulatory approval of their products more rapidly than we do or may obtain patent protection or other intellectual property rights that limit our ability to develop or commercialize our product candidate or any future product candidates. Our competitors may also develop drugs that are more effective, more convenient, more widely used and less costly or have a better safety profile than our products and these competitors may also be more successful than we are in manufacturing and marketing their products. If we are unable to</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060"/>
          </w:cols>
          <w:pgMar w:left="320" w:top="456" w:right="5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compete effectively against these companies, then we may not be able to commercialize our product candidate or any future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Government Regulation</w:t>
      </w:r>
    </w:p>
    <w:p>
      <w:pPr>
        <w:spacing w:after="0" w:line="91"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labeling, packaging, storage, record-keeping, promotion, advertising, distribution, post-approval monitoring and reporting, marketing and export and import of drug and biological products, such as our investigational medicines and any future investigational medicines.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Regulatory Approval in the United States</w:t>
      </w:r>
    </w:p>
    <w:p>
      <w:pPr>
        <w:spacing w:after="0" w:line="52"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In the United States, pharmaceutical products are subject to extensive regulation by the FDA. The Federal Food, Drug and Cosmetic Act (FDCA), and other federal and state statutes and regulations, govern, among other things, the research, development, testing, manufacture, storage, recordkeeping, approval, labeling, promotion and marketing, distribution, post- approval monitoring and reporting, sampling, and import and export of pharmaceutical products. Biological products used for the prevention, treatment or cure of a disease or condition of a human being are subject to regulation under the FDCA, except the section of the FDCA that governs the approval of a new drug application (NDA). Biological products are approved, or licensed, for marketing under provisions of the Public Health Service Act (PHSA) via a BLA. The application process and requirements for approval of BLAs for originator biological products are similar to those for NDAs for new chemical entities,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39" w:lineRule="exact"/>
        <w:rPr>
          <w:sz w:val="20"/>
          <w:szCs w:val="20"/>
          <w:color w:val="auto"/>
        </w:rPr>
      </w:pPr>
    </w:p>
    <w:p>
      <w:pPr>
        <w:ind w:left="160" w:right="440"/>
        <w:spacing w:after="0" w:line="239" w:lineRule="auto"/>
        <w:rPr>
          <w:sz w:val="20"/>
          <w:szCs w:val="20"/>
          <w:color w:val="auto"/>
        </w:rPr>
      </w:pPr>
      <w:r>
        <w:rPr>
          <w:rFonts w:ascii="Arial" w:cs="Arial" w:eastAsia="Arial" w:hAnsi="Arial"/>
          <w:sz w:val="17"/>
          <w:szCs w:val="17"/>
          <w:color w:val="auto"/>
        </w:rPr>
        <w:t>Our investigational medicines and any future investigational medicines must be approved by the FDA pursuant to a BLA before they may be legally marketed in the United States. The process generally involves the following:</w:t>
      </w:r>
    </w:p>
    <w:p>
      <w:pPr>
        <w:spacing w:after="0" w:line="186" w:lineRule="exact"/>
        <w:rPr>
          <w:sz w:val="20"/>
          <w:szCs w:val="20"/>
          <w:color w:val="auto"/>
        </w:rPr>
      </w:pPr>
    </w:p>
    <w:p>
      <w:pPr>
        <w:ind w:left="1020" w:right="760" w:hanging="425"/>
        <w:spacing w:after="0" w:line="239" w:lineRule="auto"/>
        <w:tabs>
          <w:tab w:leader="none" w:pos="1020" w:val="left"/>
        </w:tabs>
        <w:numPr>
          <w:ilvl w:val="0"/>
          <w:numId w:val="64"/>
        </w:numPr>
        <w:rPr>
          <w:rFonts w:ascii="MS PGothic" w:cs="MS PGothic" w:eastAsia="MS PGothic" w:hAnsi="MS PGothic"/>
          <w:sz w:val="12"/>
          <w:szCs w:val="12"/>
          <w:color w:val="auto"/>
        </w:rPr>
      </w:pPr>
      <w:r>
        <w:rPr>
          <w:rFonts w:ascii="Arial" w:cs="Arial" w:eastAsia="Arial" w:hAnsi="Arial"/>
          <w:sz w:val="17"/>
          <w:szCs w:val="17"/>
          <w:color w:val="auto"/>
        </w:rPr>
        <w:t>completion of extensive preclinical laboratory and animal studies in accordance with applicable regulations, including studies conducted in accordance with good laboratory practices (GLP) requirements;</w:t>
      </w:r>
    </w:p>
    <w:p>
      <w:pPr>
        <w:spacing w:after="0" w:line="25" w:lineRule="exact"/>
        <w:rPr>
          <w:rFonts w:ascii="MS PGothic" w:cs="MS PGothic" w:eastAsia="MS PGothic" w:hAnsi="MS PGothic"/>
          <w:sz w:val="12"/>
          <w:szCs w:val="12"/>
          <w:color w:val="auto"/>
        </w:rPr>
      </w:pPr>
    </w:p>
    <w:p>
      <w:pPr>
        <w:ind w:left="1020" w:right="360" w:hanging="425"/>
        <w:spacing w:after="0" w:line="239" w:lineRule="auto"/>
        <w:tabs>
          <w:tab w:leader="none" w:pos="1020" w:val="left"/>
        </w:tabs>
        <w:numPr>
          <w:ilvl w:val="0"/>
          <w:numId w:val="64"/>
        </w:numPr>
        <w:rPr>
          <w:rFonts w:ascii="MS PGothic" w:cs="MS PGothic" w:eastAsia="MS PGothic" w:hAnsi="MS PGothic"/>
          <w:sz w:val="12"/>
          <w:szCs w:val="12"/>
          <w:color w:val="auto"/>
        </w:rPr>
      </w:pPr>
      <w:r>
        <w:rPr>
          <w:rFonts w:ascii="Arial" w:cs="Arial" w:eastAsia="Arial" w:hAnsi="Arial"/>
          <w:sz w:val="17"/>
          <w:szCs w:val="17"/>
          <w:color w:val="auto"/>
        </w:rPr>
        <w:t>submission to the FDA of an Investigational New Drug Application (IND), which must become effective before human clinical trials may begin;</w:t>
      </w:r>
    </w:p>
    <w:p>
      <w:pPr>
        <w:spacing w:after="0" w:line="25" w:lineRule="exact"/>
        <w:rPr>
          <w:rFonts w:ascii="MS PGothic" w:cs="MS PGothic" w:eastAsia="MS PGothic" w:hAnsi="MS PGothic"/>
          <w:sz w:val="12"/>
          <w:szCs w:val="12"/>
          <w:color w:val="auto"/>
        </w:rPr>
      </w:pPr>
    </w:p>
    <w:p>
      <w:pPr>
        <w:ind w:left="1020" w:right="60" w:hanging="425"/>
        <w:spacing w:after="0" w:line="239" w:lineRule="auto"/>
        <w:tabs>
          <w:tab w:leader="none" w:pos="1020" w:val="left"/>
        </w:tabs>
        <w:numPr>
          <w:ilvl w:val="0"/>
          <w:numId w:val="64"/>
        </w:numPr>
        <w:rPr>
          <w:rFonts w:ascii="MS PGothic" w:cs="MS PGothic" w:eastAsia="MS PGothic" w:hAnsi="MS PGothic"/>
          <w:sz w:val="12"/>
          <w:szCs w:val="12"/>
          <w:color w:val="auto"/>
        </w:rPr>
      </w:pPr>
      <w:r>
        <w:rPr>
          <w:rFonts w:ascii="Arial" w:cs="Arial" w:eastAsia="Arial" w:hAnsi="Arial"/>
          <w:sz w:val="17"/>
          <w:szCs w:val="17"/>
          <w:color w:val="auto"/>
        </w:rPr>
        <w:t>approval of the protocol and related documents by an institutional review board (IRB) or independent ethics committee at each clinical trial site before each clinical trial may be commenced;</w:t>
      </w:r>
    </w:p>
    <w:p>
      <w:pPr>
        <w:spacing w:after="0" w:line="25" w:lineRule="exact"/>
        <w:rPr>
          <w:rFonts w:ascii="MS PGothic" w:cs="MS PGothic" w:eastAsia="MS PGothic" w:hAnsi="MS PGothic"/>
          <w:sz w:val="12"/>
          <w:szCs w:val="12"/>
          <w:color w:val="auto"/>
        </w:rPr>
      </w:pPr>
    </w:p>
    <w:p>
      <w:pPr>
        <w:ind w:left="1020" w:right="520" w:hanging="425"/>
        <w:spacing w:after="0" w:line="236" w:lineRule="auto"/>
        <w:tabs>
          <w:tab w:leader="none" w:pos="1020" w:val="left"/>
        </w:tabs>
        <w:numPr>
          <w:ilvl w:val="0"/>
          <w:numId w:val="64"/>
        </w:numPr>
        <w:rPr>
          <w:rFonts w:ascii="MS PGothic" w:cs="MS PGothic" w:eastAsia="MS PGothic" w:hAnsi="MS PGothic"/>
          <w:sz w:val="12"/>
          <w:szCs w:val="12"/>
          <w:color w:val="auto"/>
        </w:rPr>
      </w:pPr>
      <w:r>
        <w:rPr>
          <w:rFonts w:ascii="Arial" w:cs="Arial" w:eastAsia="Arial" w:hAnsi="Arial"/>
          <w:sz w:val="17"/>
          <w:szCs w:val="17"/>
          <w:color w:val="auto"/>
        </w:rPr>
        <w:t>performance of adequate and well controlled human clinical trials in accordance with applicable IND regulations, good clinical practices (GCP) requirements and other clinical trial-related regulations to establish the safety and efficacy of the investigational product for each proposed indication;</w:t>
      </w:r>
    </w:p>
    <w:p>
      <w:pPr>
        <w:spacing w:after="0" w:line="25" w:lineRule="exact"/>
        <w:rPr>
          <w:rFonts w:ascii="MS PGothic" w:cs="MS PGothic" w:eastAsia="MS PGothic" w:hAnsi="MS PGothic"/>
          <w:sz w:val="12"/>
          <w:szCs w:val="12"/>
          <w:color w:val="auto"/>
        </w:rPr>
      </w:pPr>
    </w:p>
    <w:p>
      <w:pPr>
        <w:ind w:left="1020" w:right="120" w:hanging="425"/>
        <w:spacing w:after="0" w:line="236" w:lineRule="auto"/>
        <w:tabs>
          <w:tab w:leader="none" w:pos="1020" w:val="left"/>
        </w:tabs>
        <w:numPr>
          <w:ilvl w:val="0"/>
          <w:numId w:val="64"/>
        </w:numPr>
        <w:rPr>
          <w:rFonts w:ascii="MS PGothic" w:cs="MS PGothic" w:eastAsia="MS PGothic" w:hAnsi="MS PGothic"/>
          <w:sz w:val="12"/>
          <w:szCs w:val="12"/>
          <w:color w:val="auto"/>
        </w:rPr>
      </w:pPr>
      <w:r>
        <w:rPr>
          <w:rFonts w:ascii="Arial" w:cs="Arial" w:eastAsia="Arial" w:hAnsi="Arial"/>
          <w:sz w:val="17"/>
          <w:szCs w:val="17"/>
          <w:color w:val="auto"/>
        </w:rPr>
        <w:t>preparation of and submission to the FDA of a BLA for marketing approval that includes sufficient evidence of establishing the safety, purity, and potency of the proposed biological product for its intended indication, including from results of nonclinical testing and clinical trials;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64"/>
        </w:numPr>
        <w:rPr>
          <w:rFonts w:ascii="MS PGothic" w:cs="MS PGothic" w:eastAsia="MS PGothic" w:hAnsi="MS PGothic"/>
          <w:sz w:val="12"/>
          <w:szCs w:val="12"/>
          <w:color w:val="auto"/>
        </w:rPr>
      </w:pPr>
      <w:r>
        <w:rPr>
          <w:rFonts w:ascii="Arial" w:cs="Arial" w:eastAsia="Arial" w:hAnsi="Arial"/>
          <w:sz w:val="17"/>
          <w:szCs w:val="17"/>
          <w:color w:val="auto"/>
        </w:rPr>
        <w:t>payment of any user fees for FDA review of the BLA;</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64"/>
        </w:numPr>
        <w:rPr>
          <w:rFonts w:ascii="MS PGothic" w:cs="MS PGothic" w:eastAsia="MS PGothic" w:hAnsi="MS PGothic"/>
          <w:sz w:val="12"/>
          <w:szCs w:val="12"/>
          <w:color w:val="auto"/>
        </w:rPr>
      </w:pPr>
      <w:r>
        <w:rPr>
          <w:rFonts w:ascii="Arial" w:cs="Arial" w:eastAsia="Arial" w:hAnsi="Arial"/>
          <w:sz w:val="17"/>
          <w:szCs w:val="17"/>
          <w:color w:val="auto"/>
        </w:rPr>
        <w:t>a determination by the FDA within 60 days of its receipt of a BLA to accept the filing for review;</w:t>
      </w:r>
    </w:p>
    <w:p>
      <w:pPr>
        <w:spacing w:after="0" w:line="31" w:lineRule="exact"/>
        <w:rPr>
          <w:rFonts w:ascii="MS PGothic" w:cs="MS PGothic" w:eastAsia="MS PGothic" w:hAnsi="MS PGothic"/>
          <w:sz w:val="12"/>
          <w:szCs w:val="12"/>
          <w:color w:val="auto"/>
        </w:rPr>
      </w:pPr>
    </w:p>
    <w:p>
      <w:pPr>
        <w:ind w:left="1020" w:right="300" w:hanging="425"/>
        <w:spacing w:after="0" w:line="236" w:lineRule="auto"/>
        <w:tabs>
          <w:tab w:leader="none" w:pos="1020" w:val="left"/>
        </w:tabs>
        <w:numPr>
          <w:ilvl w:val="0"/>
          <w:numId w:val="64"/>
        </w:numPr>
        <w:rPr>
          <w:rFonts w:ascii="MS PGothic" w:cs="MS PGothic" w:eastAsia="MS PGothic" w:hAnsi="MS PGothic"/>
          <w:sz w:val="12"/>
          <w:szCs w:val="12"/>
          <w:color w:val="auto"/>
        </w:rPr>
      </w:pPr>
      <w:r>
        <w:rPr>
          <w:rFonts w:ascii="Arial" w:cs="Arial" w:eastAsia="Arial" w:hAnsi="Arial"/>
          <w:sz w:val="17"/>
          <w:szCs w:val="17"/>
          <w:color w:val="auto"/>
        </w:rPr>
        <w:t>satisfactory completion of one or more FDA pre-approval inspections of the manufacturing facility or facilities where the biologic, or components thereof, will be produced to assess compliance with current good manufacturing processes (cGMP) requirements to assure that the facilities, methods and controls are adequate to preserve the biologic’s identity, strength, quality and purity;</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080"/>
          </w:cols>
          <w:pgMar w:left="320" w:top="456"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020" w:right="340" w:hanging="425"/>
        <w:spacing w:after="0" w:line="239" w:lineRule="auto"/>
        <w:tabs>
          <w:tab w:leader="none" w:pos="1020" w:val="left"/>
        </w:tabs>
        <w:numPr>
          <w:ilvl w:val="0"/>
          <w:numId w:val="65"/>
        </w:numPr>
        <w:rPr>
          <w:rFonts w:ascii="MS PGothic" w:cs="MS PGothic" w:eastAsia="MS PGothic" w:hAnsi="MS PGothic"/>
          <w:sz w:val="12"/>
          <w:szCs w:val="12"/>
          <w:color w:val="auto"/>
        </w:rPr>
      </w:pPr>
      <w:r>
        <w:rPr>
          <w:rFonts w:ascii="Arial" w:cs="Arial" w:eastAsia="Arial" w:hAnsi="Arial"/>
          <w:sz w:val="17"/>
          <w:szCs w:val="17"/>
          <w:color w:val="auto"/>
        </w:rPr>
        <w:t>satisfactory completion of any potential FDA audits of the clinical trial sites that generated the data in support of the BLA to assure compliance with GCPs and integrity of the clinical data;</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65"/>
        </w:numPr>
        <w:rPr>
          <w:rFonts w:ascii="MS PGothic" w:cs="MS PGothic" w:eastAsia="MS PGothic" w:hAnsi="MS PGothic"/>
          <w:sz w:val="12"/>
          <w:szCs w:val="12"/>
          <w:color w:val="auto"/>
        </w:rPr>
      </w:pPr>
      <w:r>
        <w:rPr>
          <w:rFonts w:ascii="Arial" w:cs="Arial" w:eastAsia="Arial" w:hAnsi="Arial"/>
          <w:sz w:val="17"/>
          <w:szCs w:val="17"/>
          <w:color w:val="auto"/>
        </w:rPr>
        <w:t>potential FDA audit of the nonclinical study and clinical trial sites that generated the data in support of the BLA;</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65"/>
        </w:numPr>
        <w:rPr>
          <w:rFonts w:ascii="MS PGothic" w:cs="MS PGothic" w:eastAsia="MS PGothic" w:hAnsi="MS PGothic"/>
          <w:sz w:val="12"/>
          <w:szCs w:val="12"/>
          <w:color w:val="auto"/>
        </w:rPr>
      </w:pPr>
      <w:r>
        <w:rPr>
          <w:rFonts w:ascii="Arial" w:cs="Arial" w:eastAsia="Arial" w:hAnsi="Arial"/>
          <w:sz w:val="17"/>
          <w:szCs w:val="17"/>
          <w:color w:val="auto"/>
        </w:rPr>
        <w:t>FDA review and approval of the BLA, including consideration of the views of any FDA advisory committee; and</w:t>
      </w:r>
    </w:p>
    <w:p>
      <w:pPr>
        <w:spacing w:after="0" w:line="31" w:lineRule="exact"/>
        <w:rPr>
          <w:rFonts w:ascii="MS PGothic" w:cs="MS PGothic" w:eastAsia="MS PGothic" w:hAnsi="MS PGothic"/>
          <w:sz w:val="12"/>
          <w:szCs w:val="12"/>
          <w:color w:val="auto"/>
        </w:rPr>
      </w:pPr>
    </w:p>
    <w:p>
      <w:pPr>
        <w:ind w:left="1020" w:right="140" w:hanging="425"/>
        <w:spacing w:after="0" w:line="239" w:lineRule="auto"/>
        <w:tabs>
          <w:tab w:leader="none" w:pos="1020" w:val="left"/>
        </w:tabs>
        <w:numPr>
          <w:ilvl w:val="0"/>
          <w:numId w:val="65"/>
        </w:numPr>
        <w:rPr>
          <w:rFonts w:ascii="MS PGothic" w:cs="MS PGothic" w:eastAsia="MS PGothic" w:hAnsi="MS PGothic"/>
          <w:sz w:val="12"/>
          <w:szCs w:val="12"/>
          <w:color w:val="auto"/>
        </w:rPr>
      </w:pPr>
      <w:r>
        <w:rPr>
          <w:rFonts w:ascii="Arial" w:cs="Arial" w:eastAsia="Arial" w:hAnsi="Arial"/>
          <w:sz w:val="17"/>
          <w:szCs w:val="17"/>
          <w:color w:val="auto"/>
        </w:rPr>
        <w:t>compliance with any post-approval requirements, including a Risk Evaluation and Mitigation Strategy (REMS), where applicable, and post- approval studies required by the FDA as a condition of approval.</w:t>
      </w:r>
    </w:p>
    <w:p>
      <w:pPr>
        <w:spacing w:after="0" w:line="146" w:lineRule="exact"/>
        <w:rPr>
          <w:sz w:val="20"/>
          <w:szCs w:val="20"/>
          <w:color w:val="auto"/>
        </w:rPr>
      </w:pPr>
    </w:p>
    <w:p>
      <w:pPr>
        <w:ind w:left="160" w:right="260"/>
        <w:spacing w:after="0" w:line="239" w:lineRule="auto"/>
        <w:rPr>
          <w:sz w:val="20"/>
          <w:szCs w:val="20"/>
          <w:color w:val="auto"/>
        </w:rPr>
      </w:pPr>
      <w:r>
        <w:rPr>
          <w:rFonts w:ascii="Arial" w:cs="Arial" w:eastAsia="Arial" w:hAnsi="Arial"/>
          <w:sz w:val="17"/>
          <w:szCs w:val="17"/>
          <w:color w:val="auto"/>
        </w:rPr>
        <w:t>The preclinical and clinical testing and approval process requires substantial time, effort and financial resources, and we cannot be certain that any approvals for our product candidates will be granted on a timely basis, or at all.</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Preclinical Studies</w:t>
      </w:r>
    </w:p>
    <w:p>
      <w:pPr>
        <w:spacing w:after="0" w:line="39" w:lineRule="exact"/>
        <w:rPr>
          <w:sz w:val="20"/>
          <w:szCs w:val="20"/>
          <w:color w:val="auto"/>
        </w:rPr>
      </w:pPr>
    </w:p>
    <w:p>
      <w:pPr>
        <w:ind w:left="160" w:right="240"/>
        <w:spacing w:after="0" w:line="234" w:lineRule="auto"/>
        <w:rPr>
          <w:sz w:val="20"/>
          <w:szCs w:val="20"/>
          <w:color w:val="auto"/>
        </w:rPr>
      </w:pPr>
      <w:r>
        <w:rPr>
          <w:rFonts w:ascii="Arial" w:cs="Arial" w:eastAsia="Arial" w:hAnsi="Arial"/>
          <w:sz w:val="17"/>
          <w:szCs w:val="17"/>
          <w:color w:val="auto"/>
        </w:rPr>
        <w:t>Before testing any biological product candidates in humans, the product candidate must undergo rigorous preclinical testing.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47"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Prior to beginning the first clinical trial with a product candidate in the United States, an IND must be submitted to the FDA and the FDA must allow the IND to proceed. An IND is an exemption from the FDCA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applicants must submit a protocol for each clinical trial and any subsequent protocol amendments must be submitted to the FDA as part of the IND. An IND sponsor must also submit the results of the preclinical tests, together with manufacturing information, analytical data, any available clinical data or literature and plans for clinical trials, among other things, to the FDA as part of an IND. Some long-term preclinical testing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Clinical Trials</w:t>
      </w:r>
    </w:p>
    <w:p>
      <w:pPr>
        <w:spacing w:after="0" w:line="39"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The clinical stage of development involves the administration of the investigational product to healthy volunteers or patients under the supervision of qualified investigators, generally physicians not employed by or under the trial sponsor’s control. Clinical trials must be conducted: (i) in compliance with federal regulations; (ii) in compliance with GCPs,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 involving testing on U.S. patients and subsequent protocol amendments must be submitted to the FDA as part of the IND.</w:t>
      </w:r>
    </w:p>
    <w:p>
      <w:pPr>
        <w:spacing w:after="0" w:line="145"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45" w:lineRule="exact"/>
        <w:rPr>
          <w:sz w:val="20"/>
          <w:szCs w:val="20"/>
          <w:color w:val="auto"/>
        </w:rPr>
      </w:pPr>
    </w:p>
    <w:p>
      <w:pPr>
        <w:jc w:val="both"/>
        <w:ind w:left="160" w:right="40"/>
        <w:spacing w:after="0" w:line="236" w:lineRule="auto"/>
        <w:rPr>
          <w:sz w:val="20"/>
          <w:szCs w:val="20"/>
          <w:color w:val="auto"/>
        </w:rPr>
      </w:pPr>
      <w:r>
        <w:rPr>
          <w:rFonts w:ascii="Arial" w:cs="Arial" w:eastAsia="Arial" w:hAnsi="Arial"/>
          <w:sz w:val="17"/>
          <w:szCs w:val="17"/>
          <w:color w:val="auto"/>
        </w:rPr>
        <w:t>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study.</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080"/>
          </w:cols>
          <w:pgMar w:left="320" w:top="456"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 Information related to the product, patient population, phase of investigation, clinical trial sites and investigators and other aspects of the clinical trial is then made public as part of the registration. Disclosure of the results of these clinical trials can be delayed in certain circumstances for up to two years after the date of completion of the trial.</w:t>
      </w:r>
    </w:p>
    <w:p>
      <w:pPr>
        <w:spacing w:after="0" w:line="148" w:lineRule="exact"/>
        <w:rPr>
          <w:sz w:val="20"/>
          <w:szCs w:val="20"/>
          <w:color w:val="auto"/>
        </w:rPr>
      </w:pPr>
    </w:p>
    <w:p>
      <w:pPr>
        <w:ind w:left="160"/>
        <w:spacing w:after="0" w:line="252" w:lineRule="auto"/>
        <w:rPr>
          <w:sz w:val="20"/>
          <w:szCs w:val="20"/>
          <w:color w:val="auto"/>
        </w:rPr>
      </w:pPr>
      <w:r>
        <w:rPr>
          <w:rFonts w:ascii="Arial" w:cs="Arial" w:eastAsia="Arial" w:hAnsi="Arial"/>
          <w:sz w:val="16"/>
          <w:szCs w:val="16"/>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 designed and well-conducted foreign clinical trial not conducted under an IND if the clinical trial was conducted in accordance with GCP requirements, and the FDA is able to validate the data through an onsite inspection if deemed necessary.</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Clinical trials are generally conducted in three sequential phases, known as Phase 1, Phase 2 and Phase 3:</w:t>
      </w:r>
    </w:p>
    <w:p>
      <w:pPr>
        <w:spacing w:after="0" w:line="192" w:lineRule="exact"/>
        <w:rPr>
          <w:sz w:val="20"/>
          <w:szCs w:val="20"/>
          <w:color w:val="auto"/>
        </w:rPr>
      </w:pPr>
    </w:p>
    <w:p>
      <w:pPr>
        <w:ind w:left="1020" w:hanging="425"/>
        <w:spacing w:after="0" w:line="234" w:lineRule="auto"/>
        <w:tabs>
          <w:tab w:leader="none" w:pos="1020" w:val="left"/>
        </w:tabs>
        <w:numPr>
          <w:ilvl w:val="0"/>
          <w:numId w:val="66"/>
        </w:numPr>
        <w:rPr>
          <w:rFonts w:ascii="MS PGothic" w:cs="MS PGothic" w:eastAsia="MS PGothic" w:hAnsi="MS PGothic"/>
          <w:sz w:val="12"/>
          <w:szCs w:val="12"/>
          <w:color w:val="auto"/>
        </w:rPr>
      </w:pPr>
      <w:r>
        <w:rPr>
          <w:rFonts w:ascii="Arial" w:cs="Arial" w:eastAsia="Arial" w:hAnsi="Arial"/>
          <w:sz w:val="17"/>
          <w:szCs w:val="17"/>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pharmacokinetics, pharmacologic action, side effect tolerability, safety of the product candidate, and, if possible, early evidence of effectiveness.</w:t>
      </w:r>
    </w:p>
    <w:p>
      <w:pPr>
        <w:spacing w:after="0" w:line="26" w:lineRule="exact"/>
        <w:rPr>
          <w:rFonts w:ascii="MS PGothic" w:cs="MS PGothic" w:eastAsia="MS PGothic" w:hAnsi="MS PGothic"/>
          <w:sz w:val="12"/>
          <w:szCs w:val="12"/>
          <w:color w:val="auto"/>
        </w:rPr>
      </w:pPr>
    </w:p>
    <w:p>
      <w:pPr>
        <w:jc w:val="both"/>
        <w:ind w:left="1020" w:right="120" w:hanging="425"/>
        <w:spacing w:after="0" w:line="236" w:lineRule="auto"/>
        <w:tabs>
          <w:tab w:leader="none" w:pos="1020" w:val="left"/>
        </w:tabs>
        <w:numPr>
          <w:ilvl w:val="0"/>
          <w:numId w:val="66"/>
        </w:numPr>
        <w:rPr>
          <w:rFonts w:ascii="MS PGothic" w:cs="MS PGothic" w:eastAsia="MS PGothic" w:hAnsi="MS PGothic"/>
          <w:sz w:val="12"/>
          <w:szCs w:val="12"/>
          <w:color w:val="auto"/>
        </w:rPr>
      </w:pPr>
      <w:r>
        <w:rPr>
          <w:rFonts w:ascii="Arial" w:cs="Arial" w:eastAsia="Arial" w:hAnsi="Arial"/>
          <w:sz w:val="17"/>
          <w:szCs w:val="17"/>
          <w:color w:val="auto"/>
        </w:rPr>
        <w:t>Phase 2 clinical trials generally involve studies in disease-affected patients to evaluate proof of concept and/or determine the dosing regimen(s) for subsequent investigations. At the same time, safety and further pharmacokinetic and pharmacodynamic information is collected, possible adverse effects and safety risks are identified, and a preliminary evaluation of efficacy is conducted.</w:t>
      </w:r>
    </w:p>
    <w:p>
      <w:pPr>
        <w:spacing w:after="0" w:line="25" w:lineRule="exact"/>
        <w:rPr>
          <w:rFonts w:ascii="MS PGothic" w:cs="MS PGothic" w:eastAsia="MS PGothic" w:hAnsi="MS PGothic"/>
          <w:sz w:val="12"/>
          <w:szCs w:val="12"/>
          <w:color w:val="auto"/>
        </w:rPr>
      </w:pPr>
    </w:p>
    <w:p>
      <w:pPr>
        <w:jc w:val="both"/>
        <w:ind w:left="1020" w:right="120" w:hanging="425"/>
        <w:spacing w:after="0" w:line="234" w:lineRule="auto"/>
        <w:tabs>
          <w:tab w:leader="none" w:pos="1020" w:val="left"/>
        </w:tabs>
        <w:numPr>
          <w:ilvl w:val="0"/>
          <w:numId w:val="66"/>
        </w:numPr>
        <w:rPr>
          <w:rFonts w:ascii="MS PGothic" w:cs="MS PGothic" w:eastAsia="MS PGothic" w:hAnsi="MS PGothic"/>
          <w:sz w:val="12"/>
          <w:szCs w:val="12"/>
          <w:color w:val="auto"/>
        </w:rPr>
      </w:pPr>
      <w:r>
        <w:rPr>
          <w:rFonts w:ascii="Arial" w:cs="Arial" w:eastAsia="Arial" w:hAnsi="Arial"/>
          <w:sz w:val="17"/>
          <w:szCs w:val="17"/>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 In most cases, the FDA requires two adequate and well-controlled Phase 3 clinical trials to demonstrate the efficacy of the biologic.</w:t>
      </w:r>
    </w:p>
    <w:p>
      <w:pPr>
        <w:spacing w:after="0" w:line="147" w:lineRule="exact"/>
        <w:rPr>
          <w:sz w:val="20"/>
          <w:szCs w:val="20"/>
          <w:color w:val="auto"/>
        </w:rPr>
      </w:pPr>
    </w:p>
    <w:p>
      <w:pPr>
        <w:ind w:left="160" w:right="600"/>
        <w:spacing w:after="0" w:line="239" w:lineRule="auto"/>
        <w:rPr>
          <w:sz w:val="20"/>
          <w:szCs w:val="20"/>
          <w:color w:val="auto"/>
        </w:rPr>
      </w:pPr>
      <w:r>
        <w:rPr>
          <w:rFonts w:ascii="Arial" w:cs="Arial" w:eastAsia="Arial" w:hAnsi="Arial"/>
          <w:sz w:val="17"/>
          <w:szCs w:val="17"/>
          <w:color w:val="auto"/>
        </w:rPr>
        <w:t>These Phases may overlap or be combined. For example, a Phase 1/2 clinical trial may contain both a dose-escalation stage and a dose-expansion stage, the latter of which may confirm tolerability at the recommended dose for expansion in future clinical trials.</w:t>
      </w:r>
    </w:p>
    <w:p>
      <w:pPr>
        <w:spacing w:after="0" w:line="146" w:lineRule="exact"/>
        <w:rPr>
          <w:sz w:val="20"/>
          <w:szCs w:val="20"/>
          <w:color w:val="auto"/>
        </w:rPr>
      </w:pPr>
    </w:p>
    <w:p>
      <w:pPr>
        <w:ind w:left="160" w:right="800"/>
        <w:spacing w:after="0" w:line="239" w:lineRule="auto"/>
        <w:rPr>
          <w:sz w:val="20"/>
          <w:szCs w:val="20"/>
          <w:color w:val="auto"/>
        </w:rPr>
      </w:pPr>
      <w:r>
        <w:rPr>
          <w:rFonts w:ascii="Arial" w:cs="Arial" w:eastAsia="Arial" w:hAnsi="Arial"/>
          <w:sz w:val="17"/>
          <w:szCs w:val="17"/>
          <w:color w:val="auto"/>
        </w:rPr>
        <w:t>A single Phase 3 or Phase 2 trial with other confirmatory evidence may be sufficient in rare instances to provide substantial evidence of effectiveness (generally subject to the requirement of additional post-approval studies).</w:t>
      </w:r>
    </w:p>
    <w:p>
      <w:pPr>
        <w:spacing w:after="0" w:line="146"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In some cases, FDA may require, or firms may voluntary pursue, post-approval clinical trials, sometimes referred to as Phase 4 clinical trials, after initial marketing approval. These clinical trials are used to gain additional experience from the treatment of patients in the intended therapeutic indication, particularly for long-term safety follow-up.</w:t>
      </w:r>
    </w:p>
    <w:p>
      <w:pPr>
        <w:spacing w:after="0" w:line="146"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40"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060"/>
          </w:cols>
          <w:pgMar w:left="320" w:top="456"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140"/>
        <w:spacing w:after="0" w:line="239" w:lineRule="auto"/>
        <w:rPr>
          <w:sz w:val="20"/>
          <w:szCs w:val="20"/>
          <w:color w:val="auto"/>
        </w:rPr>
      </w:pPr>
      <w:r>
        <w:rPr>
          <w:rFonts w:ascii="Arial" w:cs="Arial" w:eastAsia="Arial" w:hAnsi="Arial"/>
          <w:sz w:val="17"/>
          <w:szCs w:val="17"/>
          <w:color w:val="auto"/>
        </w:rPr>
        <w:t>the clinical trial is not being conducted in accordance with the IRB’s requirements or if the drug or biologic has been associated with unexpected serious harm to patients.</w:t>
      </w:r>
    </w:p>
    <w:p>
      <w:pPr>
        <w:spacing w:after="0" w:line="146" w:lineRule="exact"/>
        <w:rPr>
          <w:sz w:val="20"/>
          <w:szCs w:val="20"/>
          <w:color w:val="auto"/>
        </w:rPr>
      </w:pPr>
    </w:p>
    <w:p>
      <w:pPr>
        <w:ind w:left="160" w:right="120"/>
        <w:spacing w:after="0" w:line="233" w:lineRule="auto"/>
        <w:rPr>
          <w:sz w:val="20"/>
          <w:szCs w:val="20"/>
          <w:color w:val="auto"/>
        </w:rPr>
      </w:pPr>
      <w:r>
        <w:rPr>
          <w:rFonts w:ascii="Arial" w:cs="Arial" w:eastAsia="Arial" w:hAnsi="Arial"/>
          <w:sz w:val="17"/>
          <w:szCs w:val="17"/>
          <w:color w:val="auto"/>
        </w:rPr>
        <w:t>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FDA Review Processes</w:t>
      </w:r>
    </w:p>
    <w:p>
      <w:pPr>
        <w:spacing w:after="0" w:line="39" w:lineRule="exact"/>
        <w:rPr>
          <w:sz w:val="20"/>
          <w:szCs w:val="20"/>
          <w:color w:val="auto"/>
        </w:rPr>
      </w:pPr>
    </w:p>
    <w:p>
      <w:pPr>
        <w:jc w:val="both"/>
        <w:ind w:left="160" w:right="20"/>
        <w:spacing w:after="0" w:line="234" w:lineRule="auto"/>
        <w:rPr>
          <w:sz w:val="20"/>
          <w:szCs w:val="20"/>
          <w:color w:val="auto"/>
        </w:rPr>
      </w:pPr>
      <w:r>
        <w:rPr>
          <w:rFonts w:ascii="Arial" w:cs="Arial" w:eastAsia="Arial" w:hAnsi="Arial"/>
          <w:sz w:val="17"/>
          <w:szCs w:val="17"/>
          <w:color w:val="auto"/>
        </w:rPr>
        <w:t>Following completion of the clinical trials, the results of preclinical studies and clinical trials are submitted to the FDA as part of a BLA, along with proposed labeling, chemistry and manufacturing information to ensure product quality and other relevant data. To support marketing approval, the data submitted must be sufficient in quality and quantity to establish the safety and efficacy of the investigational product to the satisfaction of the FDA. FDA approval of a BLA must be obtained before a biologic or drug may be marketed in the United States.</w:t>
      </w:r>
    </w:p>
    <w:p>
      <w:pPr>
        <w:spacing w:after="0" w:line="147" w:lineRule="exact"/>
        <w:rPr>
          <w:sz w:val="20"/>
          <w:szCs w:val="20"/>
          <w:color w:val="auto"/>
        </w:rPr>
      </w:pPr>
    </w:p>
    <w:p>
      <w:pPr>
        <w:ind w:left="160" w:right="120"/>
        <w:spacing w:after="0" w:line="233" w:lineRule="auto"/>
        <w:rPr>
          <w:sz w:val="20"/>
          <w:szCs w:val="20"/>
          <w:color w:val="auto"/>
        </w:rPr>
      </w:pPr>
      <w:r>
        <w:rPr>
          <w:rFonts w:ascii="Arial" w:cs="Arial" w:eastAsia="Arial" w:hAnsi="Arial"/>
          <w:sz w:val="17"/>
          <w:szCs w:val="17"/>
          <w:color w:val="auto"/>
        </w:rPr>
        <w:t>The cost of preparing and submitting a BLA is substantial. Under the Prescription Drug User Fee Act (PDUFA), each BLA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 The applicant under an approved BLA is also subject to an annual program fee.</w:t>
      </w:r>
    </w:p>
    <w:p>
      <w:pPr>
        <w:spacing w:after="0" w:line="148"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to determine if it is substantially complete before the FDA accepts it for filing. Once the submission is accepted for filing, the FDA begins an in-depth review of the BLA. The FDA reviews the BLA to determine, among other things, whether the proposed product is safe, pure and potent, for its intended use, and whether the product is being manufactured in accordance with cGMP to ensure its continued safety, purity and potency.</w:t>
      </w:r>
    </w:p>
    <w:p>
      <w:pPr>
        <w:spacing w:after="0" w:line="148"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Under the goals and policies agreed to by the FDA under PDUFA, the FDA has 10 months, from the filing date, in which to complete its initial review of an original BLA for a new molecular entity and respond to the applicant, and six months from the filing date of an original BLA designated for priority review. The review process for both standard and priority review may be extended by the FDA for three additional months to consider certain late-submitted information, or information intended to clarify information already provided in the submission. The FDA does not always meet its PDUFA goal dates for standard and priority BLAs, and the review process can be extended by FDA requests for additional information or clarification.</w:t>
      </w:r>
    </w:p>
    <w:p>
      <w:pPr>
        <w:spacing w:after="0" w:line="145" w:lineRule="exact"/>
        <w:rPr>
          <w:sz w:val="20"/>
          <w:szCs w:val="20"/>
          <w:color w:val="auto"/>
        </w:rPr>
      </w:pPr>
    </w:p>
    <w:p>
      <w:pPr>
        <w:jc w:val="both"/>
        <w:ind w:left="160" w:right="120"/>
        <w:spacing w:after="0" w:line="256" w:lineRule="auto"/>
        <w:rPr>
          <w:sz w:val="20"/>
          <w:szCs w:val="20"/>
          <w:color w:val="auto"/>
        </w:rPr>
      </w:pPr>
      <w:r>
        <w:rPr>
          <w:rFonts w:ascii="Arial" w:cs="Arial" w:eastAsia="Arial" w:hAnsi="Arial"/>
          <w:sz w:val="16"/>
          <w:szCs w:val="16"/>
          <w:color w:val="auto"/>
        </w:rPr>
        <w:t>Before approving a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w:t>
      </w:r>
    </w:p>
    <w:p>
      <w:pPr>
        <w:spacing w:after="0" w:line="133" w:lineRule="exact"/>
        <w:rPr>
          <w:sz w:val="20"/>
          <w:szCs w:val="20"/>
          <w:color w:val="auto"/>
        </w:rPr>
      </w:pPr>
    </w:p>
    <w:p>
      <w:pPr>
        <w:ind w:left="160" w:right="140"/>
        <w:spacing w:after="0" w:line="233" w:lineRule="auto"/>
        <w:rPr>
          <w:sz w:val="20"/>
          <w:szCs w:val="20"/>
          <w:color w:val="auto"/>
        </w:rPr>
      </w:pPr>
      <w:r>
        <w:rPr>
          <w:rFonts w:ascii="Arial" w:cs="Arial" w:eastAsia="Arial" w:hAnsi="Arial"/>
          <w:sz w:val="17"/>
          <w:szCs w:val="17"/>
          <w:color w:val="auto"/>
        </w:rPr>
        <w:t>The FDA also may audit data from clinical trials to ensure compliance with GCP requirements and the integrity of the data supporting safety and efficacy. Additionally,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generally follows such recommendations when making decisions on approval. The FDA likely will reanalyze the clinical trial data, which could result in extensive discussions between the FDA and the applicant during the review process.</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060"/>
          </w:cols>
          <w:pgMar w:left="320" w:top="456"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auto"/>
        </w:rPr>
        <w:t>After the FDA evaluates a BLA, it will issue either an approval letter or a Complete Response Letter. An approval letter authorizes commercial marketing of the biologic with specific prescribing information for specific indications. A Complete Response Letter indicates that the review cycle of the application is complete and the application will not be approved in its present form. A Complete Response Letter generally outlines the deficiencies in the BLA and may require additional clinical data, additional pivotal clinical trial(s) and/or other significant and time-consuming requirements related to clinical trials, preclinical studies or manufacturing in order for FDA to reconsider the application. If a Complete Response Letter is issued, the applicant may either resubmit the BLA, addressing all of the deficiencies identified in the letter, or withdraw the application or request an opportunity for a hearing. The FDA has committed to reviewing such resubmissions in two or six months, depending on the type of information included. Even if such data and information are submitted, the FDA may decide that the BLA does not satisfy the criteria for approval.</w:t>
      </w:r>
    </w:p>
    <w:p>
      <w:pPr>
        <w:spacing w:after="0" w:line="144"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including to subpopulations of patients, which could restrict the commercial value of the product. Furthermore, as a condition of BLA approval, the FDA may require a REMS to help ensure that the benefits of the biologic outweigh the potential risks to patients.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39" w:lineRule="exact"/>
        <w:rPr>
          <w:sz w:val="20"/>
          <w:szCs w:val="20"/>
          <w:color w:val="auto"/>
        </w:rPr>
      </w:pPr>
    </w:p>
    <w:p>
      <w:pPr>
        <w:ind w:left="160" w:right="120"/>
        <w:spacing w:after="0" w:line="234"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47" w:lineRule="exact"/>
        <w:rPr>
          <w:sz w:val="20"/>
          <w:szCs w:val="20"/>
          <w:color w:val="auto"/>
        </w:rPr>
      </w:pPr>
    </w:p>
    <w:p>
      <w:pPr>
        <w:ind w:left="160" w:right="540"/>
        <w:spacing w:after="0" w:line="236" w:lineRule="auto"/>
        <w:rPr>
          <w:sz w:val="20"/>
          <w:szCs w:val="20"/>
          <w:color w:val="auto"/>
        </w:rPr>
      </w:pPr>
      <w:r>
        <w:rPr>
          <w:rFonts w:ascii="Arial" w:cs="Arial" w:eastAsia="Arial" w:hAnsi="Arial"/>
          <w:sz w:val="17"/>
          <w:szCs w:val="17"/>
          <w:color w:val="auto"/>
        </w:rPr>
        <w:t>Orphan drug designation must be requested before submitting a BLA. After the FDA grants orphan drug designation, the identity of the therapeutic agent and its potential orphan use are disclosed publicly by the FDA. Orphan drug designation on its own does not convey any advantage in or shorten the duration of the regulatory review and approval process.</w:t>
      </w:r>
    </w:p>
    <w:p>
      <w:pPr>
        <w:spacing w:after="0" w:line="146" w:lineRule="exact"/>
        <w:rPr>
          <w:sz w:val="20"/>
          <w:szCs w:val="20"/>
          <w:color w:val="auto"/>
        </w:rPr>
      </w:pPr>
    </w:p>
    <w:p>
      <w:pPr>
        <w:ind w:left="160" w:right="200"/>
        <w:spacing w:after="0" w:line="232"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product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A designated orphan drug may not receive orphan drug exclusivity if it is approved for a use that is broader than the indication for which it received orphan designation. Orphan drug exclusivity may be lost if the FDA later determines that the request for designation was materially defective. Further, competitors may receive approval of either a different product for the same indication or the same product for a different indication. In the latter case, because healthcare professionals are free to prescribe products for off-label uses, the competitor’s product could be used for the orphan indication despite another product’s orphan exclusivity.</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39" w:lineRule="exact"/>
        <w:rPr>
          <w:sz w:val="20"/>
          <w:szCs w:val="20"/>
          <w:color w:val="auto"/>
        </w:rPr>
      </w:pPr>
    </w:p>
    <w:p>
      <w:pPr>
        <w:ind w:left="160" w:right="80"/>
        <w:spacing w:after="0" w:line="239" w:lineRule="auto"/>
        <w:rPr>
          <w:sz w:val="20"/>
          <w:szCs w:val="20"/>
          <w:color w:val="auto"/>
        </w:rPr>
      </w:pPr>
      <w:r>
        <w:rPr>
          <w:rFonts w:ascii="Arial" w:cs="Arial" w:eastAsia="Arial" w:hAnsi="Arial"/>
          <w:sz w:val="17"/>
          <w:szCs w:val="17"/>
          <w:color w:val="auto"/>
        </w:rPr>
        <w:t>The FDA is authorized to designate certain products for expedited review if they are intended to address an unmet medical need in the treatment of a serious or life-threatening disease or condition.</w:t>
      </w:r>
    </w:p>
    <w:p>
      <w:pPr>
        <w:spacing w:after="0" w:line="146" w:lineRule="exact"/>
        <w:rPr>
          <w:sz w:val="20"/>
          <w:szCs w:val="20"/>
          <w:color w:val="auto"/>
        </w:rPr>
      </w:pPr>
    </w:p>
    <w:p>
      <w:pPr>
        <w:ind w:left="160" w:right="200"/>
        <w:spacing w:after="0" w:line="234" w:lineRule="auto"/>
        <w:rPr>
          <w:sz w:val="20"/>
          <w:szCs w:val="20"/>
          <w:color w:val="auto"/>
        </w:rPr>
      </w:pPr>
      <w:r>
        <w:rPr>
          <w:rFonts w:ascii="Arial" w:cs="Arial" w:eastAsia="Arial" w:hAnsi="Arial"/>
          <w:sz w:val="17"/>
          <w:szCs w:val="17"/>
          <w:color w:val="auto"/>
        </w:rPr>
        <w:t>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 new biologic candidate can request the FDA to designate</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060"/>
          </w:cols>
          <w:pgMar w:left="320" w:top="456" w:right="5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the candidate for a specific indication for fast track status concurrent with, or after, the submission of the IND for the candidate. The FDA must determine if the biologic candidate qualifies for fast track designation within 60 days of receipt of the sponsor’s request. For fast track products, sponsors may have greater interactions with the FDA and the FDA may initiate review of sections of a fast track product’s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Any product submitted to the FDA for marketing, including under a fast track program, may be eligible for other types of FDA programs intended to expedite development and review, such as priority review and accelerated approval.</w:t>
      </w:r>
    </w:p>
    <w:p>
      <w:pPr>
        <w:spacing w:after="0" w:line="147" w:lineRule="exact"/>
        <w:rPr>
          <w:sz w:val="20"/>
          <w:szCs w:val="20"/>
          <w:color w:val="auto"/>
        </w:rPr>
      </w:pPr>
    </w:p>
    <w:p>
      <w:pPr>
        <w:ind w:left="160" w:right="60"/>
        <w:spacing w:after="0" w:line="232" w:lineRule="auto"/>
        <w:rPr>
          <w:sz w:val="20"/>
          <w:szCs w:val="20"/>
          <w:color w:val="auto"/>
        </w:rPr>
      </w:pPr>
      <w:r>
        <w:rPr>
          <w:rFonts w:ascii="Arial" w:cs="Arial" w:eastAsia="Arial" w:hAnsi="Arial"/>
          <w:sz w:val="17"/>
          <w:szCs w:val="17"/>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45"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 Under priority review, the FDA’s goal is to review an application in six months once it is filed, compared to ten months for a standard review. Priority review designation does not change the standard for approval or the quality of evidence necessary to support approval.</w:t>
      </w:r>
    </w:p>
    <w:p>
      <w:pPr>
        <w:spacing w:after="0" w:line="148"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Use of the accelerated approval pathway entails submission of a BLA with the surrogate or intermediate clinical endpoint data while continuing to conduct the trial(s) to completion and is contingent on a sponsor’s agreement to complete and/or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47" w:lineRule="exact"/>
        <w:rPr>
          <w:sz w:val="20"/>
          <w:szCs w:val="20"/>
          <w:color w:val="auto"/>
        </w:rPr>
      </w:pPr>
    </w:p>
    <w:p>
      <w:pPr>
        <w:ind w:left="160" w:right="220"/>
        <w:spacing w:after="0" w:line="234"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040"/>
          </w:cols>
          <w:pgMar w:left="320" w:top="456" w:right="5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Additional Controls for Biologics</w:t>
      </w:r>
    </w:p>
    <w:p>
      <w:pPr>
        <w:spacing w:after="0" w:line="92"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48"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Combination Products</w:t>
      </w:r>
    </w:p>
    <w:p>
      <w:pPr>
        <w:spacing w:after="0" w:line="52" w:lineRule="exact"/>
        <w:rPr>
          <w:sz w:val="20"/>
          <w:szCs w:val="20"/>
          <w:color w:val="auto"/>
        </w:rPr>
      </w:pPr>
    </w:p>
    <w:p>
      <w:pPr>
        <w:ind w:left="160" w:right="100"/>
        <w:spacing w:after="0" w:line="236" w:lineRule="auto"/>
        <w:rPr>
          <w:sz w:val="20"/>
          <w:szCs w:val="20"/>
          <w:color w:val="auto"/>
        </w:rPr>
      </w:pPr>
      <w:r>
        <w:rPr>
          <w:rFonts w:ascii="Arial" w:cs="Arial" w:eastAsia="Arial" w:hAnsi="Arial"/>
          <w:sz w:val="17"/>
          <w:szCs w:val="17"/>
          <w:color w:val="auto"/>
        </w:rPr>
        <w:t>A combination product is a product comprised of two or more regulated components, e.g., drug and medical device, that are physically combined and produced as a single entity, packaged together in a single package, or packaged separately but intended to be labeled for use together. Atacicept in a prefilled autoinjector would be such a combination of therapeutic and delivery device.</w:t>
      </w:r>
    </w:p>
    <w:p>
      <w:pPr>
        <w:spacing w:after="0" w:line="146"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FDA is divided into various branches, or Centers, by product type. Different Centers typically review drug, biologic, or device applications. In order to review an application for a combination product, FDA must decide which Center should be responsible for the review. FDA regulations require that FDA determine the combination product’s primary mode of action, or PMOA, which is the single mode of a combination product that provides the most important therapeutic action of the combination product. The Center that regulates that portion of the product that generates the PMOA becomes the lead evaluator. If there are two independent modes of action, neither of which is subordinate to the other, FDA makes a determination as to which Center to assign the product based on consistency with other combination products raising similar types of safety and effectiveness questions or to the Center with the most expertise in evaluating the most significant safety and effectiveness questions raised by the combination product. When evaluating an application, a lead Center may consult other Centers but still retain complete reviewing authority, or it may collaborate with another Center, by which the Center assigns review of a specific section of the application to another Center, delegating its review authority for that section. Typically, FDA requires a single marketing application submitted to the Center selected to be the lead evaluator, although the agency has the discretion to require separate applications to more than one Center. We believe that our prefilled autoinjector would have a biologic PMOA.</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Pediatric Information</w:t>
      </w:r>
    </w:p>
    <w:p>
      <w:pPr>
        <w:spacing w:after="0" w:line="52"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Under the Pediatric Research Equity Act (PREA), BLAs or supplements to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generally does not apply to any biological product for an indication for which orphan designation has been granted.</w:t>
      </w:r>
    </w:p>
    <w:p>
      <w:pPr>
        <w:spacing w:after="0" w:line="148"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The Best Pharmaceuticals for Children Act (BPCA) provides a six-month extension of any exclusivity—patent or non-patent—for a biologic if certain conditions are met. Conditions for exclusivity include the FDA’s determination that information relating to the use of a new biologic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080"/>
          </w:cols>
          <w:pgMar w:left="320" w:top="456"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92" w:lineRule="exact"/>
        <w:rPr>
          <w:sz w:val="20"/>
          <w:szCs w:val="20"/>
          <w:color w:val="auto"/>
        </w:rPr>
      </w:pPr>
    </w:p>
    <w:p>
      <w:pPr>
        <w:ind w:left="160" w:right="80"/>
        <w:spacing w:after="0" w:line="232" w:lineRule="auto"/>
        <w:rPr>
          <w:sz w:val="20"/>
          <w:szCs w:val="20"/>
          <w:color w:val="auto"/>
        </w:rPr>
      </w:pPr>
      <w:r>
        <w:rPr>
          <w:rFonts w:ascii="Arial" w:cs="Arial" w:eastAsia="Arial" w:hAnsi="Arial"/>
          <w:sz w:val="17"/>
          <w:szCs w:val="17"/>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 manner consistent with the provisions of the approved labeling. Although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w:t>
      </w:r>
    </w:p>
    <w:p>
      <w:pPr>
        <w:spacing w:after="0" w:line="147"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Adverse event reporting and submission of periodic safety summary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a biologic product’s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required regulatory standards, if it encounters problems following initial marketing, or if previously unrecognized problems are subsequently discovered.</w:t>
      </w:r>
    </w:p>
    <w:p>
      <w:pPr>
        <w:spacing w:after="0" w:line="151"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8" w:lineRule="exact"/>
        <w:rPr>
          <w:sz w:val="20"/>
          <w:szCs w:val="20"/>
          <w:color w:val="auto"/>
        </w:rPr>
      </w:pPr>
    </w:p>
    <w:p>
      <w:pPr>
        <w:ind w:left="1020" w:right="40" w:hanging="425"/>
        <w:spacing w:after="0" w:line="239" w:lineRule="auto"/>
        <w:tabs>
          <w:tab w:leader="none" w:pos="102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restrictions on the marketing or manufacturing of the product, suspension of the approval, complete withdrawal of the product from the market or product recalls;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fines, warning or other enforcement-related letters or holds on post-approval clinical trials;</w:t>
      </w:r>
    </w:p>
    <w:p>
      <w:pPr>
        <w:spacing w:after="0" w:line="31" w:lineRule="exact"/>
        <w:rPr>
          <w:rFonts w:ascii="MS PGothic" w:cs="MS PGothic" w:eastAsia="MS PGothic" w:hAnsi="MS PGothic"/>
          <w:sz w:val="12"/>
          <w:szCs w:val="12"/>
          <w:color w:val="auto"/>
        </w:rPr>
      </w:pPr>
    </w:p>
    <w:p>
      <w:pPr>
        <w:ind w:left="1020" w:right="600" w:hanging="425"/>
        <w:spacing w:after="0" w:line="239" w:lineRule="auto"/>
        <w:tabs>
          <w:tab w:leader="none" w:pos="102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refusal of the FDA to approve pending BLAs or supplements to approved BLAs, or suspension or revocation of product license approvals;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product seizure or detention, or refusal to permit the import or export of products; or</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67"/>
        </w:numPr>
        <w:rPr>
          <w:rFonts w:ascii="MS PGothic" w:cs="MS PGothic" w:eastAsia="MS PGothic" w:hAnsi="MS PGothic"/>
          <w:sz w:val="12"/>
          <w:szCs w:val="12"/>
          <w:color w:val="auto"/>
        </w:rPr>
      </w:pPr>
      <w:r>
        <w:rPr>
          <w:rFonts w:ascii="Arial" w:cs="Arial" w:eastAsia="Arial" w:hAnsi="Arial"/>
          <w:sz w:val="17"/>
          <w:szCs w:val="17"/>
          <w:color w:val="auto"/>
        </w:rPr>
        <w:t>injunctions or the imposition of civil or criminal penalties.</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U.S. Marketing Exclusivity</w:t>
      </w:r>
    </w:p>
    <w:p>
      <w:pPr>
        <w:spacing w:after="0" w:line="52" w:lineRule="exact"/>
        <w:rPr>
          <w:sz w:val="20"/>
          <w:szCs w:val="20"/>
          <w:color w:val="auto"/>
        </w:rPr>
      </w:pPr>
    </w:p>
    <w:p>
      <w:pPr>
        <w:ind w:left="160" w:right="80"/>
        <w:spacing w:after="0" w:line="232" w:lineRule="auto"/>
        <w:rPr>
          <w:sz w:val="20"/>
          <w:szCs w:val="20"/>
          <w:color w:val="auto"/>
        </w:rPr>
      </w:pPr>
      <w:r>
        <w:rPr>
          <w:rFonts w:ascii="Arial" w:cs="Arial" w:eastAsia="Arial" w:hAnsi="Arial"/>
          <w:sz w:val="17"/>
          <w:szCs w:val="17"/>
          <w:color w:val="auto"/>
        </w:rPr>
        <w:t>The Biologics Price Competition and Innovation Act of 2009 (BPCIA) created an abbreviated approval pathway for biological products shown to be biosimilar to, or interchangeable with, an FDA-licensed reference biological product. Biosimilarity, which requires that the biological product be highly similar to the reference product notwithstanding minor differences in clinically inactive components and that there be no clinically meaningful differences between the biological product and the reference product in terms of safety, purity and potency, can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080"/>
          </w:cols>
          <w:pgMar w:left="320" w:top="456"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100"/>
        <w:spacing w:after="0" w:line="232" w:lineRule="auto"/>
        <w:rPr>
          <w:sz w:val="20"/>
          <w:szCs w:val="20"/>
          <w:color w:val="auto"/>
        </w:rPr>
      </w:pPr>
      <w:r>
        <w:rPr>
          <w:rFonts w:ascii="Arial" w:cs="Arial" w:eastAsia="Arial" w:hAnsi="Arial"/>
          <w:sz w:val="17"/>
          <w:szCs w:val="17"/>
          <w:color w:val="auto"/>
        </w:rPr>
        <w:t>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Regulatory Approval in the European Union</w:t>
      </w:r>
    </w:p>
    <w:p>
      <w:pPr>
        <w:spacing w:after="0" w:line="39" w:lineRule="exact"/>
        <w:rPr>
          <w:sz w:val="20"/>
          <w:szCs w:val="20"/>
          <w:color w:val="auto"/>
        </w:rPr>
      </w:pPr>
    </w:p>
    <w:p>
      <w:pPr>
        <w:ind w:left="160" w:right="260"/>
        <w:spacing w:after="0" w:line="233" w:lineRule="auto"/>
        <w:rPr>
          <w:sz w:val="20"/>
          <w:szCs w:val="20"/>
          <w:color w:val="auto"/>
        </w:rPr>
      </w:pPr>
      <w:r>
        <w:rPr>
          <w:rFonts w:ascii="Arial" w:cs="Arial" w:eastAsia="Arial" w:hAnsi="Arial"/>
          <w:sz w:val="17"/>
          <w:szCs w:val="17"/>
          <w:color w:val="auto"/>
        </w:rPr>
        <w:t>The EMA is a decentralized scientific agency of the European Union. It coordinates the evaluation and monitoring of centrally authorized medicinal products. It is responsible for the scientific evaluation of applications for EU marketing authorizations, as well as the development of technical guidance and the provision of scientific advice to sponsors. The EMA decentralizes its scientific assessment of medicines by working through a network of about 4,500 experts throughout the European Union, nominated by the Member States. The EMA draws on resources of over 40 national competent authorities of European Union Member States.</w:t>
      </w:r>
    </w:p>
    <w:p>
      <w:pPr>
        <w:spacing w:after="0" w:line="148" w:lineRule="exact"/>
        <w:rPr>
          <w:sz w:val="20"/>
          <w:szCs w:val="20"/>
          <w:color w:val="auto"/>
        </w:rPr>
      </w:pPr>
    </w:p>
    <w:p>
      <w:pPr>
        <w:ind w:left="160" w:right="100"/>
        <w:spacing w:after="0" w:line="239" w:lineRule="auto"/>
        <w:rPr>
          <w:sz w:val="20"/>
          <w:szCs w:val="20"/>
          <w:color w:val="auto"/>
        </w:rPr>
      </w:pPr>
      <w:r>
        <w:rPr>
          <w:rFonts w:ascii="Arial" w:cs="Arial" w:eastAsia="Arial" w:hAnsi="Arial"/>
          <w:sz w:val="17"/>
          <w:szCs w:val="17"/>
          <w:color w:val="auto"/>
        </w:rPr>
        <w:t>The process regarding approval of medicinal products in the European Union follows roughly the same lines as in the United States and likewise generally involves satisfactorily completing each of the following:</w:t>
      </w:r>
    </w:p>
    <w:p>
      <w:pPr>
        <w:spacing w:after="0" w:line="186" w:lineRule="exact"/>
        <w:rPr>
          <w:sz w:val="20"/>
          <w:szCs w:val="20"/>
          <w:color w:val="auto"/>
        </w:rPr>
      </w:pPr>
    </w:p>
    <w:p>
      <w:pPr>
        <w:ind w:left="1020" w:right="780" w:hanging="425"/>
        <w:spacing w:after="0" w:line="239" w:lineRule="auto"/>
        <w:tabs>
          <w:tab w:leader="none" w:pos="1020" w:val="left"/>
        </w:tabs>
        <w:numPr>
          <w:ilvl w:val="0"/>
          <w:numId w:val="68"/>
        </w:numPr>
        <w:rPr>
          <w:rFonts w:ascii="MS PGothic" w:cs="MS PGothic" w:eastAsia="MS PGothic" w:hAnsi="MS PGothic"/>
          <w:sz w:val="12"/>
          <w:szCs w:val="12"/>
          <w:color w:val="auto"/>
        </w:rPr>
      </w:pPr>
      <w:r>
        <w:rPr>
          <w:rFonts w:ascii="Arial" w:cs="Arial" w:eastAsia="Arial" w:hAnsi="Arial"/>
          <w:sz w:val="17"/>
          <w:szCs w:val="17"/>
          <w:color w:val="auto"/>
        </w:rPr>
        <w:t>preclinical laboratory tests, animal studies and formulation studies all performed in accordance with the applicable EU Good Laboratory Practice regulations;</w:t>
      </w:r>
    </w:p>
    <w:p>
      <w:pPr>
        <w:spacing w:after="0" w:line="25" w:lineRule="exact"/>
        <w:rPr>
          <w:rFonts w:ascii="MS PGothic" w:cs="MS PGothic" w:eastAsia="MS PGothic" w:hAnsi="MS PGothic"/>
          <w:sz w:val="12"/>
          <w:szCs w:val="12"/>
          <w:color w:val="auto"/>
        </w:rPr>
      </w:pPr>
    </w:p>
    <w:p>
      <w:pPr>
        <w:ind w:left="1020" w:right="20" w:hanging="425"/>
        <w:spacing w:after="0" w:line="236" w:lineRule="auto"/>
        <w:tabs>
          <w:tab w:leader="none" w:pos="1020" w:val="left"/>
        </w:tabs>
        <w:numPr>
          <w:ilvl w:val="0"/>
          <w:numId w:val="68"/>
        </w:numPr>
        <w:rPr>
          <w:rFonts w:ascii="MS PGothic" w:cs="MS PGothic" w:eastAsia="MS PGothic" w:hAnsi="MS PGothic"/>
          <w:sz w:val="12"/>
          <w:szCs w:val="12"/>
          <w:color w:val="auto"/>
        </w:rPr>
      </w:pPr>
      <w:r>
        <w:rPr>
          <w:rFonts w:ascii="Arial" w:cs="Arial" w:eastAsia="Arial" w:hAnsi="Arial"/>
          <w:sz w:val="17"/>
          <w:szCs w:val="17"/>
          <w:color w:val="auto"/>
        </w:rPr>
        <w:t>submission to the relevant national competent authorities of a clinical trial application (CTA) for each trial in humans, which must be approved by such national authorities and at least one independent ethics committee before the trial may begin in each country where patient enrollment is planned;</w:t>
      </w:r>
    </w:p>
    <w:p>
      <w:pPr>
        <w:spacing w:after="0" w:line="25" w:lineRule="exact"/>
        <w:rPr>
          <w:rFonts w:ascii="MS PGothic" w:cs="MS PGothic" w:eastAsia="MS PGothic" w:hAnsi="MS PGothic"/>
          <w:sz w:val="12"/>
          <w:szCs w:val="12"/>
          <w:color w:val="auto"/>
        </w:rPr>
      </w:pPr>
    </w:p>
    <w:p>
      <w:pPr>
        <w:ind w:left="1020" w:right="600" w:hanging="425"/>
        <w:spacing w:after="0" w:line="239" w:lineRule="auto"/>
        <w:tabs>
          <w:tab w:leader="none" w:pos="1020" w:val="left"/>
        </w:tabs>
        <w:numPr>
          <w:ilvl w:val="0"/>
          <w:numId w:val="68"/>
        </w:numPr>
        <w:rPr>
          <w:rFonts w:ascii="MS PGothic" w:cs="MS PGothic" w:eastAsia="MS PGothic" w:hAnsi="MS PGothic"/>
          <w:sz w:val="12"/>
          <w:szCs w:val="12"/>
          <w:color w:val="auto"/>
        </w:rPr>
      </w:pPr>
      <w:r>
        <w:rPr>
          <w:rFonts w:ascii="Arial" w:cs="Arial" w:eastAsia="Arial" w:hAnsi="Arial"/>
          <w:sz w:val="17"/>
          <w:szCs w:val="17"/>
          <w:color w:val="auto"/>
        </w:rPr>
        <w:t>performance of adequate and well-controlled clinical trials to establish the safety and efficacy of the product for each proposed indication;</w:t>
      </w:r>
    </w:p>
    <w:p>
      <w:pPr>
        <w:spacing w:after="0" w:line="25" w:lineRule="exact"/>
        <w:rPr>
          <w:rFonts w:ascii="MS PGothic" w:cs="MS PGothic" w:eastAsia="MS PGothic" w:hAnsi="MS PGothic"/>
          <w:sz w:val="12"/>
          <w:szCs w:val="12"/>
          <w:color w:val="auto"/>
        </w:rPr>
      </w:pPr>
    </w:p>
    <w:p>
      <w:pPr>
        <w:ind w:left="1020" w:right="240" w:hanging="425"/>
        <w:spacing w:after="0" w:line="236" w:lineRule="auto"/>
        <w:tabs>
          <w:tab w:leader="none" w:pos="1020" w:val="left"/>
        </w:tabs>
        <w:numPr>
          <w:ilvl w:val="0"/>
          <w:numId w:val="68"/>
        </w:numPr>
        <w:rPr>
          <w:rFonts w:ascii="MS PGothic" w:cs="MS PGothic" w:eastAsia="MS PGothic" w:hAnsi="MS PGothic"/>
          <w:sz w:val="12"/>
          <w:szCs w:val="12"/>
          <w:color w:val="auto"/>
        </w:rPr>
      </w:pPr>
      <w:r>
        <w:rPr>
          <w:rFonts w:ascii="Arial" w:cs="Arial" w:eastAsia="Arial" w:hAnsi="Arial"/>
          <w:sz w:val="17"/>
          <w:szCs w:val="17"/>
          <w:color w:val="auto"/>
        </w:rPr>
        <w:t>submission to the relevant competent authorities of a marketing authorization application (MAA) which includes the data supporting safety and efficacy as well as detailed information on the manufacture and composition of the product in clinical development and proposed labelling;</w:t>
      </w:r>
    </w:p>
    <w:p>
      <w:pPr>
        <w:spacing w:after="0" w:line="25" w:lineRule="exact"/>
        <w:rPr>
          <w:rFonts w:ascii="MS PGothic" w:cs="MS PGothic" w:eastAsia="MS PGothic" w:hAnsi="MS PGothic"/>
          <w:sz w:val="12"/>
          <w:szCs w:val="12"/>
          <w:color w:val="auto"/>
        </w:rPr>
      </w:pPr>
    </w:p>
    <w:p>
      <w:pPr>
        <w:ind w:left="1020" w:right="100" w:hanging="425"/>
        <w:spacing w:after="0" w:line="239" w:lineRule="auto"/>
        <w:tabs>
          <w:tab w:leader="none" w:pos="1020" w:val="left"/>
        </w:tabs>
        <w:numPr>
          <w:ilvl w:val="0"/>
          <w:numId w:val="68"/>
        </w:numPr>
        <w:rPr>
          <w:rFonts w:ascii="MS PGothic" w:cs="MS PGothic" w:eastAsia="MS PGothic" w:hAnsi="MS PGothic"/>
          <w:sz w:val="12"/>
          <w:szCs w:val="12"/>
          <w:color w:val="auto"/>
        </w:rPr>
      </w:pPr>
      <w:r>
        <w:rPr>
          <w:rFonts w:ascii="Arial" w:cs="Arial" w:eastAsia="Arial" w:hAnsi="Arial"/>
          <w:sz w:val="17"/>
          <w:szCs w:val="17"/>
          <w:color w:val="auto"/>
        </w:rPr>
        <w:t>satisfactory completion of an inspection by the relevant national authorities of the manufacturing facility or facilities, including those of third parties, at which the product is produced to assess compliance with strictly enforced cGMP;</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68"/>
        </w:numPr>
        <w:rPr>
          <w:rFonts w:ascii="MS PGothic" w:cs="MS PGothic" w:eastAsia="MS PGothic" w:hAnsi="MS PGothic"/>
          <w:sz w:val="12"/>
          <w:szCs w:val="12"/>
          <w:color w:val="auto"/>
        </w:rPr>
      </w:pPr>
      <w:r>
        <w:rPr>
          <w:rFonts w:ascii="Arial" w:cs="Arial" w:eastAsia="Arial" w:hAnsi="Arial"/>
          <w:sz w:val="17"/>
          <w:szCs w:val="17"/>
          <w:color w:val="auto"/>
        </w:rPr>
        <w:t>potential audits of the non-clinical and clinical trial sites that generated the data in support of the MAA; and</w:t>
      </w:r>
    </w:p>
    <w:p>
      <w:pPr>
        <w:spacing w:after="0" w:line="31" w:lineRule="exact"/>
        <w:rPr>
          <w:rFonts w:ascii="MS PGothic" w:cs="MS PGothic" w:eastAsia="MS PGothic" w:hAnsi="MS PGothic"/>
          <w:sz w:val="12"/>
          <w:szCs w:val="12"/>
          <w:color w:val="auto"/>
        </w:rPr>
      </w:pPr>
    </w:p>
    <w:p>
      <w:pPr>
        <w:ind w:left="1020" w:right="600" w:hanging="425"/>
        <w:spacing w:after="0" w:line="239" w:lineRule="auto"/>
        <w:tabs>
          <w:tab w:leader="none" w:pos="1020" w:val="left"/>
        </w:tabs>
        <w:numPr>
          <w:ilvl w:val="0"/>
          <w:numId w:val="68"/>
        </w:numPr>
        <w:rPr>
          <w:rFonts w:ascii="MS PGothic" w:cs="MS PGothic" w:eastAsia="MS PGothic" w:hAnsi="MS PGothic"/>
          <w:sz w:val="12"/>
          <w:szCs w:val="12"/>
          <w:color w:val="auto"/>
        </w:rPr>
      </w:pPr>
      <w:r>
        <w:rPr>
          <w:rFonts w:ascii="Arial" w:cs="Arial" w:eastAsia="Arial" w:hAnsi="Arial"/>
          <w:sz w:val="17"/>
          <w:szCs w:val="17"/>
          <w:color w:val="auto"/>
        </w:rPr>
        <w:t>review and approval by the relevant competent authority of the MAA before any commercial marketing, sale or shipment of the product.</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Preclinical Studies</w:t>
      </w:r>
    </w:p>
    <w:p>
      <w:pPr>
        <w:spacing w:after="0" w:line="39" w:lineRule="exact"/>
        <w:rPr>
          <w:sz w:val="20"/>
          <w:szCs w:val="20"/>
          <w:color w:val="auto"/>
        </w:rPr>
      </w:pPr>
    </w:p>
    <w:p>
      <w:pPr>
        <w:ind w:left="160" w:right="180"/>
        <w:spacing w:after="0" w:line="234" w:lineRule="auto"/>
        <w:rPr>
          <w:sz w:val="20"/>
          <w:szCs w:val="20"/>
          <w:color w:val="auto"/>
        </w:rPr>
      </w:pPr>
      <w:r>
        <w:rPr>
          <w:rFonts w:ascii="Arial" w:cs="Arial" w:eastAsia="Arial" w:hAnsi="Arial"/>
          <w:sz w:val="17"/>
          <w:szCs w:val="17"/>
          <w:color w:val="auto"/>
        </w:rPr>
        <w:t>Preclinical tests include laboratory evaluations of product chemistry, formulation and stability, as well as studies to evaluate toxicity in animal studies, in order to assess the quality and potential safety and efficacy of the product. The conduct of the preclinical tests and formulation of the compounds for testing must comply with the relevant international, E.U. and national legislation, regulations and guidelines. The results of the preclinical tests, together with relevant manufacturing information and analytical data, are submitted as part of the CTA.</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Clinical Trials</w:t>
      </w:r>
    </w:p>
    <w:p>
      <w:pPr>
        <w:spacing w:after="0" w:line="39"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Pursuant to the Clinical Trials Directive 2001/20/EC, as amended (Clinical Trials Directive), a system for the approval of clinical trials in the European Union has been implemented through national legislation of the member states. Under this system, approval must be obtained from the national competent authority of each European Union Member State in which a clinical trial is planned to be conducted. To this end, a CTA is submitted, which must be supported by an investigational medicinal product dossier and further supporting information prescribed by the Clinical Trials Directive and other applicable guidance documents including but not being limited to the clinical trial</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060"/>
          </w:cols>
          <w:pgMar w:left="320" w:top="456" w:right="5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39" w:lineRule="auto"/>
        <w:rPr>
          <w:sz w:val="20"/>
          <w:szCs w:val="20"/>
          <w:color w:val="auto"/>
        </w:rPr>
      </w:pPr>
      <w:r>
        <w:rPr>
          <w:rFonts w:ascii="Arial" w:cs="Arial" w:eastAsia="Arial" w:hAnsi="Arial"/>
          <w:sz w:val="17"/>
          <w:szCs w:val="17"/>
          <w:color w:val="auto"/>
        </w:rPr>
        <w:t>protocol. Furthermore, a clinical trial may only be started after an independent ethics committee has issued a favorable opinion on the CTA in that country.</w:t>
      </w:r>
    </w:p>
    <w:p>
      <w:pPr>
        <w:spacing w:after="0" w:line="146" w:lineRule="exact"/>
        <w:rPr>
          <w:sz w:val="20"/>
          <w:szCs w:val="20"/>
          <w:color w:val="auto"/>
        </w:rPr>
      </w:pPr>
    </w:p>
    <w:p>
      <w:pPr>
        <w:ind w:left="160" w:right="100"/>
        <w:spacing w:after="0" w:line="233" w:lineRule="auto"/>
        <w:rPr>
          <w:sz w:val="20"/>
          <w:szCs w:val="20"/>
          <w:color w:val="auto"/>
        </w:rPr>
      </w:pPr>
      <w:r>
        <w:rPr>
          <w:rFonts w:ascii="Arial" w:cs="Arial" w:eastAsia="Arial" w:hAnsi="Arial"/>
          <w:sz w:val="17"/>
          <w:szCs w:val="17"/>
          <w:color w:val="auto"/>
        </w:rPr>
        <w:t>In April 2014, the EU adopted a new Clinical Trials Regulation (EU) No 536/2014, which is set to replace the current Clinical Trials Directive. The Regulation introduces an authorization procedure based on a single submission via a single E.U. portal, an assessment procedure leading to a single decision, as well as transparency requirements (the proactive publication of clinical trial data in the E.U. database). It is expected that the new Regulation will apply following confirmation of full functionality of the Clinical Trials Information System (CTIS), the centralized EU portal and database for clinical trials foreseen by the Regulation, through an independent audit, currently expected to occur in December 2021.</w:t>
      </w:r>
    </w:p>
    <w:p>
      <w:pPr>
        <w:spacing w:after="0" w:line="148" w:lineRule="exact"/>
        <w:rPr>
          <w:sz w:val="20"/>
          <w:szCs w:val="20"/>
          <w:color w:val="auto"/>
        </w:rPr>
      </w:pPr>
    </w:p>
    <w:p>
      <w:pPr>
        <w:ind w:left="160" w:right="640"/>
        <w:spacing w:after="0" w:line="239" w:lineRule="auto"/>
        <w:rPr>
          <w:sz w:val="20"/>
          <w:szCs w:val="20"/>
          <w:color w:val="auto"/>
        </w:rPr>
      </w:pPr>
      <w:r>
        <w:rPr>
          <w:rFonts w:ascii="Arial" w:cs="Arial" w:eastAsia="Arial" w:hAnsi="Arial"/>
          <w:sz w:val="17"/>
          <w:szCs w:val="17"/>
          <w:color w:val="auto"/>
        </w:rPr>
        <w:t>Manufacturing and import into the E.U. of investigational medicinal products for use in clinical trials is subject to the holding of appropriate authorizations and must be carried out in accordance with cGMP.</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Review and Approval</w:t>
      </w:r>
    </w:p>
    <w:p>
      <w:pPr>
        <w:spacing w:after="0" w:line="39" w:lineRule="exact"/>
        <w:rPr>
          <w:sz w:val="20"/>
          <w:szCs w:val="20"/>
          <w:color w:val="auto"/>
        </w:rPr>
      </w:pPr>
    </w:p>
    <w:p>
      <w:pPr>
        <w:ind w:left="160" w:right="20"/>
        <w:spacing w:after="0" w:line="234" w:lineRule="auto"/>
        <w:rPr>
          <w:sz w:val="20"/>
          <w:szCs w:val="20"/>
          <w:color w:val="auto"/>
        </w:rPr>
      </w:pPr>
      <w:r>
        <w:rPr>
          <w:rFonts w:ascii="Arial" w:cs="Arial" w:eastAsia="Arial" w:hAnsi="Arial"/>
          <w:sz w:val="17"/>
          <w:szCs w:val="17"/>
          <w:color w:val="auto"/>
        </w:rPr>
        <w:t>Authorization to market a product in the European Economic Area (EEA), comprising the European Union Member States plus Norway, Iceland and Liechtenstein, proceeds under one of four procedures: a centralized authorization procedure, a mutual recognition procedure, a decentralized procedure or a national procedure. Since our products by their virtue of being antibody-based biologics fall under the centralized procedure, only this procedure will be described here.</w:t>
      </w:r>
    </w:p>
    <w:p>
      <w:pPr>
        <w:spacing w:after="0" w:line="147"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Certain drugs, including medicinal products developed by means of biotechnological processes, must be approved via the centralized authorization procedure for marketing authorization. The centralized procedure is also mandatory for orphan medicinal products, advanced-therapy medicinal products (i.e.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A successful application under the centralized authorization procedure results in a marketing authorization from the European Commission, which is automatically valid throughout the EEA. The other European Economic Area member states (namely Norway, Iceland and Liechtenstein) are also obligated to recognize the European Commission decision. The EMA and the European Commission administer the centralized authorization procedure.</w:t>
      </w:r>
    </w:p>
    <w:p>
      <w:pPr>
        <w:spacing w:after="0" w:line="151"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Under the centralized authorization procedure, the Committee for Medicinal Products for Human Use (CHMP) serves as the scientific committee that renders opinions about the safety, efficacy and quality of human medicinal products on behalf of the EMA. The CHMP is composed of experts nominated by each member state’s national drug authority, with one of them appointed to act as Rapporteur for the co-ordination of the evaluation with the possible assistance of a further member of the CHMP acting as a Co-Rapporteur. After approval, the Rapporteur(s) continue to monitor the product throughout its life cycle. The CHMP is required to issue an opinion within 210 days of receipt of a valid application, though the clock is stopped if it is necessary to ask the applicant for clarification or further supporting data. Clock stops may extend the timeframe of evaluation of a marketing authorization application considerably beyond 210 days. The process is complex and involves extensive consultation with the regulatory authorities of Member States and a number of experts. Once the procedure is completed, a European Public Assessment Report is produced. If the CHMP concludes that the quality, safety and efficacy of the medicinal product is sufficiently proven, it adopts a positive opinion. The CHMP’s opinion is sent to the European Commission, which uses the opinion as the basis for its decision whether or not to grant a marketing authorization. The European Commission’s decision is issued within 67 days of receipt of the CHMP’s recommendation. If the opinion is negative, information is given as to the grounds on which this conclusion was reached.</w:t>
      </w:r>
    </w:p>
    <w:p>
      <w:pPr>
        <w:spacing w:after="0" w:line="150" w:lineRule="exact"/>
        <w:rPr>
          <w:sz w:val="20"/>
          <w:szCs w:val="20"/>
          <w:color w:val="auto"/>
        </w:rPr>
      </w:pPr>
    </w:p>
    <w:p>
      <w:pPr>
        <w:ind w:left="160" w:right="60"/>
        <w:spacing w:after="0" w:line="236" w:lineRule="auto"/>
        <w:rPr>
          <w:sz w:val="20"/>
          <w:szCs w:val="20"/>
          <w:color w:val="auto"/>
        </w:rPr>
      </w:pPr>
      <w:r>
        <w:rPr>
          <w:rFonts w:ascii="Arial" w:cs="Arial" w:eastAsia="Arial" w:hAnsi="Arial"/>
          <w:sz w:val="17"/>
          <w:szCs w:val="17"/>
          <w:color w:val="auto"/>
        </w:rPr>
        <w:t>After a drug has been authorized and launched, it is a condition of maintaining the marketing authorization that all aspects relating to its quality, safety and efficacy must be kept under review. Sanctions may be imposed for failure to adhere to the conditions of the marketing authorization. In extreme cases, the authorization may be revoked, resulting in withdrawal of the product from sale.</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080"/>
          </w:cols>
          <w:pgMar w:left="320" w:top="456"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Now that the UK (which comprises Great Britain and Northern Ireland) has left the EU, Great Britain will no longer be covered by centralized MAs (under the Northern Irish Protocol, centralized MAs will continue to be recognized in Northern Ireland). All medicinal products with a current centralized MA were automatically converted to Great Britain MAs on January 1, 2021. For a period of two years from January 1, 2021, the Medicines and Healthcare products Regulatory Agency (MHRA), the UK medicines regulator, may rely on a decision taken by the European Commission on the approval of a new marketing authorization in the centralized procedure, in order to more quickly grant a new Great Britain MA. A separate application will, however, still be required.</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Conditional Approval and Accelerated Assessment</w:t>
      </w:r>
    </w:p>
    <w:p>
      <w:pPr>
        <w:spacing w:after="0" w:line="39" w:lineRule="exact"/>
        <w:rPr>
          <w:sz w:val="20"/>
          <w:szCs w:val="20"/>
          <w:color w:val="auto"/>
        </w:rPr>
      </w:pPr>
    </w:p>
    <w:p>
      <w:pPr>
        <w:ind w:left="160"/>
        <w:spacing w:after="0" w:line="244" w:lineRule="auto"/>
        <w:rPr>
          <w:sz w:val="20"/>
          <w:szCs w:val="20"/>
          <w:color w:val="auto"/>
        </w:rPr>
      </w:pPr>
      <w:r>
        <w:rPr>
          <w:rFonts w:ascii="Arial" w:cs="Arial" w:eastAsia="Arial" w:hAnsi="Arial"/>
          <w:sz w:val="16"/>
          <w:szCs w:val="16"/>
          <w:color w:val="auto"/>
        </w:rPr>
        <w:t>As per Article 14(7) of Regulation (EC) 726/2004, a medicine that would fulfill an unmet medical need may, if its immediate availability is in the interest of public health, be granted a conditional marketing authorization on the basis of less complete clinical data than are normally required, subject to specific obligations with defined timelines being imposed on the authorization holder. The list of these obligations shall be made publicly accessible. In order for a conditional marketing authorization to be granted, the CHMP must find that all of the following criteria are met: (i) the benefit-risk balance of the medicine is positive; (ii) it is likely that the applicant will be able to provide comprehensive data post-authorization;</w:t>
      </w:r>
    </w:p>
    <w:p>
      <w:pPr>
        <w:spacing w:after="0" w:line="1" w:lineRule="exact"/>
        <w:rPr>
          <w:sz w:val="20"/>
          <w:szCs w:val="20"/>
          <w:color w:val="auto"/>
        </w:rPr>
      </w:pPr>
    </w:p>
    <w:p>
      <w:pPr>
        <w:ind w:left="160" w:right="420" w:firstLine="7"/>
        <w:spacing w:after="0" w:line="239" w:lineRule="auto"/>
        <w:tabs>
          <w:tab w:leader="none" w:pos="433"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medicine fulfils an unmet medical need; and (iv) the benefit of the medicine’s immediate availability to patients is greater than the risk inherent in the fact that additional data are still required. Such an authorization shall be valid for one year, on a renewable basis.</w:t>
      </w:r>
    </w:p>
    <w:p>
      <w:pPr>
        <w:spacing w:after="0" w:line="146"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When an application is submitted for a marketing authorization in respect of a drug for human use which is of major interest from the point of view of public health and in particular from the viewpoint of therapeutic innovation, the applicant may request an accelerated assessment procedure pursuant to Article 14(9) of Regulation (EC) 726/2004. Under the accelerated assessment procedure, the CHMP is required to issue an opinion within 150 days of receipt of a valid application, subject to clock stops, but it is possible that the CHMP may revert to the standard time limit for the centralized procedure if it determines that the application is no longer appropriate to conduct an accelerated assessment. We believe that some of the disease indications in which our product candidates are currently being or may be developed in the future qualify for this provision, and we will take advantage of this provision as appropriate.</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Period of Authorization and Renewals</w:t>
      </w:r>
    </w:p>
    <w:p>
      <w:pPr>
        <w:spacing w:after="0" w:line="39"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A marketing authorization is initially valid for five years and may then be renewed on the basis of a re-evaluation of the risk-benefit balance by the EMA or by the national competent authority of the authorizing Member State (where the centralized procedure is not used). To this end, the marketing authorization holder shall provide the EMA or the competent authority with a version of the file in respect of quality, safety and efficacy, including all variants introduced since the marketing authorization was granted, at least six months before expiry of the initial five year period. Once renewed, the marketing authorization shall be valid for an unlimited period, unless the European Commission or the relevant national competent authority decides, on justified grounds relating to pharmacovigilance, to proceed with one additional five-year renewal. Any authorization which is not followed by the actual placing of the drug on the EEA market (if the centralized procedure is used) or on the market of the authorizing Member State (if the centralized procedure is not used) within three years after authorization shall cease to be valid (the so-called “sunset clause”).</w:t>
      </w:r>
    </w:p>
    <w:p>
      <w:pPr>
        <w:spacing w:after="0" w:line="145"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Without prejudice to the law on the protection of industrial and commercial property, marketing authorizations for innovative medicinal products benefit from an 8+2+1 year period of regulatory protection. This regime consists of a regulatory data protection period of eight years plus a concurrent market exclusivity of 10 years plus an additional market exclusivity of one further year if, during the first eight years of those 10 years, the marketing approval holder obtains an approval for one or more new therapeutic indications which, during the scientific evaluation prior to their approval, are determined to bring a significant clinical benefit in comparison with existing therapies. Under the current rules, a third party making a generic or biosimilar application may not reference the preclinical and clinical data of the reference product until the expiry of eight years after first approval of the reference product, and the third party may only market a generic or biosimilar version of the reference product after 10 (or 11) years have lapsed since the first authorization of the reference product.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39" w:lineRule="exact"/>
        <w:rPr>
          <w:sz w:val="20"/>
          <w:szCs w:val="20"/>
          <w:color w:val="auto"/>
        </w:rPr>
      </w:pPr>
    </w:p>
    <w:p>
      <w:pPr>
        <w:ind w:left="160" w:right="600"/>
        <w:spacing w:after="0" w:line="239" w:lineRule="auto"/>
        <w:rPr>
          <w:sz w:val="20"/>
          <w:szCs w:val="20"/>
          <w:color w:val="auto"/>
        </w:rPr>
      </w:pPr>
      <w:r>
        <w:rPr>
          <w:rFonts w:ascii="Arial" w:cs="Arial" w:eastAsia="Arial" w:hAnsi="Arial"/>
          <w:sz w:val="17"/>
          <w:szCs w:val="17"/>
          <w:color w:val="auto"/>
        </w:rPr>
        <w:t>Regulation (EC) 141/2000 states that a drug shall be designated as an orphan drug if its sponsor can establish (i) that it is intended for the diagnosis, prevention or treatment of a life-threatening or chronically debilitating</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080"/>
          </w:cols>
          <w:pgMar w:left="320" w:top="456"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100"/>
        <w:spacing w:after="0" w:line="252" w:lineRule="auto"/>
        <w:rPr>
          <w:sz w:val="20"/>
          <w:szCs w:val="20"/>
          <w:color w:val="auto"/>
        </w:rPr>
      </w:pPr>
      <w:r>
        <w:rPr>
          <w:rFonts w:ascii="Arial" w:cs="Arial" w:eastAsia="Arial" w:hAnsi="Arial"/>
          <w:sz w:val="16"/>
          <w:szCs w:val="16"/>
          <w:color w:val="auto"/>
        </w:rPr>
        <w:t>condition; ; (ii) either such condition affects not more than five in 10,000 persons in the European Union when the application is made, or, without incentives, it is unlikely that the marketing of the drug in the European Union would generate sufficient return to justify the necessary investment in its development; and (iii)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137"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Regulation (EC) 847/2000 sets out provisions for the implementation of the criteria for the designation of orphan drugs. An application for designation as an orphan product can be made any time prior to the filing of an application for approval to market the product. Marketing authorization for an orphan drug leads to a 10-year period of market exclusivity, which means that no similar medicinal product can be authorized in the same indication. A “similar medicinal product” is defined as a medicinal product containing a similar active substance or substances as contained in an authorized orphan medicinal product, and which is intended for the same therapeutic indication. This period may, however, be reduced to six years if, at the end of the fifth year, it is established that the product no longer meets the criteria for orphan drug designation, for example because the product is sufficiently profitable not to justify continued market exclusivity. In addition, derogation from market exclusivity may be granted on an individual basis in very select cases, such as with consent from the marketing authorization holder, inability to supply sufficient quantities of the authorized product or demonstration of “clinically relevant superiority” by a similar medicinal product. Medicinal products designated as orphan drugs pursuant to Regulation (EC) 141/2000 are eligible for incentives made available by the European Union and by the Member States to support research into, and the development and availability of, orphan drugs.</w:t>
      </w:r>
    </w:p>
    <w:p>
      <w:pPr>
        <w:spacing w:after="0" w:line="150" w:lineRule="exact"/>
        <w:rPr>
          <w:sz w:val="20"/>
          <w:szCs w:val="20"/>
          <w:color w:val="auto"/>
        </w:rPr>
      </w:pPr>
    </w:p>
    <w:p>
      <w:pPr>
        <w:ind w:left="160" w:right="280"/>
        <w:spacing w:after="0" w:line="236" w:lineRule="auto"/>
        <w:rPr>
          <w:sz w:val="20"/>
          <w:szCs w:val="20"/>
          <w:color w:val="auto"/>
        </w:rPr>
      </w:pPr>
      <w:r>
        <w:rPr>
          <w:rFonts w:ascii="Arial" w:cs="Arial" w:eastAsia="Arial" w:hAnsi="Arial"/>
          <w:sz w:val="17"/>
          <w:szCs w:val="17"/>
          <w:color w:val="auto"/>
        </w:rPr>
        <w:t>If the MAA of a medicinal product designated as an orphan drug pursuant to Regulation (EC) 141/2000 includes the results of all studies conducted in compliance with an agreed pediatric investigation plan, and a corresponding statement is subsequently included in the marketing authorization granted, the 10-year period of market exclusivity will be extended to 12 years.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European and United Kingdom Data Collection and Processing</w:t>
      </w:r>
    </w:p>
    <w:p>
      <w:pPr>
        <w:spacing w:after="0" w:line="39"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The collection, use, disclosure and other processing of health-related and other personal information about clinical trials participants and other individuals in Europe is governed by the General Data Protection Regulation (GDPR) (and in the United Kingdom (UK), is governed by the European Union (Withdrawal) Act 2018 and the UK Data Protection Act 2018 (UK GDPR)). The GDPR and UK GDPR require companies to give detailed disclosures about how they collect, use and share personal information; ensure any consents relied on to process personal information (including special categories of personal data, such as health data) meet the stricter GDPR requirements; contractually impose data protection measures on vendors entrusted with personal information; maintain adequate data security measures; notify regulators and affected individuals of certain data breaches; meet extensive privacy governance and documentation requirements; honor individuals’ data protection rights, including their rights to access, correct and delete their personal information; and refrain from transferring personal information from Europe or the UK to most other countries unless specific safeguards can be implemented. Companies that violate the GDPR or UK GDPR can face private litigation, prohibitions on data processing and heavy fines. Complying with the GDPR and UK GDPR may be costly and require us to limit our activities in Europe. If our efforts to comply are not successful, we may face litigation, reputational harm, significant penalties and other liabilities.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Marketing</w:t>
      </w:r>
    </w:p>
    <w:p>
      <w:pPr>
        <w:spacing w:after="0" w:line="39"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auto"/>
        </w:rPr>
        <w:t>Much like the Anti-Kickback Statute prohibition in the United States, as described below, the provision of benefits or advantages to physicians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European Union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080"/>
          </w:cols>
          <w:pgMar w:left="320" w:top="456"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Brexit and the Regulatory Framework in the United Kingdom</w:t>
      </w:r>
    </w:p>
    <w:p>
      <w:pPr>
        <w:spacing w:after="0" w:line="39" w:lineRule="exact"/>
        <w:rPr>
          <w:sz w:val="20"/>
          <w:szCs w:val="20"/>
          <w:color w:val="auto"/>
        </w:rPr>
      </w:pPr>
    </w:p>
    <w:p>
      <w:pPr>
        <w:ind w:left="160" w:right="140"/>
        <w:spacing w:after="0" w:line="231" w:lineRule="auto"/>
        <w:rPr>
          <w:sz w:val="20"/>
          <w:szCs w:val="20"/>
          <w:color w:val="auto"/>
        </w:rPr>
      </w:pPr>
      <w:r>
        <w:rPr>
          <w:rFonts w:ascii="Arial" w:cs="Arial" w:eastAsia="Arial" w:hAnsi="Arial"/>
          <w:sz w:val="17"/>
          <w:szCs w:val="17"/>
          <w:color w:val="auto"/>
        </w:rPr>
        <w:t>In June 2016, the electorate in the UK voted in favor of leaving the EU (commonly referred to as “Brexit”). Thereafter, in March 2017, the country formally notified the EU of its intention to withdraw pursuant to Article 50 of the Lisbon Treaty and the UK formally left the EU on January 31, 2020. A transition period began on February 1, 2020, during which EU pharmaceutical law remained applicable to the UK, which ended on December 31, 2020. Since the regulatory framework in the UK covering the quality, safety and efficacy of medicinal products, clinical trials, marketing authorization, commercial sales and distribution of medicinal products is derived from EU Directives and Regulations, Brexit could materially impact the future regulatory regime which applies to products and the approval of product candidates in the UK, as UK legislation now has the potential to diverge from EU legislation. It remains to be seen how Brexit will impact regulatory requirements for product candidates and products in the UK in the long-term. The MHRA, the UK medicines and medical devices regulator, has recently published detailed guidance for industry and organizations to follow from January 1, 2021 now the transition period is over, which will be updated as the UK’s regulatory position on medicinal products evolves over time.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International Regulation</w:t>
      </w:r>
    </w:p>
    <w:p>
      <w:pPr>
        <w:spacing w:after="0" w:line="39" w:lineRule="exact"/>
        <w:rPr>
          <w:sz w:val="20"/>
          <w:szCs w:val="20"/>
          <w:color w:val="auto"/>
        </w:rPr>
      </w:pPr>
    </w:p>
    <w:p>
      <w:pPr>
        <w:jc w:val="both"/>
        <w:ind w:left="160" w:right="140"/>
        <w:spacing w:after="0" w:line="236" w:lineRule="auto"/>
        <w:rPr>
          <w:sz w:val="20"/>
          <w:szCs w:val="20"/>
          <w:color w:val="auto"/>
        </w:rPr>
      </w:pPr>
      <w:r>
        <w:rPr>
          <w:rFonts w:ascii="Arial" w:cs="Arial" w:eastAsia="Arial" w:hAnsi="Arial"/>
          <w:sz w:val="17"/>
          <w:szCs w:val="17"/>
          <w:color w:val="auto"/>
        </w:rPr>
        <w:t>In addition to regulations in the United States and Europe, a variety of foreign regulations govern clinical trials, commercial sales and distribution of product candidates. The approval process varies from country to country and the time to approval may be longer or shorter than that required for FDA or European Commission approval.</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Healthcare Laws and Regulations and Legislative Reform</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Healthcare Laws and Regulations</w:t>
      </w:r>
    </w:p>
    <w:p>
      <w:pPr>
        <w:spacing w:after="0" w:line="52"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Healthcare providers and third-party payors will play a primary role in the recommendation and prescription of any product candidates for which we obtain marketing approval. Our operations, including any arrangements with healthcare providers, physicians, third-party payors and customers may expose us to broadly applicable fraud and abuse and other healthcare laws that may affect the business or financial arrangements and relationships through which we would market, sell and distribute our products. The healthcare laws that may affect our ability to operate include, but are not limited to:</w:t>
      </w:r>
    </w:p>
    <w:p>
      <w:pPr>
        <w:spacing w:after="0" w:line="188" w:lineRule="exact"/>
        <w:rPr>
          <w:sz w:val="20"/>
          <w:szCs w:val="20"/>
          <w:color w:val="auto"/>
        </w:rPr>
      </w:pPr>
    </w:p>
    <w:p>
      <w:pPr>
        <w:ind w:left="1020" w:right="20" w:hanging="425"/>
        <w:spacing w:after="0" w:line="231" w:lineRule="auto"/>
        <w:tabs>
          <w:tab w:leader="none" w:pos="1020" w:val="left"/>
        </w:tabs>
        <w:numPr>
          <w:ilvl w:val="0"/>
          <w:numId w:val="70"/>
        </w:numPr>
        <w:rPr>
          <w:rFonts w:ascii="MS PGothic" w:cs="MS PGothic" w:eastAsia="MS PGothic" w:hAnsi="MS PGothic"/>
          <w:sz w:val="12"/>
          <w:szCs w:val="12"/>
          <w:color w:val="auto"/>
        </w:rPr>
      </w:pPr>
      <w:r>
        <w:rPr>
          <w:rFonts w:ascii="Arial" w:cs="Arial" w:eastAsia="Arial" w:hAnsi="Arial"/>
          <w:sz w:val="17"/>
          <w:szCs w:val="17"/>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federal Anti-Kickback Statute has also been interpreted to apply to arrangements between pharmaceutical manufacturers on the one hand and prescribers, purchasers and formulary managers on the other hand. There are a number of statutory exceptions and regulatory safe harbors protecting some common activities from prosecution, but the exceptions and safe harbors are drawn narrowly and require strict compliance in order to offer protection. Additionally, the intent standard under the federal Anti-Kickback Statute was amended by the Patient Protection and Affordable Care Act, as amended by the Health Care and Education Reconciliation Act of 2010 (collectively, Affordable Care Act), to a stricter standard such that a person or entity does not need to have actual knowledge of the statute or specific intent to violate it in order to have committed a violation. Further, the Affordable Care Act codified case law that a claim including items or services resulting from a violation of the federal Anti-Kickback Statute constitutes a false or fraudulent claim for purposes of the civil False Claims Act.</w:t>
      </w:r>
    </w:p>
    <w:p>
      <w:pPr>
        <w:spacing w:after="0" w:line="28" w:lineRule="exact"/>
        <w:rPr>
          <w:rFonts w:ascii="MS PGothic" w:cs="MS PGothic" w:eastAsia="MS PGothic" w:hAnsi="MS PGothic"/>
          <w:sz w:val="12"/>
          <w:szCs w:val="12"/>
          <w:color w:val="auto"/>
        </w:rPr>
      </w:pPr>
    </w:p>
    <w:p>
      <w:pPr>
        <w:ind w:left="1020" w:right="60" w:hanging="425"/>
        <w:spacing w:after="0" w:line="236" w:lineRule="auto"/>
        <w:tabs>
          <w:tab w:leader="none" w:pos="1020" w:val="left"/>
        </w:tabs>
        <w:numPr>
          <w:ilvl w:val="0"/>
          <w:numId w:val="70"/>
        </w:numPr>
        <w:rPr>
          <w:rFonts w:ascii="MS PGothic" w:cs="MS PGothic" w:eastAsia="MS PGothic" w:hAnsi="MS PGothic"/>
          <w:sz w:val="12"/>
          <w:szCs w:val="12"/>
          <w:color w:val="auto"/>
        </w:rPr>
      </w:pPr>
      <w:r>
        <w:rPr>
          <w:rFonts w:ascii="Arial" w:cs="Arial" w:eastAsia="Arial" w:hAnsi="Arial"/>
          <w:sz w:val="17"/>
          <w:szCs w:val="17"/>
          <w:color w:val="auto"/>
        </w:rPr>
        <w:t>Federal civil and criminal false claims laws, such as the False Claims Act, which can be enforced by private citizens through civil qui tam actions, and civil monetary penalty laws prohibit individuals or entities from, among other things, knowingly presenting, or causing to be presented, false, fictitious or fraudulent claims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080"/>
          </w:cols>
          <w:pgMar w:left="320" w:top="456"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040" w:right="40"/>
        <w:spacing w:after="0" w:line="231" w:lineRule="auto"/>
        <w:rPr>
          <w:sz w:val="20"/>
          <w:szCs w:val="20"/>
          <w:color w:val="auto"/>
        </w:rPr>
      </w:pPr>
      <w:r>
        <w:rPr>
          <w:rFonts w:ascii="Arial" w:cs="Arial" w:eastAsia="Arial" w:hAnsi="Arial"/>
          <w:sz w:val="17"/>
          <w:szCs w:val="17"/>
          <w:color w:val="auto"/>
        </w:rPr>
        <w:t>for payment of federal funds, and knowingly making, using or causing to be made or used a false record or statement material to a false or fraudulent claim to avoid, decrease or conceal an obligation to pay money to the federal government. For example, pharmaceutical companies have been prosecuted under the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healthcare programs for the product. In addition, a claim including items or services resulting from a violation of the federal Anti-Kickback Statute constitutes a false or fraudulent claim for purposes of the False Claims Act. As a result of a modification made by the Fraud Enforcement and Recovery Act of 2009, a claim includes “any request or demand” for money or property presented to the U.S. government. In addition, manufacturers can be held liable under the False Claims Act even when they do not submit claims directly to government payors if they are deemed to “cause” the submission of false or fraudulent claims.</w:t>
      </w:r>
    </w:p>
    <w:p>
      <w:pPr>
        <w:spacing w:after="0" w:line="31" w:lineRule="exact"/>
        <w:rPr>
          <w:sz w:val="20"/>
          <w:szCs w:val="20"/>
          <w:color w:val="auto"/>
        </w:rPr>
      </w:pPr>
    </w:p>
    <w:p>
      <w:pPr>
        <w:ind w:left="1020" w:hanging="425"/>
        <w:spacing w:after="0" w:line="232" w:lineRule="auto"/>
        <w:tabs>
          <w:tab w:leader="none" w:pos="1020" w:val="left"/>
        </w:tabs>
        <w:numPr>
          <w:ilvl w:val="0"/>
          <w:numId w:val="71"/>
        </w:numPr>
        <w:rPr>
          <w:rFonts w:ascii="MS PGothic" w:cs="MS PGothic" w:eastAsia="MS PGothic" w:hAnsi="MS PGothic"/>
          <w:sz w:val="12"/>
          <w:szCs w:val="12"/>
          <w:color w:val="auto"/>
        </w:rPr>
      </w:pPr>
      <w:r>
        <w:rPr>
          <w:rFonts w:ascii="Arial" w:cs="Arial" w:eastAsia="Arial" w:hAnsi="Arial"/>
          <w:sz w:val="17"/>
          <w:szCs w:val="17"/>
          <w:color w:val="auto"/>
        </w:rPr>
        <w:t>The Health Insurance Portability and Accountability Act of 1996 (HIPAA), among other things,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28" w:lineRule="exact"/>
        <w:rPr>
          <w:rFonts w:ascii="MS PGothic" w:cs="MS PGothic" w:eastAsia="MS PGothic" w:hAnsi="MS PGothic"/>
          <w:sz w:val="12"/>
          <w:szCs w:val="12"/>
          <w:color w:val="auto"/>
        </w:rPr>
      </w:pPr>
    </w:p>
    <w:p>
      <w:pPr>
        <w:ind w:left="1020" w:right="60" w:hanging="425"/>
        <w:spacing w:after="0" w:line="232" w:lineRule="auto"/>
        <w:tabs>
          <w:tab w:leader="none" w:pos="1020" w:val="left"/>
        </w:tabs>
        <w:numPr>
          <w:ilvl w:val="0"/>
          <w:numId w:val="71"/>
        </w:numPr>
        <w:rPr>
          <w:rFonts w:ascii="MS PGothic" w:cs="MS PGothic" w:eastAsia="MS PGothic" w:hAnsi="MS PGothic"/>
          <w:sz w:val="12"/>
          <w:szCs w:val="12"/>
          <w:color w:val="auto"/>
        </w:rPr>
      </w:pPr>
      <w:r>
        <w:rPr>
          <w:rFonts w:ascii="Arial" w:cs="Arial" w:eastAsia="Arial" w:hAnsi="Arial"/>
          <w:sz w:val="17"/>
          <w:szCs w:val="17"/>
          <w:color w:val="auto"/>
        </w:rPr>
        <w:t>HIPAA, as amended by Health Information Technology for Economic and Clinical Health Act of 2009 (HITECH), and their implementing regulations, which impose privacy, security and breach reporting obligations with respect to individually identifiable health information upon entities subject to the law, such as health plans, healthcare clearinghouses and certain healthcare providers, known as covered entities, and their respective business associates and subcontractors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HIPAA laws and seek attorneys’ fees and costs associated with pursuing federal civil actions.</w:t>
      </w:r>
    </w:p>
    <w:p>
      <w:pPr>
        <w:spacing w:after="0" w:line="26" w:lineRule="exact"/>
        <w:rPr>
          <w:rFonts w:ascii="MS PGothic" w:cs="MS PGothic" w:eastAsia="MS PGothic" w:hAnsi="MS PGothic"/>
          <w:sz w:val="12"/>
          <w:szCs w:val="12"/>
          <w:color w:val="auto"/>
        </w:rPr>
      </w:pPr>
    </w:p>
    <w:p>
      <w:pPr>
        <w:ind w:left="1020" w:right="260" w:hanging="425"/>
        <w:spacing w:after="0" w:line="239" w:lineRule="auto"/>
        <w:tabs>
          <w:tab w:leader="none" w:pos="1020" w:val="left"/>
        </w:tabs>
        <w:numPr>
          <w:ilvl w:val="0"/>
          <w:numId w:val="71"/>
        </w:numPr>
        <w:rPr>
          <w:rFonts w:ascii="MS PGothic" w:cs="MS PGothic" w:eastAsia="MS PGothic" w:hAnsi="MS PGothic"/>
          <w:sz w:val="12"/>
          <w:szCs w:val="12"/>
          <w:color w:val="auto"/>
        </w:rPr>
      </w:pPr>
      <w:r>
        <w:rPr>
          <w:rFonts w:ascii="Arial" w:cs="Arial" w:eastAsia="Arial" w:hAnsi="Arial"/>
          <w:sz w:val="17"/>
          <w:szCs w:val="17"/>
          <w:color w:val="auto"/>
        </w:rPr>
        <w:t>Federal and state consumer protection and unfair competition laws, which broadly regulate marketplace activities and activities that potentially harm consumers.</w:t>
      </w:r>
    </w:p>
    <w:p>
      <w:pPr>
        <w:spacing w:after="0" w:line="25" w:lineRule="exact"/>
        <w:rPr>
          <w:rFonts w:ascii="MS PGothic" w:cs="MS PGothic" w:eastAsia="MS PGothic" w:hAnsi="MS PGothic"/>
          <w:sz w:val="12"/>
          <w:szCs w:val="12"/>
          <w:color w:val="auto"/>
        </w:rPr>
      </w:pPr>
    </w:p>
    <w:p>
      <w:pPr>
        <w:ind w:left="1020" w:right="40" w:hanging="425"/>
        <w:spacing w:after="0" w:line="232" w:lineRule="auto"/>
        <w:tabs>
          <w:tab w:leader="none" w:pos="1020" w:val="left"/>
        </w:tabs>
        <w:numPr>
          <w:ilvl w:val="0"/>
          <w:numId w:val="71"/>
        </w:numPr>
        <w:rPr>
          <w:rFonts w:ascii="MS PGothic" w:cs="MS PGothic" w:eastAsia="MS PGothic" w:hAnsi="MS PGothic"/>
          <w:sz w:val="12"/>
          <w:szCs w:val="12"/>
          <w:color w:val="auto"/>
        </w:rPr>
      </w:pPr>
      <w:r>
        <w:rPr>
          <w:rFonts w:ascii="Arial" w:cs="Arial" w:eastAsia="Arial" w:hAnsi="Arial"/>
          <w:sz w:val="17"/>
          <w:szCs w:val="17"/>
          <w:color w:val="auto"/>
        </w:rPr>
        <w:t>The federal transparency requirements under the Physician Payments Sunshine Act, created under the Affordable Care Act, which requires, among other things, certain manufacturers of drugs, devices, biologics and medical supplies reimbursed under Medicare, Medicaid, or the Children’s Health Insurance Program to report annually to CMS information related to payments and other transfers of value provided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information regarding payments and other transfers of value provided during the previous year to physician assistants, nurse practitioners, clinical nurse specialists, anesthesiologist assistants, certified registered nurse anesthetists and certified nurse midwives.</w:t>
      </w:r>
    </w:p>
    <w:p>
      <w:pPr>
        <w:spacing w:after="0" w:line="26" w:lineRule="exact"/>
        <w:rPr>
          <w:rFonts w:ascii="MS PGothic" w:cs="MS PGothic" w:eastAsia="MS PGothic" w:hAnsi="MS PGothic"/>
          <w:sz w:val="12"/>
          <w:szCs w:val="12"/>
          <w:color w:val="auto"/>
        </w:rPr>
      </w:pPr>
    </w:p>
    <w:p>
      <w:pPr>
        <w:ind w:left="1020" w:right="20" w:hanging="425"/>
        <w:spacing w:after="0" w:line="236" w:lineRule="auto"/>
        <w:tabs>
          <w:tab w:leader="none" w:pos="1020" w:val="left"/>
        </w:tabs>
        <w:numPr>
          <w:ilvl w:val="0"/>
          <w:numId w:val="71"/>
        </w:numPr>
        <w:rPr>
          <w:rFonts w:ascii="MS PGothic" w:cs="MS PGothic" w:eastAsia="MS PGothic" w:hAnsi="MS PGothic"/>
          <w:sz w:val="12"/>
          <w:szCs w:val="12"/>
          <w:color w:val="auto"/>
        </w:rPr>
      </w:pPr>
      <w:r>
        <w:rPr>
          <w:rFonts w:ascii="Arial" w:cs="Arial" w:eastAsia="Arial" w:hAnsi="Arial"/>
          <w:sz w:val="17"/>
          <w:szCs w:val="17"/>
          <w:color w:val="auto"/>
        </w:rPr>
        <w:t>State and foreign laws that are analogous to each of the above federal laws, such as anti-kickback and false claims laws, that may impose similar or more prohibitive restrictions, and may apply to items or services reimbursed by non-governmental third-party payors, including private insurers.</w:t>
      </w:r>
    </w:p>
    <w:p>
      <w:pPr>
        <w:spacing w:after="0" w:line="25" w:lineRule="exact"/>
        <w:rPr>
          <w:rFonts w:ascii="MS PGothic" w:cs="MS PGothic" w:eastAsia="MS PGothic" w:hAnsi="MS PGothic"/>
          <w:sz w:val="12"/>
          <w:szCs w:val="12"/>
          <w:color w:val="auto"/>
        </w:rPr>
      </w:pPr>
    </w:p>
    <w:p>
      <w:pPr>
        <w:ind w:left="1020" w:right="160" w:hanging="425"/>
        <w:spacing w:after="0" w:line="233" w:lineRule="auto"/>
        <w:tabs>
          <w:tab w:leader="none" w:pos="1020" w:val="left"/>
        </w:tabs>
        <w:numPr>
          <w:ilvl w:val="0"/>
          <w:numId w:val="71"/>
        </w:numPr>
        <w:rPr>
          <w:rFonts w:ascii="MS PGothic" w:cs="MS PGothic" w:eastAsia="MS PGothic" w:hAnsi="MS PGothic"/>
          <w:sz w:val="12"/>
          <w:szCs w:val="12"/>
          <w:color w:val="auto"/>
        </w:rPr>
      </w:pPr>
      <w:r>
        <w:rPr>
          <w:rFonts w:ascii="Arial" w:cs="Arial" w:eastAsia="Arial" w:hAnsi="Arial"/>
          <w:sz w:val="17"/>
          <w:szCs w:val="17"/>
          <w:color w:val="auto"/>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healthcare providers; state laws that require the reporting of marketing expenditures or drug pricing, including information pertaining to and justifying price increases; state and local laws that require the registration of pharmaceutical sales representatives; state laws that prohibit various marketing-related activities, such as the provision of certain kinds of gifts or meals; state laws that</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080"/>
          </w:cols>
          <w:pgMar w:left="320" w:top="456"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040"/>
        <w:spacing w:after="0" w:line="233" w:lineRule="auto"/>
        <w:rPr>
          <w:sz w:val="20"/>
          <w:szCs w:val="20"/>
          <w:color w:val="auto"/>
        </w:rPr>
      </w:pPr>
      <w:r>
        <w:rPr>
          <w:rFonts w:ascii="Arial" w:cs="Arial" w:eastAsia="Arial" w:hAnsi="Arial"/>
          <w:sz w:val="17"/>
          <w:szCs w:val="17"/>
          <w:color w:val="auto"/>
        </w:rPr>
        <w:t>require the posting of information relating to clinical trials and their outcomes; and other federal,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p>
      <w:pPr>
        <w:spacing w:after="0" w:line="148"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If our operations are found to be in violation of any of these laws or any other current or future healthcare laws that may apply to us, we may be subject to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if any of the physicians or other healthcare providers or entities with whom we expect to do business is found not to be in compliance with applicable laws, they may be subject to significant criminal, civil or administrative sanctions, including exclusions from government funded healthcare programs.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Legislative Reform</w:t>
      </w:r>
    </w:p>
    <w:p>
      <w:pPr>
        <w:spacing w:after="0" w:line="39" w:lineRule="exact"/>
        <w:rPr>
          <w:sz w:val="20"/>
          <w:szCs w:val="20"/>
          <w:color w:val="auto"/>
        </w:rPr>
      </w:pPr>
    </w:p>
    <w:p>
      <w:pPr>
        <w:ind w:left="160" w:right="80"/>
        <w:spacing w:after="0" w:line="252" w:lineRule="auto"/>
        <w:rPr>
          <w:sz w:val="20"/>
          <w:szCs w:val="20"/>
          <w:color w:val="auto"/>
        </w:rPr>
      </w:pPr>
      <w:r>
        <w:rPr>
          <w:rFonts w:ascii="Arial" w:cs="Arial" w:eastAsia="Arial" w:hAnsi="Arial"/>
          <w:sz w:val="16"/>
          <w:szCs w:val="16"/>
          <w:color w:val="auto"/>
        </w:rPr>
        <w:t>We operate in a highly regulated industry, and new laws, regulations and judicial decisions, or new interpretations of existing laws, regulations and decisions, related to healthcare availability, the method of delivery and payment for healthcare products and services could negatively affect our business, financial condition and prospects. There is significant interest in promoting healthcare reforms, and it is likely that federal and state legislatures within the United States and the governments of other countries will continue to consider changes to existing healthcare legislation.</w:t>
      </w:r>
    </w:p>
    <w:p>
      <w:pPr>
        <w:spacing w:after="0" w:line="137" w:lineRule="exact"/>
        <w:rPr>
          <w:sz w:val="20"/>
          <w:szCs w:val="20"/>
          <w:color w:val="auto"/>
        </w:rPr>
      </w:pPr>
    </w:p>
    <w:p>
      <w:pPr>
        <w:ind w:left="160" w:right="200"/>
        <w:spacing w:after="0" w:line="236" w:lineRule="auto"/>
        <w:rPr>
          <w:sz w:val="20"/>
          <w:szCs w:val="20"/>
          <w:color w:val="auto"/>
        </w:rPr>
      </w:pPr>
      <w:r>
        <w:rPr>
          <w:rFonts w:ascii="Arial" w:cs="Arial" w:eastAsia="Arial" w:hAnsi="Arial"/>
          <w:sz w:val="17"/>
          <w:szCs w:val="17"/>
          <w:color w:val="auto"/>
        </w:rPr>
        <w:t>For example, the United States and state governments continue to propose and pass legislation designed to reduce the cost of healthcare. In 2010, the U.S. Congress enacted the Affordable Care Act, which included changes to the coverage and reimbursement of drug products under government healthcare programs such as:</w:t>
      </w:r>
    </w:p>
    <w:p>
      <w:pPr>
        <w:spacing w:after="0" w:line="186" w:lineRule="exact"/>
        <w:rPr>
          <w:sz w:val="20"/>
          <w:szCs w:val="20"/>
          <w:color w:val="auto"/>
        </w:rPr>
      </w:pPr>
    </w:p>
    <w:p>
      <w:pPr>
        <w:ind w:left="1020" w:hanging="425"/>
        <w:spacing w:after="0"/>
        <w:tabs>
          <w:tab w:leader="none" w:pos="1020" w:val="left"/>
        </w:tabs>
        <w:numPr>
          <w:ilvl w:val="0"/>
          <w:numId w:val="72"/>
        </w:numPr>
        <w:rPr>
          <w:rFonts w:ascii="MS PGothic" w:cs="MS PGothic" w:eastAsia="MS PGothic" w:hAnsi="MS PGothic"/>
          <w:sz w:val="12"/>
          <w:szCs w:val="12"/>
          <w:color w:val="auto"/>
        </w:rPr>
      </w:pPr>
      <w:r>
        <w:rPr>
          <w:rFonts w:ascii="Arial" w:cs="Arial" w:eastAsia="Arial" w:hAnsi="Arial"/>
          <w:sz w:val="17"/>
          <w:szCs w:val="17"/>
          <w:color w:val="auto"/>
        </w:rPr>
        <w:t>increased the minimum Medicaid rebates owed by manufacturers under the Medicaid Drug Rebate Program;</w:t>
      </w:r>
    </w:p>
    <w:p>
      <w:pPr>
        <w:spacing w:after="0" w:line="31" w:lineRule="exact"/>
        <w:rPr>
          <w:rFonts w:ascii="MS PGothic" w:cs="MS PGothic" w:eastAsia="MS PGothic" w:hAnsi="MS PGothic"/>
          <w:sz w:val="12"/>
          <w:szCs w:val="12"/>
          <w:color w:val="auto"/>
        </w:rPr>
      </w:pPr>
    </w:p>
    <w:p>
      <w:pPr>
        <w:ind w:left="1020" w:right="100" w:hanging="425"/>
        <w:spacing w:after="0" w:line="239" w:lineRule="auto"/>
        <w:tabs>
          <w:tab w:leader="none" w:pos="1020" w:val="left"/>
        </w:tabs>
        <w:numPr>
          <w:ilvl w:val="0"/>
          <w:numId w:val="72"/>
        </w:numPr>
        <w:rPr>
          <w:rFonts w:ascii="MS PGothic" w:cs="MS PGothic" w:eastAsia="MS PGothic" w:hAnsi="MS PGothic"/>
          <w:sz w:val="12"/>
          <w:szCs w:val="12"/>
          <w:color w:val="auto"/>
        </w:rPr>
      </w:pPr>
      <w:r>
        <w:rPr>
          <w:rFonts w:ascii="Arial" w:cs="Arial" w:eastAsia="Arial" w:hAnsi="Arial"/>
          <w:sz w:val="17"/>
          <w:szCs w:val="17"/>
          <w:color w:val="auto"/>
        </w:rPr>
        <w:t>established a branded prescription drug fee that pharmaceutical manufacturers of certain branded prescription drugs must pay to the federal government;</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72"/>
        </w:numPr>
        <w:rPr>
          <w:rFonts w:ascii="MS PGothic" w:cs="MS PGothic" w:eastAsia="MS PGothic" w:hAnsi="MS PGothic"/>
          <w:sz w:val="12"/>
          <w:szCs w:val="12"/>
          <w:color w:val="auto"/>
        </w:rPr>
      </w:pPr>
      <w:r>
        <w:rPr>
          <w:rFonts w:ascii="Arial" w:cs="Arial" w:eastAsia="Arial" w:hAnsi="Arial"/>
          <w:sz w:val="17"/>
          <w:szCs w:val="17"/>
          <w:color w:val="auto"/>
        </w:rPr>
        <w:t>expanded the list of covered entities eligible to participate in the 340B drug pricing program by adding new entities to the program;</w:t>
      </w:r>
    </w:p>
    <w:p>
      <w:pPr>
        <w:spacing w:after="0" w:line="31" w:lineRule="exact"/>
        <w:rPr>
          <w:rFonts w:ascii="MS PGothic" w:cs="MS PGothic" w:eastAsia="MS PGothic" w:hAnsi="MS PGothic"/>
          <w:sz w:val="12"/>
          <w:szCs w:val="12"/>
          <w:color w:val="auto"/>
        </w:rPr>
      </w:pPr>
    </w:p>
    <w:p>
      <w:pPr>
        <w:ind w:left="1020" w:right="140" w:hanging="425"/>
        <w:spacing w:after="0" w:line="236" w:lineRule="auto"/>
        <w:tabs>
          <w:tab w:leader="none" w:pos="1020" w:val="left"/>
        </w:tabs>
        <w:numPr>
          <w:ilvl w:val="0"/>
          <w:numId w:val="72"/>
        </w:numPr>
        <w:rPr>
          <w:rFonts w:ascii="MS PGothic" w:cs="MS PGothic" w:eastAsia="MS PGothic" w:hAnsi="MS PGothic"/>
          <w:sz w:val="12"/>
          <w:szCs w:val="12"/>
          <w:color w:val="auto"/>
        </w:rPr>
      </w:pPr>
      <w:r>
        <w:rPr>
          <w:rFonts w:ascii="Arial" w:cs="Arial" w:eastAsia="Arial" w:hAnsi="Arial"/>
          <w:sz w:val="17"/>
          <w:szCs w:val="17"/>
          <w:color w:val="auto"/>
        </w:rPr>
        <w:t>established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25" w:lineRule="exact"/>
        <w:rPr>
          <w:rFonts w:ascii="MS PGothic" w:cs="MS PGothic" w:eastAsia="MS PGothic" w:hAnsi="MS PGothic"/>
          <w:sz w:val="12"/>
          <w:szCs w:val="12"/>
          <w:color w:val="auto"/>
        </w:rPr>
      </w:pPr>
    </w:p>
    <w:p>
      <w:pPr>
        <w:ind w:left="1020" w:right="240" w:hanging="425"/>
        <w:spacing w:after="0" w:line="239" w:lineRule="auto"/>
        <w:tabs>
          <w:tab w:leader="none" w:pos="1020" w:val="left"/>
        </w:tabs>
        <w:numPr>
          <w:ilvl w:val="0"/>
          <w:numId w:val="72"/>
        </w:numPr>
        <w:rPr>
          <w:rFonts w:ascii="MS PGothic" w:cs="MS PGothic" w:eastAsia="MS PGothic" w:hAnsi="MS PGothic"/>
          <w:sz w:val="12"/>
          <w:szCs w:val="12"/>
          <w:color w:val="auto"/>
        </w:rPr>
      </w:pPr>
      <w:r>
        <w:rPr>
          <w:rFonts w:ascii="Arial" w:cs="Arial" w:eastAsia="Arial" w:hAnsi="Arial"/>
          <w:sz w:val="17"/>
          <w:szCs w:val="17"/>
          <w:color w:val="auto"/>
        </w:rPr>
        <w:t>extended manufacturers’ Medicaid rebate liability to covered drugs dispensed to individuals who are enrolled in Medicaid managed care organizations;</w:t>
      </w:r>
    </w:p>
    <w:p>
      <w:pPr>
        <w:spacing w:after="0" w:line="25" w:lineRule="exact"/>
        <w:rPr>
          <w:rFonts w:ascii="MS PGothic" w:cs="MS PGothic" w:eastAsia="MS PGothic" w:hAnsi="MS PGothic"/>
          <w:sz w:val="12"/>
          <w:szCs w:val="12"/>
          <w:color w:val="auto"/>
        </w:rPr>
      </w:pPr>
    </w:p>
    <w:p>
      <w:pPr>
        <w:jc w:val="both"/>
        <w:ind w:left="1020" w:right="340" w:hanging="425"/>
        <w:spacing w:after="0" w:line="236" w:lineRule="auto"/>
        <w:tabs>
          <w:tab w:leader="none" w:pos="1020" w:val="left"/>
        </w:tabs>
        <w:numPr>
          <w:ilvl w:val="0"/>
          <w:numId w:val="72"/>
        </w:numPr>
        <w:rPr>
          <w:rFonts w:ascii="MS PGothic" w:cs="MS PGothic" w:eastAsia="MS PGothic" w:hAnsi="MS PGothic"/>
          <w:sz w:val="12"/>
          <w:szCs w:val="12"/>
          <w:color w:val="auto"/>
        </w:rPr>
      </w:pPr>
      <w:r>
        <w:rPr>
          <w:rFonts w:ascii="Arial" w:cs="Arial" w:eastAsia="Arial" w:hAnsi="Arial"/>
          <w:sz w:val="17"/>
          <w:szCs w:val="17"/>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25" w:lineRule="exact"/>
        <w:rPr>
          <w:rFonts w:ascii="MS PGothic" w:cs="MS PGothic" w:eastAsia="MS PGothic" w:hAnsi="MS PGothic"/>
          <w:sz w:val="12"/>
          <w:szCs w:val="12"/>
          <w:color w:val="auto"/>
        </w:rPr>
      </w:pPr>
    </w:p>
    <w:p>
      <w:pPr>
        <w:ind w:left="1020" w:right="280" w:hanging="425"/>
        <w:spacing w:after="0" w:line="239" w:lineRule="auto"/>
        <w:tabs>
          <w:tab w:leader="none" w:pos="1020" w:val="left"/>
        </w:tabs>
        <w:numPr>
          <w:ilvl w:val="0"/>
          <w:numId w:val="72"/>
        </w:numPr>
        <w:rPr>
          <w:rFonts w:ascii="MS PGothic" w:cs="MS PGothic" w:eastAsia="MS PGothic" w:hAnsi="MS PGothic"/>
          <w:sz w:val="12"/>
          <w:szCs w:val="12"/>
          <w:color w:val="auto"/>
        </w:rPr>
      </w:pPr>
      <w:r>
        <w:rPr>
          <w:rFonts w:ascii="Arial" w:cs="Arial" w:eastAsia="Arial" w:hAnsi="Arial"/>
          <w:sz w:val="17"/>
          <w:szCs w:val="17"/>
          <w:color w:val="auto"/>
        </w:rPr>
        <w:t>created a new methodology by which rebates owed by manufacturers under the Medicaid Drug Rebate Program are calculated for certain drugs and biologics, including our product candidates, that are inhaled, infused, instilled, implanted or injected;</w:t>
      </w:r>
    </w:p>
    <w:p>
      <w:pPr>
        <w:spacing w:after="0" w:line="25" w:lineRule="exact"/>
        <w:rPr>
          <w:rFonts w:ascii="MS PGothic" w:cs="MS PGothic" w:eastAsia="MS PGothic" w:hAnsi="MS PGothic"/>
          <w:sz w:val="12"/>
          <w:szCs w:val="12"/>
          <w:color w:val="auto"/>
        </w:rPr>
      </w:pPr>
    </w:p>
    <w:p>
      <w:pPr>
        <w:ind w:left="1020" w:right="240" w:hanging="425"/>
        <w:spacing w:after="0" w:line="239" w:lineRule="auto"/>
        <w:tabs>
          <w:tab w:leader="none" w:pos="1020" w:val="left"/>
        </w:tabs>
        <w:numPr>
          <w:ilvl w:val="0"/>
          <w:numId w:val="72"/>
        </w:numPr>
        <w:rPr>
          <w:rFonts w:ascii="MS PGothic" w:cs="MS PGothic" w:eastAsia="MS PGothic" w:hAnsi="MS PGothic"/>
          <w:sz w:val="12"/>
          <w:szCs w:val="12"/>
          <w:color w:val="auto"/>
        </w:rPr>
      </w:pPr>
      <w:r>
        <w:rPr>
          <w:rFonts w:ascii="Arial" w:cs="Arial" w:eastAsia="Arial" w:hAnsi="Arial"/>
          <w:sz w:val="17"/>
          <w:szCs w:val="17"/>
          <w:color w:val="auto"/>
        </w:rPr>
        <w:t>established a new Patient-Centered Outcomes Research Institute to oversee, identify priorities in, and conduct comparative clinical effectiveness research, along with funding for such research;</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040"/>
          </w:cols>
          <w:pgMar w:left="320" w:top="456" w:right="5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020" w:right="400" w:hanging="425"/>
        <w:spacing w:after="0" w:line="239" w:lineRule="auto"/>
        <w:tabs>
          <w:tab w:leader="none" w:pos="1020" w:val="left"/>
        </w:tabs>
        <w:numPr>
          <w:ilvl w:val="0"/>
          <w:numId w:val="73"/>
        </w:numPr>
        <w:rPr>
          <w:rFonts w:ascii="MS PGothic" w:cs="MS PGothic" w:eastAsia="MS PGothic" w:hAnsi="MS PGothic"/>
          <w:sz w:val="12"/>
          <w:szCs w:val="12"/>
          <w:color w:val="auto"/>
        </w:rPr>
      </w:pPr>
      <w:r>
        <w:rPr>
          <w:rFonts w:ascii="Arial" w:cs="Arial" w:eastAsia="Arial" w:hAnsi="Arial"/>
          <w:sz w:val="17"/>
          <w:szCs w:val="17"/>
          <w:color w:val="auto"/>
        </w:rPr>
        <w:t>established a Center for Medicare and Medicaid Innovation at the CMS to test innovative payment and service delivery models to lower Medicare and Medicaid spending, potentially including prescription drug spending; and</w:t>
      </w:r>
    </w:p>
    <w:p>
      <w:pPr>
        <w:spacing w:after="0" w:line="10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73"/>
        </w:numPr>
        <w:rPr>
          <w:rFonts w:ascii="MS PGothic" w:cs="MS PGothic" w:eastAsia="MS PGothic" w:hAnsi="MS PGothic"/>
          <w:sz w:val="12"/>
          <w:szCs w:val="12"/>
          <w:color w:val="auto"/>
        </w:rPr>
      </w:pPr>
      <w:r>
        <w:rPr>
          <w:rFonts w:ascii="Arial" w:cs="Arial" w:eastAsia="Arial" w:hAnsi="Arial"/>
          <w:sz w:val="17"/>
          <w:szCs w:val="17"/>
          <w:color w:val="auto"/>
        </w:rPr>
        <w:t>created a licensure framework for follow-on biologic products.</w:t>
      </w:r>
    </w:p>
    <w:p>
      <w:pPr>
        <w:spacing w:after="0" w:line="152"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There have been executive, judicial and congressional challenges to certain aspects of the Affordable Care Act as well as efforts to repeal or replace certain aspects of the Affordable Care Act. For example, the U.S. Supreme Court is currently reviewing the constitutionality of the Affordable Care Act, but it is unknown when a decision will be reached. On February 10, 2021, the Biden administration withdrew the federal government’s support for overturning the Affordable Care Act. Further, although the Supreme Court has not yet ruled on the constitutionality of the Affordable Care Act, on January 28, 2021, President Biden issued an executive order to initiate a special enrollment period for purposes of obtaining health insurance coverage through the Affordable Care Act marketplace, which began on February 15, 2021 and will remain open through August 15, 2021.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the Supreme Court ruling, other such litigation, and the healthcare reform measures of the Biden administration will impact the Affordable Care Act.</w:t>
      </w:r>
    </w:p>
    <w:p>
      <w:pPr>
        <w:spacing w:after="0" w:line="150"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In addition, there have been and continue to be a number of initiatives at the United States federal and state levels that seek to reduce healthcare costs. In 2011, the U.S. Congress enacted the Budget Control Act, which included provisions intended to reduce the federal deficit. The Budget Control Act resulted in the imposition of 2% reductions in Medicare payments to providers beginning in 2013 and, due to subsequent legislative amendments to the statute, will remain in effect through 2030 with the exception of a temporary suspension from May 1, 2020 through December 31, 2021 due to the COVID-19 pandemic, absent additional congressional action. If government spending is further reduced, anticipated budgetary shortfalls may also impact the ability of relevant agencies, such as the FDA, to continue to function at current levels, which may impact the ability of relevant agencies to timely review and approve research and development, manufacturing and marketing activities, which may delay our ability to develop, market and sell any product candidates we may develop. In addition, any significant spending reductions affecting Medicare, Medicaid or other publicly funded or subsidized health programs that may be implemented, or any significant taxes or fees that may be imposed on us, as part of any broader deficit reduction effort or legislative replacement to the Budget Control Act, could have an adverse impact on our anticipated product revenues.</w:t>
      </w:r>
    </w:p>
    <w:p>
      <w:pPr>
        <w:spacing w:after="0" w:line="150"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Furthermore, there has been heightened governmental scrutiny over the manner in which manufacturers set prices for their marketed products, which has resulted in several congressional inquiries and proposed legislation designed to, among other things, bring more transparency to product pricing, review the relationship between pricing and manufacturer patient assistance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 &amp; Human Services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the Centers for Medicare &amp; Medicaid Services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080"/>
          </w:cols>
          <w:pgMar w:left="320" w:top="456"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140"/>
        <w:spacing w:after="0" w:line="232" w:lineRule="auto"/>
        <w:rPr>
          <w:sz w:val="20"/>
          <w:szCs w:val="20"/>
          <w:color w:val="auto"/>
        </w:rPr>
      </w:pPr>
      <w:r>
        <w:rPr>
          <w:rFonts w:ascii="Arial" w:cs="Arial" w:eastAsia="Arial" w:hAnsi="Arial"/>
          <w:sz w:val="17"/>
          <w:szCs w:val="17"/>
          <w:color w:val="auto"/>
        </w:rPr>
        <w:t>unclear whether the Biden administration will work to reverse these measures or pursue similar policy initiatives.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It is difficult to predict the future legislative landscape in healthcare and the effect on our business, results of operations, financial condition and prospects. However, we expect that additional state and federal healthcare reform measures will be adopted in the future, particularly in light of the new presidential administration. Further, it is possible that additional governmental action is taken in response to the COVID-19 pandemic.</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Environmental, Health and Safety Laws and Regulations</w:t>
      </w:r>
    </w:p>
    <w:p>
      <w:pPr>
        <w:spacing w:after="0" w:line="39"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particular, our product candidates use PBDs, which are highly potent cytotoxins that require special handling by our and our contractors’ staff. In the event of contamination or injury, or failure to comply with environmental, health and safety laws and regulations, we could be held liable for any resulting damages, fines and penalties associated with such liability could exceed our assets and resources. Environmental, health and safety laws and regulations are becoming increasingly more stringent. We may incur substantial costs in order to comply with current or future environmental, health and safety laws and regulations.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Pharmaceutical Coverage, Pricing and Reimbursement</w:t>
      </w:r>
    </w:p>
    <w:p>
      <w:pPr>
        <w:spacing w:after="0" w:line="39" w:lineRule="exact"/>
        <w:rPr>
          <w:sz w:val="20"/>
          <w:szCs w:val="20"/>
          <w:color w:val="auto"/>
        </w:rPr>
      </w:pPr>
    </w:p>
    <w:p>
      <w:pPr>
        <w:ind w:left="160" w:right="340"/>
        <w:spacing w:after="0" w:line="233" w:lineRule="auto"/>
        <w:rPr>
          <w:sz w:val="20"/>
          <w:szCs w:val="20"/>
          <w:color w:val="auto"/>
        </w:rPr>
      </w:pPr>
      <w:r>
        <w:rPr>
          <w:rFonts w:ascii="Arial" w:cs="Arial" w:eastAsia="Arial" w:hAnsi="Arial"/>
          <w:sz w:val="17"/>
          <w:szCs w:val="17"/>
          <w:color w:val="auto"/>
        </w:rPr>
        <w:t>The availability and extent of coverage and adequate reimbursement by governmental and private third-party payors are essential for most patients to be able to afford expensive medical treatments. In both domestic and foreign markets, sales of our product candidates will depend substantially on the extent to which the costs of our product candidates will be covered by third- party payors, such as government health programs, commercial insurance and managed healthcare organizations. These third-party payors decide which products will be covered and establish reimbursement levels for those products.</w:t>
      </w:r>
    </w:p>
    <w:p>
      <w:pPr>
        <w:spacing w:after="0" w:line="148" w:lineRule="exact"/>
        <w:rPr>
          <w:sz w:val="20"/>
          <w:szCs w:val="20"/>
          <w:color w:val="auto"/>
        </w:rPr>
      </w:pPr>
    </w:p>
    <w:p>
      <w:pPr>
        <w:ind w:left="160" w:right="260"/>
        <w:spacing w:after="0" w:line="239" w:lineRule="auto"/>
        <w:rPr>
          <w:sz w:val="20"/>
          <w:szCs w:val="20"/>
          <w:color w:val="auto"/>
        </w:rPr>
      </w:pPr>
      <w:r>
        <w:rPr>
          <w:rFonts w:ascii="Arial" w:cs="Arial" w:eastAsia="Arial" w:hAnsi="Arial"/>
          <w:sz w:val="17"/>
          <w:szCs w:val="17"/>
          <w:color w:val="auto"/>
        </w:rPr>
        <w:t>Coverage and reimbursement by a third-party payor may depend upon a number of factors, including the third-party payor’s determination that use of a product is:</w:t>
      </w:r>
    </w:p>
    <w:p>
      <w:pPr>
        <w:spacing w:after="0" w:line="186" w:lineRule="exact"/>
        <w:rPr>
          <w:sz w:val="20"/>
          <w:szCs w:val="20"/>
          <w:color w:val="auto"/>
        </w:rPr>
      </w:pPr>
    </w:p>
    <w:p>
      <w:pPr>
        <w:ind w:left="1020" w:hanging="425"/>
        <w:spacing w:after="0"/>
        <w:tabs>
          <w:tab w:leader="none" w:pos="1020" w:val="left"/>
        </w:tabs>
        <w:numPr>
          <w:ilvl w:val="0"/>
          <w:numId w:val="74"/>
        </w:numPr>
        <w:rPr>
          <w:rFonts w:ascii="MS PGothic" w:cs="MS PGothic" w:eastAsia="MS PGothic" w:hAnsi="MS PGothic"/>
          <w:sz w:val="12"/>
          <w:szCs w:val="12"/>
          <w:color w:val="auto"/>
        </w:rPr>
      </w:pPr>
      <w:r>
        <w:rPr>
          <w:rFonts w:ascii="Arial" w:cs="Arial" w:eastAsia="Arial" w:hAnsi="Arial"/>
          <w:sz w:val="17"/>
          <w:szCs w:val="17"/>
          <w:color w:val="auto"/>
        </w:rPr>
        <w:t>a covered benefit under its health plan;</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74"/>
        </w:numPr>
        <w:rPr>
          <w:rFonts w:ascii="MS PGothic" w:cs="MS PGothic" w:eastAsia="MS PGothic" w:hAnsi="MS PGothic"/>
          <w:sz w:val="12"/>
          <w:szCs w:val="12"/>
          <w:color w:val="auto"/>
        </w:rPr>
      </w:pPr>
      <w:r>
        <w:rPr>
          <w:rFonts w:ascii="Arial" w:cs="Arial" w:eastAsia="Arial" w:hAnsi="Arial"/>
          <w:sz w:val="17"/>
          <w:szCs w:val="17"/>
          <w:color w:val="auto"/>
        </w:rPr>
        <w:t>safe, effective and medically necessary;</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74"/>
        </w:numPr>
        <w:rPr>
          <w:rFonts w:ascii="MS PGothic" w:cs="MS PGothic" w:eastAsia="MS PGothic" w:hAnsi="MS PGothic"/>
          <w:sz w:val="12"/>
          <w:szCs w:val="12"/>
          <w:color w:val="auto"/>
        </w:rPr>
      </w:pPr>
      <w:r>
        <w:rPr>
          <w:rFonts w:ascii="Arial" w:cs="Arial" w:eastAsia="Arial" w:hAnsi="Arial"/>
          <w:sz w:val="17"/>
          <w:szCs w:val="17"/>
          <w:color w:val="auto"/>
        </w:rPr>
        <w:t>appropriate for the specific patient;</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74"/>
        </w:numPr>
        <w:rPr>
          <w:rFonts w:ascii="MS PGothic" w:cs="MS PGothic" w:eastAsia="MS PGothic" w:hAnsi="MS PGothic"/>
          <w:sz w:val="12"/>
          <w:szCs w:val="12"/>
          <w:color w:val="auto"/>
        </w:rPr>
      </w:pPr>
      <w:r>
        <w:rPr>
          <w:rFonts w:ascii="Arial" w:cs="Arial" w:eastAsia="Arial" w:hAnsi="Arial"/>
          <w:sz w:val="17"/>
          <w:szCs w:val="17"/>
          <w:color w:val="auto"/>
        </w:rPr>
        <w:t>cost-effective; and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74"/>
        </w:numPr>
        <w:rPr>
          <w:rFonts w:ascii="MS PGothic" w:cs="MS PGothic" w:eastAsia="MS PGothic" w:hAnsi="MS PGothic"/>
          <w:sz w:val="12"/>
          <w:szCs w:val="12"/>
          <w:color w:val="auto"/>
        </w:rPr>
      </w:pPr>
      <w:r>
        <w:rPr>
          <w:rFonts w:ascii="Arial" w:cs="Arial" w:eastAsia="Arial" w:hAnsi="Arial"/>
          <w:sz w:val="17"/>
          <w:szCs w:val="17"/>
          <w:color w:val="auto"/>
        </w:rPr>
        <w:t>neither experimental nor investigational.</w:t>
      </w:r>
    </w:p>
    <w:p>
      <w:pPr>
        <w:spacing w:after="0" w:line="152"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Obtaining coverage approval and reimbursement for a product from a government or other third-party payor is a time-consuming and costly process that could require us to provide supporting scientific, clinical and cost- effectiveness data for the use of our products to the payor. We may not be able to provide data sufficient to gain acceptance with respect to coverage and reimbursement at a satisfactory level. If coverage and adequate reimbursement of our future products, if any, are unavailable or limited in scope or amount, such as may result where alternative or generic treatments are available, we may be unable to achieve or sustain profitability. Adverse coverage and reimbursement limitations may hinder our ability to recoup our investment in our product candidates, even if such product candidates obtain regulatory approval.</w:t>
      </w:r>
    </w:p>
    <w:p>
      <w:pPr>
        <w:spacing w:after="0" w:line="145"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There is no uniform policy for coverage and reimbursement in the United States and, as a result, coverage and reimbursement can differ significantly from payor to payor. In the United States, the principal decisions about</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080"/>
          </w:cols>
          <w:pgMar w:left="320" w:top="456"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reimbursement for new medicines are typically made by the CMS, which decides whether and to what extent a new medicine will be covered and reimbursed under Medicare. Private payors often, but not always, follow the CMS’s decisions regarding coverage and reimbursement. It is difficult to predict what third-party payors will decide with respect to coverage and reimbursement for fundamentally novel products such as ours, as there is no body of established practices and precedents for these new products. Further, one payor’s determination to provide coverage and adequate reimbursement for a product does not assure that other payors will also provide coverage and adequate reimbursement for that product. We may need to conduct expensive pharmaco-economic studies in order to demonstrate the medical necessity and cost-effectiveness of our product candidates. There can be no assurance that our product candidates will be considered medically necessary or cost-effective. Therefore, it is possible that any of our product candidates, even if approved, may not be covered by third-party payors or the reimbursement limit may be so restrictive that we cannot commercialize the product candidates profitably.</w:t>
      </w:r>
    </w:p>
    <w:p>
      <w:pPr>
        <w:spacing w:after="0" w:line="145" w:lineRule="exact"/>
        <w:rPr>
          <w:sz w:val="20"/>
          <w:szCs w:val="20"/>
          <w:color w:val="auto"/>
        </w:rPr>
      </w:pPr>
    </w:p>
    <w:p>
      <w:pPr>
        <w:ind w:left="160" w:right="80"/>
        <w:spacing w:after="0" w:line="230" w:lineRule="auto"/>
        <w:rPr>
          <w:sz w:val="20"/>
          <w:szCs w:val="20"/>
          <w:color w:val="auto"/>
        </w:rPr>
      </w:pPr>
      <w:r>
        <w:rPr>
          <w:rFonts w:ascii="Arial" w:cs="Arial" w:eastAsia="Arial" w:hAnsi="Arial"/>
          <w:sz w:val="17"/>
          <w:szCs w:val="17"/>
          <w:color w:val="auto"/>
        </w:rPr>
        <w:t>Reimbursement agencies in Europe may be more restrictive than payors in the United States. In Europe, pricing and reimbursement schemes vary widely from country to country. For example, some countries provide that products may be marketed only after an agreement on reimbursement price has been reached. Such pricing negotiations with governmental authorities can take considerable time after receipt of marketing approval for a product. Political, economic and regulatory developments may further complicate pricing negotiations, and pricing negotiations may continue after reimbursement has been obtained. Other countries require the completion of additional health technology assessments that compare the cost- effectiveness of a particular product candidate to currently available therapies. In addition,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may adopt a system of direct or indirect controls on the profitability of the company placing the product on the market or monitor and control prescription volumes and issue guidance to physicians to limit prescriptions. Reference pricing used by various European Union member states and parallel distribution, or arbitrage between low-priced and high-priced member states, can further reduce prices. Furthermore, many countries in the European Union have increased the amount of discounts required on pharmaceutical products, and these efforts could continue as countries attempt to manage healthcare expenditures, especially in light of the severe fiscal and debt crises experienced by many countries in the European Union. The downward pressure on healthcare costs in general, and prescription products in particular, has become increasingly intense. As a result, there are increasingly higher barriers to entry for new products. There can be no assurance that any country that has reimbursement limitations for pharmaceutical products will allow favorable reimbursement and pricing arrangements for any of our products, if approved in those countries. Accordingly, the reimbursement for any products in Europe may be reduced compared with the United States and may be insufficient to generate commercially reasonable revenues and profits.</w:t>
      </w:r>
    </w:p>
    <w:p>
      <w:pPr>
        <w:spacing w:after="0" w:line="159" w:lineRule="exact"/>
        <w:rPr>
          <w:sz w:val="20"/>
          <w:szCs w:val="20"/>
          <w:color w:val="auto"/>
        </w:rPr>
      </w:pPr>
    </w:p>
    <w:p>
      <w:pPr>
        <w:ind w:left="160" w:right="60"/>
        <w:spacing w:after="0" w:line="232" w:lineRule="auto"/>
        <w:rPr>
          <w:sz w:val="20"/>
          <w:szCs w:val="20"/>
          <w:color w:val="auto"/>
        </w:rPr>
      </w:pPr>
      <w:r>
        <w:rPr>
          <w:rFonts w:ascii="Arial" w:cs="Arial" w:eastAsia="Arial" w:hAnsi="Arial"/>
          <w:sz w:val="17"/>
          <w:szCs w:val="17"/>
          <w:color w:val="auto"/>
        </w:rPr>
        <w:t>Furthermore, the containment of healthcare costs has become a priority of foreign and domestic governments as well as private third-party payors. The prices of drugs have been a focus in this effort. Governments and private third-party payors have attempted to control costs by limiting coverage and the amount of reimbursement for particular medications, which could affect our ability to sell our product candidates profitably. We also expect to experience pricing pressures due to the trend towards managed healthcare, the increasing influence of health maintenance organizations and additional legislative changes. These and other cost-control initiatives could cause us to decrease the price we might establish for products, which could result in lower-than-anticipated product revenues. In addition, the publication of discounts by third-party payors or authorities may lead to further pressure on the prices or reimbursement levels within the country of publication and other countries. If pricing is set at unsatisfactory levels or if coverage and adequate reimbursement of our products is unavailable or limited in scope or amount, our revenues and the potential profitability of our product candidates in those countries would be negatively affected.</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91" w:lineRule="exact"/>
        <w:rPr>
          <w:sz w:val="20"/>
          <w:szCs w:val="20"/>
          <w:color w:val="auto"/>
        </w:rPr>
      </w:pPr>
    </w:p>
    <w:p>
      <w:pPr>
        <w:ind w:left="160" w:right="60"/>
        <w:spacing w:after="0" w:line="239" w:lineRule="auto"/>
        <w:rPr>
          <w:sz w:val="20"/>
          <w:szCs w:val="20"/>
          <w:color w:val="auto"/>
        </w:rPr>
      </w:pPr>
      <w:r>
        <w:rPr>
          <w:rFonts w:ascii="Arial" w:cs="Arial" w:eastAsia="Arial" w:hAnsi="Arial"/>
          <w:sz w:val="17"/>
          <w:szCs w:val="17"/>
          <w:color w:val="auto"/>
        </w:rPr>
        <w:t>We have a total of eight full time employees and 21 consultants on a part-time basis. Vera has in the past, and may in the future, retain additional expert consultants if required in connection with the Company’s plans. We are not a party to any collective bargaining agreements.</w:t>
      </w:r>
    </w:p>
    <w:p>
      <w:pPr>
        <w:spacing w:after="0" w:line="146" w:lineRule="exact"/>
        <w:rPr>
          <w:sz w:val="20"/>
          <w:szCs w:val="20"/>
          <w:color w:val="auto"/>
        </w:rPr>
      </w:pPr>
    </w:p>
    <w:p>
      <w:pPr>
        <w:ind w:left="160" w:right="580"/>
        <w:spacing w:after="0" w:line="239" w:lineRule="auto"/>
        <w:rPr>
          <w:sz w:val="20"/>
          <w:szCs w:val="20"/>
          <w:color w:val="auto"/>
        </w:rPr>
      </w:pPr>
      <w:r>
        <w:rPr>
          <w:rFonts w:ascii="Arial" w:cs="Arial" w:eastAsia="Arial" w:hAnsi="Arial"/>
          <w:sz w:val="17"/>
          <w:szCs w:val="17"/>
          <w:color w:val="auto"/>
        </w:rPr>
        <w:t>Attracting, hiring, and retaining highly qualified individuals are key to our success. To do so, we believe we offer competitive compensation packages - inclusive of base salary, bonus, and equity, and benefits. We also sought to</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060"/>
          </w:cols>
          <w:pgMar w:left="320" w:top="456" w:right="5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160" w:right="40"/>
        <w:spacing w:after="0" w:line="261" w:lineRule="auto"/>
        <w:rPr>
          <w:sz w:val="20"/>
          <w:szCs w:val="20"/>
          <w:color w:val="auto"/>
        </w:rPr>
      </w:pPr>
      <w:r>
        <w:rPr>
          <w:rFonts w:ascii="Arial" w:cs="Arial" w:eastAsia="Arial" w:hAnsi="Arial"/>
          <w:sz w:val="17"/>
          <w:szCs w:val="17"/>
          <w:color w:val="auto"/>
        </w:rPr>
        <w:t xml:space="preserve">establish a values-based culture centered around our core values of </w:t>
      </w:r>
      <w:r>
        <w:rPr>
          <w:rFonts w:ascii="Arial" w:cs="Arial" w:eastAsia="Arial" w:hAnsi="Arial"/>
          <w:sz w:val="17"/>
          <w:szCs w:val="17"/>
          <w:i w:val="1"/>
          <w:iCs w:val="1"/>
          <w:color w:val="auto"/>
        </w:rPr>
        <w:t>teamwork</w:t>
      </w:r>
      <w:r>
        <w:rPr>
          <w:rFonts w:ascii="Arial" w:cs="Arial" w:eastAsia="Arial" w:hAnsi="Arial"/>
          <w:sz w:val="17"/>
          <w:szCs w:val="17"/>
          <w:color w:val="auto"/>
        </w:rPr>
        <w:t xml:space="preserve">, </w:t>
      </w:r>
      <w:r>
        <w:rPr>
          <w:rFonts w:ascii="Arial" w:cs="Arial" w:eastAsia="Arial" w:hAnsi="Arial"/>
          <w:sz w:val="17"/>
          <w:szCs w:val="17"/>
          <w:i w:val="1"/>
          <w:iCs w:val="1"/>
          <w:color w:val="auto"/>
        </w:rPr>
        <w:t>accountability</w:t>
      </w:r>
      <w:r>
        <w:rPr>
          <w:rFonts w:ascii="Arial" w:cs="Arial" w:eastAsia="Arial" w:hAnsi="Arial"/>
          <w:sz w:val="17"/>
          <w:szCs w:val="17"/>
          <w:color w:val="auto"/>
        </w:rPr>
        <w:t xml:space="preserve">, and </w:t>
      </w:r>
      <w:r>
        <w:rPr>
          <w:rFonts w:ascii="Arial" w:cs="Arial" w:eastAsia="Arial" w:hAnsi="Arial"/>
          <w:sz w:val="17"/>
          <w:szCs w:val="17"/>
          <w:i w:val="1"/>
          <w:iCs w:val="1"/>
          <w:color w:val="auto"/>
        </w:rPr>
        <w:t>empathy</w:t>
      </w:r>
      <w:r>
        <w:rPr>
          <w:rFonts w:ascii="Arial" w:cs="Arial" w:eastAsia="Arial" w:hAnsi="Arial"/>
          <w:sz w:val="17"/>
          <w:szCs w:val="17"/>
          <w:color w:val="auto"/>
        </w:rPr>
        <w:t xml:space="preserve"> for patients to enhance the working environment for our current employees and to attract our desired candidates.</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Facilities</w:t>
      </w:r>
    </w:p>
    <w:p>
      <w:pPr>
        <w:spacing w:after="0" w:line="91" w:lineRule="exact"/>
        <w:rPr>
          <w:sz w:val="20"/>
          <w:szCs w:val="20"/>
          <w:color w:val="auto"/>
        </w:rPr>
      </w:pPr>
    </w:p>
    <w:p>
      <w:pPr>
        <w:ind w:left="160" w:right="20"/>
        <w:spacing w:after="0" w:line="239" w:lineRule="auto"/>
        <w:rPr>
          <w:sz w:val="20"/>
          <w:szCs w:val="20"/>
          <w:color w:val="auto"/>
        </w:rPr>
      </w:pPr>
      <w:r>
        <w:rPr>
          <w:rFonts w:ascii="Arial" w:cs="Arial" w:eastAsia="Arial" w:hAnsi="Arial"/>
          <w:sz w:val="17"/>
          <w:szCs w:val="17"/>
          <w:color w:val="auto"/>
        </w:rPr>
        <w:t>We have leased 24,606 square feet of office and lab space at 170 Harbor Way in South San Francisco, CA. This space is currently subleased to Vaxart, Inc. through September 30, 2025.</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COVID-19 Impact on Facilities</w:t>
      </w:r>
    </w:p>
    <w:p>
      <w:pPr>
        <w:spacing w:after="0" w:line="79"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We are operating virtually to align with local COVID-19 guidelines, which we believe meets our operational needs for the time being as a clinical-stage organization. We plan to reassess our facilities needs on a quarterly basis and anticipate a future lease or flexible arrangement for office-only space.</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77"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spacing w:after="0" w:line="14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0960"/>
          </w:cols>
          <w:pgMar w:left="320" w:top="456" w:right="6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sets forth information regarding our executive officers, key employees and directors, including ages as of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240" w:type="dxa"/>
            <w:vAlign w:val="bottom"/>
            <w:gridSpan w:val="2"/>
          </w:tcPr>
          <w:p>
            <w:pPr>
              <w:ind w:left="2340"/>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AGE</w:t>
            </w:r>
          </w:p>
        </w:tc>
        <w:tc>
          <w:tcPr>
            <w:tcW w:w="100" w:type="dxa"/>
            <w:vAlign w:val="bottom"/>
          </w:tcPr>
          <w:p>
            <w:pPr>
              <w:spacing w:after="0"/>
              <w:rPr>
                <w:sz w:val="16"/>
                <w:szCs w:val="16"/>
                <w:color w:val="auto"/>
              </w:rPr>
            </w:pPr>
          </w:p>
        </w:tc>
        <w:tc>
          <w:tcPr>
            <w:tcW w:w="4680" w:type="dxa"/>
            <w:vAlign w:val="bottom"/>
          </w:tcPr>
          <w:p>
            <w:pPr>
              <w:ind w:left="20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Borders>
              <w:top w:val="single" w:sz="8" w:color="auto"/>
            </w:tcBorders>
          </w:tcPr>
          <w:p>
            <w:pPr>
              <w:spacing w:after="0" w:line="175" w:lineRule="exact"/>
              <w:rPr>
                <w:sz w:val="20"/>
                <w:szCs w:val="20"/>
                <w:color w:val="auto"/>
              </w:rPr>
            </w:pPr>
            <w:r>
              <w:rPr>
                <w:rFonts w:ascii="Arial" w:cs="Arial" w:eastAsia="Arial" w:hAnsi="Arial"/>
                <w:sz w:val="17"/>
                <w:szCs w:val="17"/>
                <w:i w:val="1"/>
                <w:iCs w:val="1"/>
                <w:color w:val="auto"/>
              </w:rPr>
              <w:t>Executive Officers:</w:t>
            </w: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260" w:type="dxa"/>
            <w:vAlign w:val="bottom"/>
            <w:gridSpan w:val="3"/>
          </w:tcPr>
          <w:p>
            <w:pPr>
              <w:spacing w:after="0" w:line="187" w:lineRule="exact"/>
              <w:rPr>
                <w:sz w:val="20"/>
                <w:szCs w:val="20"/>
                <w:color w:val="auto"/>
              </w:rPr>
            </w:pPr>
            <w:r>
              <w:rPr>
                <w:rFonts w:ascii="Arial" w:cs="Arial" w:eastAsia="Arial" w:hAnsi="Arial"/>
                <w:sz w:val="17"/>
                <w:szCs w:val="17"/>
                <w:color w:val="auto"/>
              </w:rPr>
              <w:t>Marshall Fordyce, M.D.</w:t>
            </w:r>
          </w:p>
        </w:tc>
        <w:tc>
          <w:tcPr>
            <w:tcW w:w="880" w:type="dxa"/>
            <w:vAlign w:val="bottom"/>
          </w:tcPr>
          <w:p>
            <w:pPr>
              <w:jc w:val="center"/>
              <w:spacing w:after="0" w:line="187" w:lineRule="exact"/>
              <w:rPr>
                <w:sz w:val="20"/>
                <w:szCs w:val="20"/>
                <w:color w:val="auto"/>
              </w:rPr>
            </w:pPr>
            <w:r>
              <w:rPr>
                <w:rFonts w:ascii="Arial" w:cs="Arial" w:eastAsia="Arial" w:hAnsi="Arial"/>
                <w:sz w:val="17"/>
                <w:szCs w:val="17"/>
                <w:color w:val="auto"/>
              </w:rPr>
              <w:t>47</w:t>
            </w:r>
          </w:p>
        </w:tc>
        <w:tc>
          <w:tcPr>
            <w:tcW w:w="4780" w:type="dxa"/>
            <w:vAlign w:val="bottom"/>
            <w:gridSpan w:val="2"/>
          </w:tcPr>
          <w:p>
            <w:pPr>
              <w:ind w:left="100"/>
              <w:spacing w:after="0" w:line="187" w:lineRule="exact"/>
              <w:rPr>
                <w:sz w:val="20"/>
                <w:szCs w:val="20"/>
                <w:color w:val="auto"/>
              </w:rPr>
            </w:pPr>
            <w:r>
              <w:rPr>
                <w:rFonts w:ascii="Arial" w:cs="Arial" w:eastAsia="Arial" w:hAnsi="Arial"/>
                <w:sz w:val="17"/>
                <w:szCs w:val="17"/>
                <w:color w:val="auto"/>
              </w:rPr>
              <w:t>President, Chief Executive Officer and Director</w:t>
            </w:r>
          </w:p>
        </w:tc>
        <w:tc>
          <w:tcPr>
            <w:tcW w:w="0" w:type="dxa"/>
            <w:vAlign w:val="bottom"/>
          </w:tcPr>
          <w:p>
            <w:pPr>
              <w:spacing w:after="0"/>
              <w:rPr>
                <w:sz w:val="1"/>
                <w:szCs w:val="1"/>
                <w:color w:val="auto"/>
              </w:rPr>
            </w:pPr>
          </w:p>
        </w:tc>
      </w:tr>
      <w:tr>
        <w:trPr>
          <w:trHeight w:val="187"/>
        </w:trPr>
        <w:tc>
          <w:tcPr>
            <w:tcW w:w="5260" w:type="dxa"/>
            <w:vAlign w:val="bottom"/>
            <w:gridSpan w:val="3"/>
          </w:tcPr>
          <w:p>
            <w:pPr>
              <w:spacing w:after="0" w:line="187" w:lineRule="exact"/>
              <w:rPr>
                <w:sz w:val="20"/>
                <w:szCs w:val="20"/>
                <w:color w:val="auto"/>
              </w:rPr>
            </w:pPr>
            <w:r>
              <w:rPr>
                <w:rFonts w:ascii="Arial" w:cs="Arial" w:eastAsia="Arial" w:hAnsi="Arial"/>
                <w:sz w:val="17"/>
                <w:szCs w:val="17"/>
                <w:color w:val="auto"/>
              </w:rPr>
              <w:t>Celia Lin, M.D.</w:t>
            </w:r>
          </w:p>
        </w:tc>
        <w:tc>
          <w:tcPr>
            <w:tcW w:w="880" w:type="dxa"/>
            <w:vAlign w:val="bottom"/>
          </w:tcPr>
          <w:p>
            <w:pPr>
              <w:jc w:val="center"/>
              <w:spacing w:after="0" w:line="187" w:lineRule="exact"/>
              <w:rPr>
                <w:sz w:val="20"/>
                <w:szCs w:val="20"/>
                <w:color w:val="auto"/>
              </w:rPr>
            </w:pPr>
            <w:r>
              <w:rPr>
                <w:rFonts w:ascii="Arial" w:cs="Arial" w:eastAsia="Arial" w:hAnsi="Arial"/>
                <w:sz w:val="17"/>
                <w:szCs w:val="17"/>
                <w:color w:val="auto"/>
              </w:rPr>
              <w:t>46</w:t>
            </w:r>
          </w:p>
        </w:tc>
        <w:tc>
          <w:tcPr>
            <w:tcW w:w="4780" w:type="dxa"/>
            <w:vAlign w:val="bottom"/>
            <w:gridSpan w:val="2"/>
          </w:tcPr>
          <w:p>
            <w:pPr>
              <w:ind w:left="100"/>
              <w:spacing w:after="0" w:line="187" w:lineRule="exact"/>
              <w:rPr>
                <w:sz w:val="20"/>
                <w:szCs w:val="20"/>
                <w:color w:val="auto"/>
              </w:rPr>
            </w:pPr>
            <w:r>
              <w:rPr>
                <w:rFonts w:ascii="Arial" w:cs="Arial" w:eastAsia="Arial" w:hAnsi="Arial"/>
                <w:sz w:val="17"/>
                <w:szCs w:val="17"/>
                <w:color w:val="auto"/>
              </w:rPr>
              <w:t>Chief Medical Officer</w:t>
            </w:r>
          </w:p>
        </w:tc>
        <w:tc>
          <w:tcPr>
            <w:tcW w:w="0" w:type="dxa"/>
            <w:vAlign w:val="bottom"/>
          </w:tcPr>
          <w:p>
            <w:pPr>
              <w:spacing w:after="0"/>
              <w:rPr>
                <w:sz w:val="1"/>
                <w:szCs w:val="1"/>
                <w:color w:val="auto"/>
              </w:rPr>
            </w:pPr>
          </w:p>
        </w:tc>
      </w:tr>
      <w:tr>
        <w:trPr>
          <w:trHeight w:val="187"/>
        </w:trPr>
        <w:tc>
          <w:tcPr>
            <w:tcW w:w="5260" w:type="dxa"/>
            <w:vAlign w:val="bottom"/>
            <w:gridSpan w:val="3"/>
          </w:tcPr>
          <w:p>
            <w:pPr>
              <w:spacing w:after="0" w:line="187" w:lineRule="exact"/>
              <w:rPr>
                <w:sz w:val="20"/>
                <w:szCs w:val="20"/>
                <w:color w:val="auto"/>
              </w:rPr>
            </w:pPr>
            <w:r>
              <w:rPr>
                <w:rFonts w:ascii="Arial" w:cs="Arial" w:eastAsia="Arial" w:hAnsi="Arial"/>
                <w:sz w:val="17"/>
                <w:szCs w:val="17"/>
                <w:color w:val="auto"/>
              </w:rPr>
              <w:t>Joanne Curley, Ph.D.</w:t>
            </w:r>
          </w:p>
        </w:tc>
        <w:tc>
          <w:tcPr>
            <w:tcW w:w="880" w:type="dxa"/>
            <w:vAlign w:val="bottom"/>
          </w:tcPr>
          <w:p>
            <w:pPr>
              <w:jc w:val="center"/>
              <w:spacing w:after="0" w:line="187" w:lineRule="exact"/>
              <w:rPr>
                <w:sz w:val="20"/>
                <w:szCs w:val="20"/>
                <w:color w:val="auto"/>
              </w:rPr>
            </w:pPr>
            <w:r>
              <w:rPr>
                <w:rFonts w:ascii="Arial" w:cs="Arial" w:eastAsia="Arial" w:hAnsi="Arial"/>
                <w:sz w:val="17"/>
                <w:szCs w:val="17"/>
                <w:color w:val="auto"/>
              </w:rPr>
              <w:t>52</w:t>
            </w:r>
          </w:p>
        </w:tc>
        <w:tc>
          <w:tcPr>
            <w:tcW w:w="4780" w:type="dxa"/>
            <w:vAlign w:val="bottom"/>
            <w:gridSpan w:val="2"/>
          </w:tcPr>
          <w:p>
            <w:pPr>
              <w:ind w:left="100"/>
              <w:spacing w:after="0" w:line="187" w:lineRule="exact"/>
              <w:rPr>
                <w:sz w:val="20"/>
                <w:szCs w:val="20"/>
                <w:color w:val="auto"/>
              </w:rPr>
            </w:pPr>
            <w:r>
              <w:rPr>
                <w:rFonts w:ascii="Arial" w:cs="Arial" w:eastAsia="Arial" w:hAnsi="Arial"/>
                <w:sz w:val="17"/>
                <w:szCs w:val="17"/>
                <w:color w:val="auto"/>
              </w:rPr>
              <w:t>Chief Development Officer</w:t>
            </w:r>
          </w:p>
        </w:tc>
        <w:tc>
          <w:tcPr>
            <w:tcW w:w="0" w:type="dxa"/>
            <w:vAlign w:val="bottom"/>
          </w:tcPr>
          <w:p>
            <w:pPr>
              <w:spacing w:after="0"/>
              <w:rPr>
                <w:sz w:val="1"/>
                <w:szCs w:val="1"/>
                <w:color w:val="auto"/>
              </w:rPr>
            </w:pPr>
          </w:p>
        </w:tc>
      </w:tr>
      <w:tr>
        <w:trPr>
          <w:trHeight w:val="203"/>
        </w:trPr>
        <w:tc>
          <w:tcPr>
            <w:tcW w:w="5260" w:type="dxa"/>
            <w:vAlign w:val="bottom"/>
            <w:gridSpan w:val="3"/>
          </w:tcPr>
          <w:p>
            <w:pPr>
              <w:spacing w:after="0"/>
              <w:rPr>
                <w:sz w:val="20"/>
                <w:szCs w:val="20"/>
                <w:color w:val="auto"/>
              </w:rPr>
            </w:pPr>
            <w:r>
              <w:rPr>
                <w:rFonts w:ascii="Arial" w:cs="Arial" w:eastAsia="Arial" w:hAnsi="Arial"/>
                <w:sz w:val="17"/>
                <w:szCs w:val="17"/>
                <w:color w:val="auto"/>
              </w:rPr>
              <w:t>Jonathan Wolter</w:t>
            </w:r>
          </w:p>
        </w:tc>
        <w:tc>
          <w:tcPr>
            <w:tcW w:w="880" w:type="dxa"/>
            <w:vAlign w:val="bottom"/>
          </w:tcPr>
          <w:p>
            <w:pPr>
              <w:jc w:val="center"/>
              <w:spacing w:after="0"/>
              <w:rPr>
                <w:sz w:val="20"/>
                <w:szCs w:val="20"/>
                <w:color w:val="auto"/>
              </w:rPr>
            </w:pPr>
            <w:r>
              <w:rPr>
                <w:rFonts w:ascii="Arial" w:cs="Arial" w:eastAsia="Arial" w:hAnsi="Arial"/>
                <w:sz w:val="17"/>
                <w:szCs w:val="17"/>
                <w:color w:val="auto"/>
              </w:rPr>
              <w:t>70</w:t>
            </w:r>
          </w:p>
        </w:tc>
        <w:tc>
          <w:tcPr>
            <w:tcW w:w="4780" w:type="dxa"/>
            <w:vAlign w:val="bottom"/>
            <w:gridSpan w:val="2"/>
          </w:tcPr>
          <w:p>
            <w:pPr>
              <w:ind w:left="10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78"/>
        </w:trPr>
        <w:tc>
          <w:tcPr>
            <w:tcW w:w="5260" w:type="dxa"/>
            <w:vAlign w:val="bottom"/>
            <w:gridSpan w:val="3"/>
          </w:tcPr>
          <w:p>
            <w:pPr>
              <w:spacing w:after="0"/>
              <w:rPr>
                <w:sz w:val="20"/>
                <w:szCs w:val="20"/>
                <w:color w:val="auto"/>
              </w:rPr>
            </w:pPr>
            <w:r>
              <w:rPr>
                <w:rFonts w:ascii="Arial" w:cs="Arial" w:eastAsia="Arial" w:hAnsi="Arial"/>
                <w:sz w:val="17"/>
                <w:szCs w:val="17"/>
                <w:i w:val="1"/>
                <w:iCs w:val="1"/>
                <w:color w:val="auto"/>
              </w:rPr>
              <w:t>Other Key Employees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60" w:type="dxa"/>
            <w:vAlign w:val="bottom"/>
            <w:gridSpan w:val="3"/>
          </w:tcPr>
          <w:p>
            <w:pPr>
              <w:spacing w:after="0" w:line="187" w:lineRule="exact"/>
              <w:rPr>
                <w:sz w:val="20"/>
                <w:szCs w:val="20"/>
                <w:color w:val="auto"/>
              </w:rPr>
            </w:pPr>
            <w:r>
              <w:rPr>
                <w:rFonts w:ascii="Arial" w:cs="Arial" w:eastAsia="Arial" w:hAnsi="Arial"/>
                <w:sz w:val="17"/>
                <w:szCs w:val="17"/>
                <w:color w:val="auto"/>
              </w:rPr>
              <w:t>Lauren Frenz</w:t>
            </w:r>
          </w:p>
        </w:tc>
        <w:tc>
          <w:tcPr>
            <w:tcW w:w="880" w:type="dxa"/>
            <w:vAlign w:val="bottom"/>
          </w:tcPr>
          <w:p>
            <w:pPr>
              <w:jc w:val="center"/>
              <w:spacing w:after="0" w:line="187" w:lineRule="exact"/>
              <w:rPr>
                <w:sz w:val="20"/>
                <w:szCs w:val="20"/>
                <w:color w:val="auto"/>
              </w:rPr>
            </w:pPr>
            <w:r>
              <w:rPr>
                <w:rFonts w:ascii="Arial" w:cs="Arial" w:eastAsia="Arial" w:hAnsi="Arial"/>
                <w:sz w:val="17"/>
                <w:szCs w:val="17"/>
                <w:color w:val="auto"/>
              </w:rPr>
              <w:t>36</w:t>
            </w:r>
          </w:p>
        </w:tc>
        <w:tc>
          <w:tcPr>
            <w:tcW w:w="4780" w:type="dxa"/>
            <w:vAlign w:val="bottom"/>
            <w:gridSpan w:val="2"/>
          </w:tcPr>
          <w:p>
            <w:pPr>
              <w:ind w:left="100"/>
              <w:spacing w:after="0" w:line="187" w:lineRule="exact"/>
              <w:rPr>
                <w:sz w:val="20"/>
                <w:szCs w:val="20"/>
                <w:color w:val="auto"/>
              </w:rPr>
            </w:pPr>
            <w:r>
              <w:rPr>
                <w:rFonts w:ascii="Arial" w:cs="Arial" w:eastAsia="Arial" w:hAnsi="Arial"/>
                <w:sz w:val="17"/>
                <w:szCs w:val="17"/>
                <w:color w:val="auto"/>
              </w:rPr>
              <w:t>Chief Business Officer</w:t>
            </w:r>
          </w:p>
        </w:tc>
        <w:tc>
          <w:tcPr>
            <w:tcW w:w="0" w:type="dxa"/>
            <w:vAlign w:val="bottom"/>
          </w:tcPr>
          <w:p>
            <w:pPr>
              <w:spacing w:after="0"/>
              <w:rPr>
                <w:sz w:val="1"/>
                <w:szCs w:val="1"/>
                <w:color w:val="auto"/>
              </w:rPr>
            </w:pPr>
          </w:p>
        </w:tc>
      </w:tr>
      <w:tr>
        <w:trPr>
          <w:trHeight w:val="187"/>
        </w:trPr>
        <w:tc>
          <w:tcPr>
            <w:tcW w:w="5260" w:type="dxa"/>
            <w:vAlign w:val="bottom"/>
            <w:gridSpan w:val="3"/>
          </w:tcPr>
          <w:p>
            <w:pPr>
              <w:spacing w:after="0" w:line="187" w:lineRule="exact"/>
              <w:rPr>
                <w:sz w:val="20"/>
                <w:szCs w:val="20"/>
                <w:color w:val="auto"/>
              </w:rPr>
            </w:pPr>
            <w:r>
              <w:rPr>
                <w:rFonts w:ascii="Arial" w:cs="Arial" w:eastAsia="Arial" w:hAnsi="Arial"/>
                <w:sz w:val="17"/>
                <w:szCs w:val="17"/>
                <w:color w:val="auto"/>
              </w:rPr>
              <w:t>Tom Doan</w:t>
            </w:r>
          </w:p>
        </w:tc>
        <w:tc>
          <w:tcPr>
            <w:tcW w:w="880" w:type="dxa"/>
            <w:vAlign w:val="bottom"/>
          </w:tcPr>
          <w:p>
            <w:pPr>
              <w:jc w:val="center"/>
              <w:spacing w:after="0" w:line="187" w:lineRule="exact"/>
              <w:rPr>
                <w:sz w:val="20"/>
                <w:szCs w:val="20"/>
                <w:color w:val="auto"/>
              </w:rPr>
            </w:pPr>
            <w:r>
              <w:rPr>
                <w:rFonts w:ascii="Arial" w:cs="Arial" w:eastAsia="Arial" w:hAnsi="Arial"/>
                <w:sz w:val="17"/>
                <w:szCs w:val="17"/>
                <w:color w:val="auto"/>
              </w:rPr>
              <w:t>49</w:t>
            </w:r>
          </w:p>
        </w:tc>
        <w:tc>
          <w:tcPr>
            <w:tcW w:w="4780" w:type="dxa"/>
            <w:vAlign w:val="bottom"/>
            <w:gridSpan w:val="2"/>
          </w:tcPr>
          <w:p>
            <w:pPr>
              <w:ind w:left="100"/>
              <w:spacing w:after="0" w:line="187" w:lineRule="exact"/>
              <w:rPr>
                <w:sz w:val="20"/>
                <w:szCs w:val="20"/>
                <w:color w:val="auto"/>
              </w:rPr>
            </w:pPr>
            <w:r>
              <w:rPr>
                <w:rFonts w:ascii="Arial" w:cs="Arial" w:eastAsia="Arial" w:hAnsi="Arial"/>
                <w:sz w:val="17"/>
                <w:szCs w:val="17"/>
                <w:color w:val="auto"/>
              </w:rPr>
              <w:t>Senior Vice President, Development Operations</w:t>
            </w:r>
          </w:p>
        </w:tc>
        <w:tc>
          <w:tcPr>
            <w:tcW w:w="0" w:type="dxa"/>
            <w:vAlign w:val="bottom"/>
          </w:tcPr>
          <w:p>
            <w:pPr>
              <w:spacing w:after="0"/>
              <w:rPr>
                <w:sz w:val="1"/>
                <w:szCs w:val="1"/>
                <w:color w:val="auto"/>
              </w:rPr>
            </w:pPr>
          </w:p>
        </w:tc>
      </w:tr>
      <w:tr>
        <w:trPr>
          <w:trHeight w:val="201"/>
        </w:trPr>
        <w:tc>
          <w:tcPr>
            <w:tcW w:w="5260" w:type="dxa"/>
            <w:vAlign w:val="bottom"/>
            <w:gridSpan w:val="3"/>
          </w:tcPr>
          <w:p>
            <w:pPr>
              <w:spacing w:after="0"/>
              <w:rPr>
                <w:sz w:val="20"/>
                <w:szCs w:val="20"/>
                <w:color w:val="auto"/>
              </w:rPr>
            </w:pPr>
            <w:r>
              <w:rPr>
                <w:rFonts w:ascii="Arial" w:cs="Arial" w:eastAsia="Arial" w:hAnsi="Arial"/>
                <w:sz w:val="17"/>
                <w:szCs w:val="17"/>
                <w:color w:val="auto"/>
              </w:rPr>
              <w:t>Joseph Young</w:t>
            </w:r>
          </w:p>
        </w:tc>
        <w:tc>
          <w:tcPr>
            <w:tcW w:w="880" w:type="dxa"/>
            <w:vAlign w:val="bottom"/>
          </w:tcPr>
          <w:p>
            <w:pPr>
              <w:jc w:val="center"/>
              <w:spacing w:after="0"/>
              <w:rPr>
                <w:sz w:val="20"/>
                <w:szCs w:val="20"/>
                <w:color w:val="auto"/>
              </w:rPr>
            </w:pPr>
            <w:r>
              <w:rPr>
                <w:rFonts w:ascii="Arial" w:cs="Arial" w:eastAsia="Arial" w:hAnsi="Arial"/>
                <w:sz w:val="17"/>
                <w:szCs w:val="17"/>
                <w:color w:val="auto"/>
              </w:rPr>
              <w:t>49</w:t>
            </w:r>
          </w:p>
        </w:tc>
        <w:tc>
          <w:tcPr>
            <w:tcW w:w="4780" w:type="dxa"/>
            <w:vAlign w:val="bottom"/>
            <w:gridSpan w:val="2"/>
          </w:tcPr>
          <w:p>
            <w:pPr>
              <w:ind w:left="100"/>
              <w:spacing w:after="0"/>
              <w:rPr>
                <w:sz w:val="20"/>
                <w:szCs w:val="20"/>
                <w:color w:val="auto"/>
              </w:rPr>
            </w:pPr>
            <w:r>
              <w:rPr>
                <w:rFonts w:ascii="Arial" w:cs="Arial" w:eastAsia="Arial" w:hAnsi="Arial"/>
                <w:sz w:val="17"/>
                <w:szCs w:val="17"/>
                <w:color w:val="auto"/>
              </w:rPr>
              <w:t>Senior Vice President, Finance and Chief Accounting Officer</w:t>
            </w:r>
          </w:p>
        </w:tc>
        <w:tc>
          <w:tcPr>
            <w:tcW w:w="0" w:type="dxa"/>
            <w:vAlign w:val="bottom"/>
          </w:tcPr>
          <w:p>
            <w:pPr>
              <w:spacing w:after="0"/>
              <w:rPr>
                <w:sz w:val="1"/>
                <w:szCs w:val="1"/>
                <w:color w:val="auto"/>
              </w:rPr>
            </w:pPr>
          </w:p>
        </w:tc>
      </w:tr>
      <w:tr>
        <w:trPr>
          <w:trHeight w:val="187"/>
        </w:trPr>
        <w:tc>
          <w:tcPr>
            <w:tcW w:w="5260" w:type="dxa"/>
            <w:vAlign w:val="bottom"/>
            <w:gridSpan w:val="3"/>
          </w:tcPr>
          <w:p>
            <w:pPr>
              <w:spacing w:after="0" w:line="187" w:lineRule="exact"/>
              <w:rPr>
                <w:sz w:val="20"/>
                <w:szCs w:val="20"/>
                <w:color w:val="auto"/>
              </w:rPr>
            </w:pPr>
            <w:r>
              <w:rPr>
                <w:rFonts w:ascii="Arial" w:cs="Arial" w:eastAsia="Arial" w:hAnsi="Arial"/>
                <w:sz w:val="17"/>
                <w:szCs w:val="17"/>
                <w:color w:val="auto"/>
              </w:rPr>
              <w:t>Tad Thomas, Ph.D.</w:t>
            </w:r>
          </w:p>
        </w:tc>
        <w:tc>
          <w:tcPr>
            <w:tcW w:w="880" w:type="dxa"/>
            <w:vAlign w:val="bottom"/>
          </w:tcPr>
          <w:p>
            <w:pPr>
              <w:jc w:val="center"/>
              <w:spacing w:after="0" w:line="187" w:lineRule="exact"/>
              <w:rPr>
                <w:sz w:val="20"/>
                <w:szCs w:val="20"/>
                <w:color w:val="auto"/>
              </w:rPr>
            </w:pPr>
            <w:r>
              <w:rPr>
                <w:rFonts w:ascii="Arial" w:cs="Arial" w:eastAsia="Arial" w:hAnsi="Arial"/>
                <w:sz w:val="17"/>
                <w:szCs w:val="17"/>
                <w:color w:val="auto"/>
              </w:rPr>
              <w:t>61</w:t>
            </w:r>
          </w:p>
        </w:tc>
        <w:tc>
          <w:tcPr>
            <w:tcW w:w="4780" w:type="dxa"/>
            <w:vAlign w:val="bottom"/>
            <w:gridSpan w:val="2"/>
          </w:tcPr>
          <w:p>
            <w:pPr>
              <w:ind w:left="100"/>
              <w:spacing w:after="0" w:line="187" w:lineRule="exact"/>
              <w:rPr>
                <w:sz w:val="20"/>
                <w:szCs w:val="20"/>
                <w:color w:val="auto"/>
              </w:rPr>
            </w:pPr>
            <w:r>
              <w:rPr>
                <w:rFonts w:ascii="Arial" w:cs="Arial" w:eastAsia="Arial" w:hAnsi="Arial"/>
                <w:sz w:val="17"/>
                <w:szCs w:val="17"/>
                <w:color w:val="auto"/>
              </w:rPr>
              <w:t>Senior Vice President and Head of Product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80" w:type="dxa"/>
            <w:vAlign w:val="bottom"/>
            <w:gridSpan w:val="2"/>
          </w:tcPr>
          <w:p>
            <w:pPr>
              <w:ind w:left="100"/>
              <w:spacing w:after="0"/>
              <w:rPr>
                <w:sz w:val="20"/>
                <w:szCs w:val="20"/>
                <w:color w:val="auto"/>
              </w:rPr>
            </w:pPr>
            <w:r>
              <w:rPr>
                <w:rFonts w:ascii="Arial" w:cs="Arial" w:eastAsia="Arial" w:hAnsi="Arial"/>
                <w:sz w:val="17"/>
                <w:szCs w:val="17"/>
                <w:color w:val="auto"/>
              </w:rPr>
              <w:t>Development and Manufacturing</w:t>
            </w:r>
          </w:p>
        </w:tc>
        <w:tc>
          <w:tcPr>
            <w:tcW w:w="0" w:type="dxa"/>
            <w:vAlign w:val="bottom"/>
          </w:tcPr>
          <w:p>
            <w:pPr>
              <w:spacing w:after="0"/>
              <w:rPr>
                <w:sz w:val="1"/>
                <w:szCs w:val="1"/>
                <w:color w:val="auto"/>
              </w:rPr>
            </w:pPr>
          </w:p>
        </w:tc>
      </w:tr>
      <w:tr>
        <w:trPr>
          <w:trHeight w:val="292"/>
        </w:trPr>
        <w:tc>
          <w:tcPr>
            <w:tcW w:w="5260" w:type="dxa"/>
            <w:vAlign w:val="bottom"/>
            <w:gridSpan w:val="3"/>
          </w:tcPr>
          <w:p>
            <w:pPr>
              <w:spacing w:after="0"/>
              <w:rPr>
                <w:sz w:val="20"/>
                <w:szCs w:val="20"/>
                <w:color w:val="auto"/>
              </w:rPr>
            </w:pPr>
            <w:r>
              <w:rPr>
                <w:rFonts w:ascii="Arial" w:cs="Arial" w:eastAsia="Arial" w:hAnsi="Arial"/>
                <w:sz w:val="17"/>
                <w:szCs w:val="17"/>
                <w:i w:val="1"/>
                <w:iCs w:val="1"/>
                <w:color w:val="auto"/>
              </w:rPr>
              <w:t>Non-Employee Directors:</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auto"/>
              </w:rPr>
              <w:t>53</w:t>
            </w:r>
          </w:p>
        </w:tc>
        <w:tc>
          <w:tcPr>
            <w:tcW w:w="4780" w:type="dxa"/>
            <w:vAlign w:val="bottom"/>
            <w:gridSpan w:val="2"/>
            <w:vMerge w:val="restart"/>
          </w:tcPr>
          <w:p>
            <w:pPr>
              <w:ind w:left="100"/>
              <w:spacing w:after="0"/>
              <w:rPr>
                <w:sz w:val="20"/>
                <w:szCs w:val="20"/>
                <w:color w:val="auto"/>
              </w:rPr>
            </w:pPr>
            <w:r>
              <w:rPr>
                <w:rFonts w:ascii="Arial" w:cs="Arial" w:eastAsia="Arial" w:hAnsi="Arial"/>
                <w:sz w:val="17"/>
                <w:szCs w:val="17"/>
                <w:color w:val="auto"/>
              </w:rPr>
              <w:t>Chairperson of the Board of Directors</w:t>
            </w:r>
          </w:p>
        </w:tc>
        <w:tc>
          <w:tcPr>
            <w:tcW w:w="0" w:type="dxa"/>
            <w:vAlign w:val="bottom"/>
          </w:tcPr>
          <w:p>
            <w:pPr>
              <w:spacing w:after="0"/>
              <w:rPr>
                <w:sz w:val="1"/>
                <w:szCs w:val="1"/>
                <w:color w:val="auto"/>
              </w:rPr>
            </w:pPr>
          </w:p>
        </w:tc>
      </w:tr>
      <w:tr>
        <w:trPr>
          <w:trHeight w:val="10"/>
        </w:trPr>
        <w:tc>
          <w:tcPr>
            <w:tcW w:w="5260" w:type="dxa"/>
            <w:vAlign w:val="bottom"/>
            <w:gridSpan w:val="3"/>
          </w:tcPr>
          <w:p>
            <w:pPr>
              <w:spacing w:after="0" w:line="10" w:lineRule="exact"/>
              <w:rPr>
                <w:sz w:val="20"/>
                <w:szCs w:val="20"/>
                <w:color w:val="auto"/>
              </w:rPr>
            </w:pPr>
            <w:r>
              <w:rPr>
                <w:rFonts w:ascii="Arial" w:cs="Arial" w:eastAsia="Arial" w:hAnsi="Arial"/>
                <w:sz w:val="1"/>
                <w:szCs w:val="1"/>
                <w:color w:val="auto"/>
              </w:rPr>
              <w:t>Kurt von Emster, C.F.A.</w:t>
            </w:r>
          </w:p>
        </w:tc>
        <w:tc>
          <w:tcPr>
            <w:tcW w:w="880" w:type="dxa"/>
            <w:vAlign w:val="bottom"/>
            <w:vMerge w:val="continue"/>
          </w:tcPr>
          <w:p>
            <w:pPr>
              <w:spacing w:after="0" w:line="20" w:lineRule="exact"/>
              <w:rPr>
                <w:sz w:val="1"/>
                <w:szCs w:val="1"/>
                <w:color w:val="auto"/>
              </w:rPr>
            </w:pPr>
          </w:p>
        </w:tc>
        <w:tc>
          <w:tcPr>
            <w:tcW w:w="4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140" w:type="dxa"/>
            <w:vAlign w:val="bottom"/>
            <w:gridSpan w:val="2"/>
          </w:tcPr>
          <w:p>
            <w:pPr>
              <w:ind w:left="1760"/>
              <w:spacing w:after="0"/>
              <w:rPr>
                <w:sz w:val="20"/>
                <w:szCs w:val="20"/>
                <w:color w:val="auto"/>
              </w:rPr>
            </w:pPr>
            <w:r>
              <w:rPr>
                <w:rFonts w:ascii="Arial" w:cs="Arial" w:eastAsia="Arial" w:hAnsi="Arial"/>
                <w:sz w:val="14"/>
                <w:szCs w:val="14"/>
                <w:color w:val="auto"/>
              </w:rPr>
              <w:t>(2) (3)</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260" w:type="dxa"/>
            <w:vAlign w:val="bottom"/>
            <w:gridSpan w:val="3"/>
          </w:tcPr>
          <w:p>
            <w:pPr>
              <w:spacing w:after="0" w:line="193" w:lineRule="exact"/>
              <w:rPr>
                <w:sz w:val="20"/>
                <w:szCs w:val="20"/>
                <w:color w:val="auto"/>
              </w:rPr>
            </w:pPr>
            <w:r>
              <w:rPr>
                <w:rFonts w:ascii="Arial" w:cs="Arial" w:eastAsia="Arial" w:hAnsi="Arial"/>
                <w:sz w:val="17"/>
                <w:szCs w:val="17"/>
                <w:color w:val="auto"/>
              </w:rPr>
              <w:t xml:space="preserve">Andrew Cheng, M.D., Ph.D. </w:t>
            </w:r>
            <w:r>
              <w:rPr>
                <w:rFonts w:ascii="Arial" w:cs="Arial" w:eastAsia="Arial" w:hAnsi="Arial"/>
                <w:sz w:val="14"/>
                <w:szCs w:val="14"/>
                <w:color w:val="auto"/>
              </w:rPr>
              <w:t>(1)(2)</w:t>
            </w:r>
          </w:p>
        </w:tc>
        <w:tc>
          <w:tcPr>
            <w:tcW w:w="880" w:type="dxa"/>
            <w:vAlign w:val="bottom"/>
          </w:tcPr>
          <w:p>
            <w:pPr>
              <w:jc w:val="center"/>
              <w:spacing w:after="0" w:line="193" w:lineRule="exact"/>
              <w:rPr>
                <w:sz w:val="20"/>
                <w:szCs w:val="20"/>
                <w:color w:val="auto"/>
              </w:rPr>
            </w:pPr>
            <w:r>
              <w:rPr>
                <w:rFonts w:ascii="Arial" w:cs="Arial" w:eastAsia="Arial" w:hAnsi="Arial"/>
                <w:sz w:val="17"/>
                <w:szCs w:val="17"/>
                <w:color w:val="auto"/>
              </w:rPr>
              <w:t>54</w:t>
            </w:r>
          </w:p>
        </w:tc>
        <w:tc>
          <w:tcPr>
            <w:tcW w:w="4780" w:type="dxa"/>
            <w:vAlign w:val="bottom"/>
            <w:gridSpan w:val="2"/>
          </w:tcPr>
          <w:p>
            <w:pPr>
              <w:ind w:left="100"/>
              <w:spacing w:after="0" w:line="193"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87"/>
        </w:trPr>
        <w:tc>
          <w:tcPr>
            <w:tcW w:w="5260" w:type="dxa"/>
            <w:vAlign w:val="bottom"/>
            <w:gridSpan w:val="3"/>
          </w:tcPr>
          <w:p>
            <w:pPr>
              <w:spacing w:after="0" w:line="187" w:lineRule="exact"/>
              <w:rPr>
                <w:sz w:val="20"/>
                <w:szCs w:val="20"/>
                <w:color w:val="auto"/>
              </w:rPr>
            </w:pPr>
            <w:r>
              <w:rPr>
                <w:rFonts w:ascii="Arial" w:cs="Arial" w:eastAsia="Arial" w:hAnsi="Arial"/>
                <w:sz w:val="17"/>
                <w:szCs w:val="17"/>
                <w:color w:val="auto"/>
              </w:rPr>
              <w:t xml:space="preserve">Beth Seidenberg, M.D. </w:t>
            </w:r>
            <w:r>
              <w:rPr>
                <w:rFonts w:ascii="Arial" w:cs="Arial" w:eastAsia="Arial" w:hAnsi="Arial"/>
                <w:sz w:val="14"/>
                <w:szCs w:val="14"/>
                <w:color w:val="auto"/>
              </w:rPr>
              <w:t>(3)</w:t>
            </w:r>
          </w:p>
        </w:tc>
        <w:tc>
          <w:tcPr>
            <w:tcW w:w="880" w:type="dxa"/>
            <w:vAlign w:val="bottom"/>
          </w:tcPr>
          <w:p>
            <w:pPr>
              <w:jc w:val="center"/>
              <w:spacing w:after="0" w:line="187" w:lineRule="exact"/>
              <w:rPr>
                <w:sz w:val="20"/>
                <w:szCs w:val="20"/>
                <w:color w:val="auto"/>
              </w:rPr>
            </w:pPr>
            <w:r>
              <w:rPr>
                <w:rFonts w:ascii="Arial" w:cs="Arial" w:eastAsia="Arial" w:hAnsi="Arial"/>
                <w:sz w:val="17"/>
                <w:szCs w:val="17"/>
                <w:color w:val="auto"/>
              </w:rPr>
              <w:t>64</w:t>
            </w:r>
          </w:p>
        </w:tc>
        <w:tc>
          <w:tcPr>
            <w:tcW w:w="4780" w:type="dxa"/>
            <w:vAlign w:val="bottom"/>
            <w:gridSpan w:val="2"/>
          </w:tcPr>
          <w:p>
            <w:pPr>
              <w:ind w:left="100"/>
              <w:spacing w:after="0" w:line="187"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87"/>
        </w:trPr>
        <w:tc>
          <w:tcPr>
            <w:tcW w:w="5260" w:type="dxa"/>
            <w:vAlign w:val="bottom"/>
            <w:gridSpan w:val="3"/>
          </w:tcPr>
          <w:p>
            <w:pPr>
              <w:spacing w:after="0" w:line="187" w:lineRule="exact"/>
              <w:rPr>
                <w:sz w:val="20"/>
                <w:szCs w:val="20"/>
                <w:color w:val="auto"/>
              </w:rPr>
            </w:pPr>
            <w:r>
              <w:rPr>
                <w:rFonts w:ascii="Arial" w:cs="Arial" w:eastAsia="Arial" w:hAnsi="Arial"/>
                <w:sz w:val="17"/>
                <w:szCs w:val="17"/>
                <w:color w:val="auto"/>
              </w:rPr>
              <w:t xml:space="preserve">Maha Katabi, Ph.D., C.F.A. </w:t>
            </w:r>
            <w:r>
              <w:rPr>
                <w:rFonts w:ascii="Arial" w:cs="Arial" w:eastAsia="Arial" w:hAnsi="Arial"/>
                <w:sz w:val="14"/>
                <w:szCs w:val="14"/>
                <w:color w:val="auto"/>
              </w:rPr>
              <w:t>(1)(2)</w:t>
            </w:r>
          </w:p>
        </w:tc>
        <w:tc>
          <w:tcPr>
            <w:tcW w:w="880" w:type="dxa"/>
            <w:vAlign w:val="bottom"/>
          </w:tcPr>
          <w:p>
            <w:pPr>
              <w:jc w:val="center"/>
              <w:spacing w:after="0" w:line="187" w:lineRule="exact"/>
              <w:rPr>
                <w:sz w:val="20"/>
                <w:szCs w:val="20"/>
                <w:color w:val="auto"/>
              </w:rPr>
            </w:pPr>
            <w:r>
              <w:rPr>
                <w:rFonts w:ascii="Arial" w:cs="Arial" w:eastAsia="Arial" w:hAnsi="Arial"/>
                <w:sz w:val="17"/>
                <w:szCs w:val="17"/>
                <w:color w:val="auto"/>
              </w:rPr>
              <w:t>47</w:t>
            </w:r>
          </w:p>
        </w:tc>
        <w:tc>
          <w:tcPr>
            <w:tcW w:w="4780" w:type="dxa"/>
            <w:vAlign w:val="bottom"/>
            <w:gridSpan w:val="2"/>
          </w:tcPr>
          <w:p>
            <w:pPr>
              <w:ind w:left="100"/>
              <w:spacing w:after="0" w:line="187"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87"/>
        </w:trPr>
        <w:tc>
          <w:tcPr>
            <w:tcW w:w="5260" w:type="dxa"/>
            <w:vAlign w:val="bottom"/>
            <w:gridSpan w:val="3"/>
          </w:tcPr>
          <w:p>
            <w:pPr>
              <w:spacing w:after="0" w:line="187" w:lineRule="exact"/>
              <w:rPr>
                <w:sz w:val="20"/>
                <w:szCs w:val="20"/>
                <w:color w:val="auto"/>
              </w:rPr>
            </w:pPr>
            <w:r>
              <w:rPr>
                <w:rFonts w:ascii="Arial" w:cs="Arial" w:eastAsia="Arial" w:hAnsi="Arial"/>
                <w:sz w:val="17"/>
                <w:szCs w:val="17"/>
                <w:color w:val="auto"/>
              </w:rPr>
              <w:t xml:space="preserve">Patrick Enright </w:t>
            </w:r>
            <w:r>
              <w:rPr>
                <w:rFonts w:ascii="Arial" w:cs="Arial" w:eastAsia="Arial" w:hAnsi="Arial"/>
                <w:sz w:val="14"/>
                <w:szCs w:val="14"/>
                <w:color w:val="auto"/>
              </w:rPr>
              <w:t>(1)</w:t>
            </w:r>
          </w:p>
        </w:tc>
        <w:tc>
          <w:tcPr>
            <w:tcW w:w="880" w:type="dxa"/>
            <w:vAlign w:val="bottom"/>
          </w:tcPr>
          <w:p>
            <w:pPr>
              <w:jc w:val="center"/>
              <w:spacing w:after="0" w:line="187" w:lineRule="exact"/>
              <w:rPr>
                <w:sz w:val="20"/>
                <w:szCs w:val="20"/>
                <w:color w:val="auto"/>
              </w:rPr>
            </w:pPr>
            <w:r>
              <w:rPr>
                <w:rFonts w:ascii="Arial" w:cs="Arial" w:eastAsia="Arial" w:hAnsi="Arial"/>
                <w:sz w:val="17"/>
                <w:szCs w:val="17"/>
                <w:color w:val="auto"/>
              </w:rPr>
              <w:t>59</w:t>
            </w:r>
          </w:p>
        </w:tc>
        <w:tc>
          <w:tcPr>
            <w:tcW w:w="4780" w:type="dxa"/>
            <w:vAlign w:val="bottom"/>
            <w:gridSpan w:val="2"/>
          </w:tcPr>
          <w:p>
            <w:pPr>
              <w:ind w:left="100"/>
              <w:spacing w:after="0" w:line="187"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3"/>
        </w:trPr>
        <w:tc>
          <w:tcPr>
            <w:tcW w:w="5260" w:type="dxa"/>
            <w:vAlign w:val="bottom"/>
            <w:gridSpan w:val="3"/>
          </w:tcPr>
          <w:p>
            <w:pPr>
              <w:spacing w:after="0"/>
              <w:rPr>
                <w:sz w:val="20"/>
                <w:szCs w:val="20"/>
                <w:color w:val="auto"/>
              </w:rPr>
            </w:pPr>
            <w:r>
              <w:rPr>
                <w:rFonts w:ascii="Arial" w:cs="Arial" w:eastAsia="Arial" w:hAnsi="Arial"/>
                <w:sz w:val="17"/>
                <w:szCs w:val="17"/>
                <w:color w:val="auto"/>
              </w:rPr>
              <w:t xml:space="preserve">Scott Morrison </w:t>
            </w:r>
            <w:r>
              <w:rPr>
                <w:rFonts w:ascii="Arial" w:cs="Arial" w:eastAsia="Arial" w:hAnsi="Arial"/>
                <w:sz w:val="14"/>
                <w:szCs w:val="14"/>
                <w:color w:val="auto"/>
              </w:rPr>
              <w:t>(3)</w:t>
            </w:r>
          </w:p>
        </w:tc>
        <w:tc>
          <w:tcPr>
            <w:tcW w:w="880" w:type="dxa"/>
            <w:vAlign w:val="bottom"/>
          </w:tcPr>
          <w:p>
            <w:pPr>
              <w:jc w:val="center"/>
              <w:spacing w:after="0"/>
              <w:rPr>
                <w:sz w:val="20"/>
                <w:szCs w:val="20"/>
                <w:color w:val="auto"/>
              </w:rPr>
            </w:pPr>
            <w:r>
              <w:rPr>
                <w:rFonts w:ascii="Arial" w:cs="Arial" w:eastAsia="Arial" w:hAnsi="Arial"/>
                <w:sz w:val="17"/>
                <w:szCs w:val="17"/>
                <w:color w:val="auto"/>
              </w:rPr>
              <w:t>63</w:t>
            </w:r>
          </w:p>
        </w:tc>
        <w:tc>
          <w:tcPr>
            <w:tcW w:w="478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7" w:lineRule="exact"/>
        <w:rPr>
          <w:sz w:val="20"/>
          <w:szCs w:val="20"/>
          <w:color w:val="auto"/>
        </w:rPr>
      </w:pPr>
    </w:p>
    <w:p>
      <w:pPr>
        <w:ind w:left="600" w:hanging="299"/>
        <w:spacing w:after="0"/>
        <w:tabs>
          <w:tab w:leader="none" w:pos="60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Member of the compensation committee.</w:t>
      </w:r>
    </w:p>
    <w:p>
      <w:pPr>
        <w:spacing w:after="0" w:line="29" w:lineRule="exact"/>
        <w:rPr>
          <w:rFonts w:ascii="Arial" w:cs="Arial" w:eastAsia="Arial" w:hAnsi="Arial"/>
          <w:sz w:val="24"/>
          <w:szCs w:val="24"/>
          <w:color w:val="auto"/>
          <w:vertAlign w:val="superscript"/>
        </w:rPr>
      </w:pPr>
    </w:p>
    <w:p>
      <w:pPr>
        <w:ind w:left="600" w:hanging="299"/>
        <w:spacing w:after="0" w:line="187" w:lineRule="auto"/>
        <w:tabs>
          <w:tab w:leader="none" w:pos="600" w:val="left"/>
        </w:tabs>
        <w:numPr>
          <w:ilvl w:val="0"/>
          <w:numId w:val="75"/>
        </w:numPr>
        <w:rPr>
          <w:rFonts w:ascii="Arial" w:cs="Arial" w:eastAsia="Arial" w:hAnsi="Arial"/>
          <w:sz w:val="19"/>
          <w:szCs w:val="19"/>
          <w:color w:val="auto"/>
          <w:vertAlign w:val="superscript"/>
        </w:rPr>
      </w:pPr>
      <w:r>
        <w:rPr>
          <w:rFonts w:ascii="Arial" w:cs="Arial" w:eastAsia="Arial" w:hAnsi="Arial"/>
          <w:sz w:val="12"/>
          <w:szCs w:val="12"/>
          <w:color w:val="auto"/>
        </w:rPr>
        <w:t>Member of the nominating and corporate governance committee.</w:t>
      </w:r>
    </w:p>
    <w:p>
      <w:pPr>
        <w:spacing w:after="0" w:line="30" w:lineRule="exact"/>
        <w:rPr>
          <w:rFonts w:ascii="Arial" w:cs="Arial" w:eastAsia="Arial" w:hAnsi="Arial"/>
          <w:sz w:val="19"/>
          <w:szCs w:val="19"/>
          <w:color w:val="auto"/>
          <w:vertAlign w:val="superscript"/>
        </w:rPr>
      </w:pPr>
    </w:p>
    <w:p>
      <w:pPr>
        <w:ind w:left="600" w:hanging="299"/>
        <w:spacing w:after="0" w:line="187" w:lineRule="auto"/>
        <w:tabs>
          <w:tab w:leader="none" w:pos="600" w:val="left"/>
        </w:tabs>
        <w:numPr>
          <w:ilvl w:val="0"/>
          <w:numId w:val="75"/>
        </w:numPr>
        <w:rPr>
          <w:rFonts w:ascii="Arial" w:cs="Arial" w:eastAsia="Arial" w:hAnsi="Arial"/>
          <w:sz w:val="19"/>
          <w:szCs w:val="19"/>
          <w:color w:val="auto"/>
          <w:vertAlign w:val="superscript"/>
        </w:rPr>
      </w:pPr>
      <w:r>
        <w:rPr>
          <w:rFonts w:ascii="Arial" w:cs="Arial" w:eastAsia="Arial" w:hAnsi="Arial"/>
          <w:sz w:val="12"/>
          <w:szCs w:val="12"/>
          <w:color w:val="auto"/>
        </w:rPr>
        <w:t>Member of the audit committee.</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Officers</w:t>
      </w:r>
    </w:p>
    <w:p>
      <w:pPr>
        <w:spacing w:after="0" w:line="57" w:lineRule="exact"/>
        <w:rPr>
          <w:sz w:val="20"/>
          <w:szCs w:val="20"/>
          <w:color w:val="auto"/>
        </w:rPr>
      </w:pPr>
    </w:p>
    <w:p>
      <w:pPr>
        <w:ind w:left="160" w:right="120"/>
        <w:spacing w:after="0" w:line="235" w:lineRule="auto"/>
        <w:rPr>
          <w:sz w:val="20"/>
          <w:szCs w:val="20"/>
          <w:color w:val="auto"/>
        </w:rPr>
      </w:pPr>
      <w:r>
        <w:rPr>
          <w:rFonts w:ascii="Arial" w:cs="Arial" w:eastAsia="Arial" w:hAnsi="Arial"/>
          <w:sz w:val="17"/>
          <w:szCs w:val="17"/>
          <w:b w:val="1"/>
          <w:bCs w:val="1"/>
          <w:i w:val="1"/>
          <w:iCs w:val="1"/>
          <w:color w:val="auto"/>
        </w:rPr>
        <w:t xml:space="preserve">Marshall Fordyce, M.D. </w:t>
      </w:r>
      <w:r>
        <w:rPr>
          <w:rFonts w:ascii="Arial" w:cs="Arial" w:eastAsia="Arial" w:hAnsi="Arial"/>
          <w:sz w:val="17"/>
          <w:szCs w:val="17"/>
          <w:color w:val="auto"/>
        </w:rPr>
        <w:t>is our founder and has served as our Chief Executive Officer and President and as a member of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May 2016. From April 2011 to July 2016, Dr. Fordyce held a number of senior leadership roles at Gilead Sciences, Inc. (Gilead), a biotechnology company, including Director of Clinical Research and Senior Director of Clinical Research, where he was responsible for leading teams in clinical translation, development and commercialization of new treatments. In April 2012, Dr. Fordyce joined the Albert and Mary Lasker Foundation, a foundation supporting biomedical research, as a non-executive director and continues in that role. Dr. Fordyce received a B.A. in medical anthropology from Harvard University and an M.D. from Harvard Medical School. We believe Dr. Fordyce is qualified to serve on our board of directors due to his extensive experience in the biotechnology industry in senior leadership roles, as well as the perspective and experience he brings as our President and Chief Executive Officer.</w:t>
      </w:r>
    </w:p>
    <w:p>
      <w:pPr>
        <w:spacing w:after="0" w:line="127" w:lineRule="exact"/>
        <w:rPr>
          <w:sz w:val="20"/>
          <w:szCs w:val="20"/>
          <w:color w:val="auto"/>
        </w:rPr>
      </w:pPr>
    </w:p>
    <w:p>
      <w:pPr>
        <w:ind w:left="160" w:right="140"/>
        <w:spacing w:after="0" w:line="234" w:lineRule="auto"/>
        <w:rPr>
          <w:sz w:val="20"/>
          <w:szCs w:val="20"/>
          <w:color w:val="auto"/>
        </w:rPr>
      </w:pPr>
      <w:r>
        <w:rPr>
          <w:rFonts w:ascii="Arial" w:cs="Arial" w:eastAsia="Arial" w:hAnsi="Arial"/>
          <w:sz w:val="17"/>
          <w:szCs w:val="17"/>
          <w:b w:val="1"/>
          <w:bCs w:val="1"/>
          <w:i w:val="1"/>
          <w:iCs w:val="1"/>
          <w:color w:val="auto"/>
        </w:rPr>
        <w:t xml:space="preserve">Celia Lin, M.D. </w:t>
      </w:r>
      <w:r>
        <w:rPr>
          <w:rFonts w:ascii="Arial" w:cs="Arial" w:eastAsia="Arial" w:hAnsi="Arial"/>
          <w:sz w:val="17"/>
          <w:szCs w:val="17"/>
          <w:color w:val="auto"/>
        </w:rPr>
        <w:t>has served as our Chief Medical Officer since February 2021. From August 2015 to February 2021, Dr. Lin was Senior Medical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at Genentech. She was responsible for late stage development and regulatory approval for a novel product in an orphan disease. She also served as Global Development Lead for a BTK inhibitor in multiple sclerosis, and led other programs including monoclonal antibodies, bispecifics, and complement inhibitors in various therapeutic areas such as respiratory, allergy, nephrology, infectious disease and inflammation. Dr. Lin previously served as Medical Director in Clinical Development and Medical Affairs at Amgen, from April 2012 to August 2015, leading teams and activities related to the approval and commercialization of two osteoporosis therapies. Dr. Lin is a board certified physician. Prior to joining industry, she was on faculty at UCSF. She received her B.S. from UCLA and her M.D. from University of Rochester School of Medicine. She trained in internal medicine at Boston Medical Center and in rheumatology at UCLA and Washington University in St. Louis where she also was a post-doctoral fellow.</w:t>
      </w:r>
    </w:p>
    <w:p>
      <w:pPr>
        <w:spacing w:after="0" w:line="130" w:lineRule="exact"/>
        <w:rPr>
          <w:sz w:val="20"/>
          <w:szCs w:val="20"/>
          <w:color w:val="auto"/>
        </w:rPr>
      </w:pPr>
    </w:p>
    <w:p>
      <w:pPr>
        <w:ind w:left="160" w:right="440"/>
        <w:spacing w:after="0" w:line="263" w:lineRule="auto"/>
        <w:rPr>
          <w:sz w:val="20"/>
          <w:szCs w:val="20"/>
          <w:color w:val="auto"/>
        </w:rPr>
      </w:pPr>
      <w:r>
        <w:rPr>
          <w:rFonts w:ascii="Arial" w:cs="Arial" w:eastAsia="Arial" w:hAnsi="Arial"/>
          <w:sz w:val="17"/>
          <w:szCs w:val="17"/>
          <w:b w:val="1"/>
          <w:bCs w:val="1"/>
          <w:i w:val="1"/>
          <w:iCs w:val="1"/>
          <w:color w:val="auto"/>
        </w:rPr>
        <w:t xml:space="preserve">Joanne Curley, Ph.D. </w:t>
      </w:r>
      <w:r>
        <w:rPr>
          <w:rFonts w:ascii="Arial" w:cs="Arial" w:eastAsia="Arial" w:hAnsi="Arial"/>
          <w:sz w:val="17"/>
          <w:szCs w:val="17"/>
          <w:color w:val="auto"/>
        </w:rPr>
        <w:t>has served as our Chief Development Officer since March 2020. From June 2005 until March 2020, Dr. Curley held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senior leadership roles at Gilead, a biotechnology company, including Senior</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080"/>
          </w:cols>
          <w:pgMar w:left="320" w:top="456"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320"/>
        <w:spacing w:after="0" w:line="233" w:lineRule="auto"/>
        <w:rPr>
          <w:sz w:val="20"/>
          <w:szCs w:val="20"/>
          <w:color w:val="auto"/>
        </w:rPr>
      </w:pPr>
      <w:r>
        <w:rPr>
          <w:rFonts w:ascii="Arial" w:cs="Arial" w:eastAsia="Arial" w:hAnsi="Arial"/>
          <w:sz w:val="17"/>
          <w:szCs w:val="17"/>
          <w:color w:val="auto"/>
        </w:rPr>
        <w:t>Director, Project and Portfolio Management and Vice President, Project and Portfolio Management, where she was responsible for developing products from research through regulatory approval. From 2002 to 2005, Dr. Curley served as a staff scientist at Nektar Therapeutics, a pharmaceutical company. Dr. Curley received a B.Sc. in physics and chemistry from Trinity College, Ireland, a Ph.D. in polymer science and engineering from the University of Massachusetts, Amherst, and did a post-doctorate at Massachusetts Institute of Technology and Harvard Medical School focused on long-acting biodegradable formulations.</w:t>
      </w:r>
    </w:p>
    <w:p>
      <w:pPr>
        <w:spacing w:after="0" w:line="128" w:lineRule="exact"/>
        <w:rPr>
          <w:sz w:val="20"/>
          <w:szCs w:val="20"/>
          <w:color w:val="auto"/>
        </w:rPr>
      </w:pPr>
    </w:p>
    <w:p>
      <w:pPr>
        <w:ind w:left="160" w:right="120"/>
        <w:spacing w:after="0" w:line="234" w:lineRule="auto"/>
        <w:rPr>
          <w:sz w:val="20"/>
          <w:szCs w:val="20"/>
          <w:color w:val="auto"/>
        </w:rPr>
      </w:pPr>
      <w:r>
        <w:rPr>
          <w:rFonts w:ascii="Arial" w:cs="Arial" w:eastAsia="Arial" w:hAnsi="Arial"/>
          <w:sz w:val="17"/>
          <w:szCs w:val="17"/>
          <w:b w:val="1"/>
          <w:bCs w:val="1"/>
          <w:i w:val="1"/>
          <w:iCs w:val="1"/>
          <w:color w:val="auto"/>
        </w:rPr>
        <w:t xml:space="preserve">Jonathan Wolter </w:t>
      </w:r>
      <w:r>
        <w:rPr>
          <w:rFonts w:ascii="Arial" w:cs="Arial" w:eastAsia="Arial" w:hAnsi="Arial"/>
          <w:sz w:val="17"/>
          <w:szCs w:val="17"/>
          <w:color w:val="auto"/>
        </w:rPr>
        <w:t>has served as our Chief Financial Officer since March 2020 through his capacity as a partner at FLG Partners, LLC, a Silicon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Valley chief financial officer services firm. Mr. Wolter joined FLG Partners, where he is a partner, in July 2004. Through FLG Partners, Mr. Wolter has served public and private company clients as both permanent and interim chief financial officer. In connection with his role at FLG Partners, Mr. Wolter has been engaged by SmartRent.com, Inc., a smart home automation company, as Chief Financial Officer since August 2020. From June 2019 to March 2020, Mr. Wolter served as interim Chief Financial Officer at Amyris, Inc., a biotechnology company. From September 2017 to October 2019, Mr. Wolter served as Chief Financial Officer of Soleno Therapeutics, Inc., a biopharmaceutical company. From January 2016 to April 2019, Mr. Wolter served as Chief Financial Officer of Verana Health, Inc., a private technology company that partners with medical associations to assemble clinical databases in medicine. Mr. Wolter received a B.S. in business administration from the University of California, Berkeley and is a certified public accountant (inactive).</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Key Employees</w:t>
      </w:r>
    </w:p>
    <w:p>
      <w:pPr>
        <w:spacing w:after="0" w:line="71" w:lineRule="exact"/>
        <w:rPr>
          <w:sz w:val="20"/>
          <w:szCs w:val="20"/>
          <w:color w:val="auto"/>
        </w:rPr>
      </w:pPr>
    </w:p>
    <w:p>
      <w:pPr>
        <w:ind w:left="160" w:right="100"/>
        <w:spacing w:after="0" w:line="250" w:lineRule="auto"/>
        <w:rPr>
          <w:sz w:val="20"/>
          <w:szCs w:val="20"/>
          <w:color w:val="auto"/>
        </w:rPr>
      </w:pPr>
      <w:r>
        <w:rPr>
          <w:rFonts w:ascii="Arial" w:cs="Arial" w:eastAsia="Arial" w:hAnsi="Arial"/>
          <w:sz w:val="16"/>
          <w:szCs w:val="16"/>
          <w:b w:val="1"/>
          <w:bCs w:val="1"/>
          <w:i w:val="1"/>
          <w:iCs w:val="1"/>
          <w:color w:val="auto"/>
        </w:rPr>
        <w:t xml:space="preserve">Lauren Frenz </w:t>
      </w:r>
      <w:r>
        <w:rPr>
          <w:rFonts w:ascii="Arial" w:cs="Arial" w:eastAsia="Arial" w:hAnsi="Arial"/>
          <w:sz w:val="16"/>
          <w:szCs w:val="16"/>
          <w:color w:val="auto"/>
        </w:rPr>
        <w:t>has served as our Chief Business Officer since April 2020. Ms. Frenz previously served as our Senior Vice President of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and Finance from August 2017 to April 2020. From June 2012 to July 2017, Ms. Frenz served in positions of increasing responsibility at Gilead, a biotechnology company, in the US Sales &amp; Marketing and Global Commercial Planning &amp; Operations organizations in multiple therapeutic areas. At Gilead, she most recently led healthcare provider marketing for multiple blockbuster HIV therapies. Prior to Gilead,</w:t>
      </w:r>
    </w:p>
    <w:p>
      <w:pPr>
        <w:spacing w:after="0" w:line="2" w:lineRule="exact"/>
        <w:rPr>
          <w:sz w:val="20"/>
          <w:szCs w:val="20"/>
          <w:color w:val="auto"/>
        </w:rPr>
      </w:pPr>
    </w:p>
    <w:p>
      <w:pPr>
        <w:jc w:val="both"/>
        <w:ind w:left="160" w:right="340"/>
        <w:spacing w:after="0" w:line="236" w:lineRule="auto"/>
        <w:rPr>
          <w:sz w:val="20"/>
          <w:szCs w:val="20"/>
          <w:color w:val="auto"/>
        </w:rPr>
      </w:pPr>
      <w:r>
        <w:rPr>
          <w:rFonts w:ascii="Arial" w:cs="Arial" w:eastAsia="Arial" w:hAnsi="Arial"/>
          <w:sz w:val="17"/>
          <w:szCs w:val="17"/>
          <w:color w:val="auto"/>
        </w:rPr>
        <w:t>Ms. Frenz worked at SVB Leerink, an investment bank specializing in healthcare and life sciences, in their Strategic Advisory Group, devising business development, commercial, and portfolio management strategies for biotech and pharmaceutical companies. Ms. Frenz received an M.B.A. from Harvard Business School and an A.B. in psychology with a certificate in neuroscience from Princeton University.</w:t>
      </w:r>
    </w:p>
    <w:p>
      <w:pPr>
        <w:spacing w:after="0" w:line="126"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b w:val="1"/>
          <w:bCs w:val="1"/>
          <w:i w:val="1"/>
          <w:iCs w:val="1"/>
          <w:color w:val="auto"/>
        </w:rPr>
        <w:t xml:space="preserve">Tom Doan </w:t>
      </w:r>
      <w:r>
        <w:rPr>
          <w:rFonts w:ascii="Arial" w:cs="Arial" w:eastAsia="Arial" w:hAnsi="Arial"/>
          <w:sz w:val="17"/>
          <w:szCs w:val="17"/>
          <w:color w:val="auto"/>
        </w:rPr>
        <w:t>has served as our Senior Vice President, Development Operations since March 2020. From April 2007 to March 2020, Mr. Doan held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number of senior leadership roles at Gilead, a biotechnology company, where he was responsible for clinical operations for multiple successful drug market filings and approvals, including most recently Executive Director, Clinical Operations, Therapeutic Area Head, Inflammation/Respiratory. From October 2003 until April 2007, Mr. Doan served as Clinical Trial Manager and Senior Clinical Trial Manager, BioOncology, at Genentech, a biotechnology company. From September 1999 until October 2003, Mr. Doan served as Clinical Research Manager and Clinical Research Associate, at Cato Research, LLC, a clinical research organization. Mr. Doan received a B.S. in Fisheries Biology from Humboldt State University.</w:t>
      </w:r>
    </w:p>
    <w:p>
      <w:pPr>
        <w:spacing w:after="0" w:line="126"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b w:val="1"/>
          <w:bCs w:val="1"/>
          <w:i w:val="1"/>
          <w:iCs w:val="1"/>
          <w:color w:val="auto"/>
        </w:rPr>
        <w:t xml:space="preserve">Joseph Young </w:t>
      </w:r>
      <w:r>
        <w:rPr>
          <w:rFonts w:ascii="Arial" w:cs="Arial" w:eastAsia="Arial" w:hAnsi="Arial"/>
          <w:sz w:val="17"/>
          <w:szCs w:val="17"/>
          <w:color w:val="auto"/>
        </w:rPr>
        <w:t>has served as our Senior Vice President, Finance since March 2021 and our Chief Accounting Officer since May 2021. From April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2006 to July 2020, Mr. Young held a number of senior leadership roles at Plexxikon Inc., a biotechnology company, and wholly-owned subsidiary of Daiichi-Sankyo Co., Ltd. since its acquisition of Plexxikon in 2011, including most recently Senior Vice President, Finance and Treasurer, where he was responsible for all accounting, finance and treasury operations, in addition to oversight of other business functions. From August 2005 to April 2006, Mr. Young served as Associate Director, Internal Controls Compliance at VaxGen, Inc., a biotechnology company. From February 1999 to August 2005, Mr. Young held management roles at Cerus Corporation, a biotechnology company, including most recently Controller. From October 1994 to January 1999, Mr. Young was an auditor at Ernst &amp; Young LLP. Mr. Young received a B.A. in Business-Economics from the University of California, Los Angeles and an M.B.A. from the University of California, Berkeley—Haas School of Business, and is a Certified Public Accountant (inactive status).</w:t>
      </w:r>
    </w:p>
    <w:p>
      <w:pPr>
        <w:spacing w:after="0" w:line="130" w:lineRule="exact"/>
        <w:rPr>
          <w:sz w:val="20"/>
          <w:szCs w:val="20"/>
          <w:color w:val="auto"/>
        </w:rPr>
      </w:pPr>
    </w:p>
    <w:p>
      <w:pPr>
        <w:ind w:left="160" w:right="360"/>
        <w:spacing w:after="0" w:line="238" w:lineRule="auto"/>
        <w:rPr>
          <w:sz w:val="20"/>
          <w:szCs w:val="20"/>
          <w:color w:val="auto"/>
        </w:rPr>
      </w:pPr>
      <w:r>
        <w:rPr>
          <w:rFonts w:ascii="Arial" w:cs="Arial" w:eastAsia="Arial" w:hAnsi="Arial"/>
          <w:sz w:val="17"/>
          <w:szCs w:val="17"/>
          <w:b w:val="1"/>
          <w:bCs w:val="1"/>
          <w:i w:val="1"/>
          <w:iCs w:val="1"/>
          <w:color w:val="auto"/>
        </w:rPr>
        <w:t xml:space="preserve">Tad Thomas, Ph.D. </w:t>
      </w:r>
      <w:r>
        <w:rPr>
          <w:rFonts w:ascii="Arial" w:cs="Arial" w:eastAsia="Arial" w:hAnsi="Arial"/>
          <w:sz w:val="17"/>
          <w:szCs w:val="17"/>
          <w:color w:val="auto"/>
        </w:rPr>
        <w:t>has served as our Senior Vice President and Head of Product Development and Manufacturing since April 2021.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2019 to April 2021, Dr. Thomas served as Associate Vice President, Technical Operations at Codexis, Inc., a biotechnology company, where he was responsible for overseeing preclinical development for biotherapeutic products and management of external contract manufacturing partnerships. From July 2013 to March 2019, Dr. Thomas served as Director and Global Lead, Biologics Process Transfer and Launch at Bayer HealthCare LLC, a pharmaceutical and life sciences company, where he was responsible for leading</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080"/>
          </w:cols>
          <w:pgMar w:left="320" w:top="456"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180"/>
        <w:spacing w:after="0" w:line="234" w:lineRule="auto"/>
        <w:rPr>
          <w:sz w:val="20"/>
          <w:szCs w:val="20"/>
          <w:color w:val="auto"/>
        </w:rPr>
      </w:pPr>
      <w:r>
        <w:rPr>
          <w:rFonts w:ascii="Arial" w:cs="Arial" w:eastAsia="Arial" w:hAnsi="Arial"/>
          <w:sz w:val="17"/>
          <w:szCs w:val="17"/>
          <w:color w:val="auto"/>
        </w:rPr>
        <w:t>manufacturing site process transfers of clinical phase projects and leading the teams that drafted the Quality (CMC) sections of the successful marketing applications for Kovaltry and Jivi. Dr. Thomas received a B.A. in Biochemistry from the University of California, Berkeley, a Ph.D. in Biochemistry &amp; Biophysics from the University of California, Davis, and completed a post-doctoral fellowship at the Harvard Medical School and Brigham and Women’s Hospital.</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Non-Employee Directors</w:t>
      </w:r>
    </w:p>
    <w:p>
      <w:pPr>
        <w:spacing w:after="0" w:line="71" w:lineRule="exact"/>
        <w:rPr>
          <w:sz w:val="20"/>
          <w:szCs w:val="20"/>
          <w:color w:val="auto"/>
        </w:rPr>
      </w:pPr>
    </w:p>
    <w:p>
      <w:pPr>
        <w:ind w:left="160" w:right="100"/>
        <w:spacing w:after="0" w:line="232" w:lineRule="auto"/>
        <w:rPr>
          <w:sz w:val="20"/>
          <w:szCs w:val="20"/>
          <w:color w:val="auto"/>
        </w:rPr>
      </w:pPr>
      <w:r>
        <w:rPr>
          <w:rFonts w:ascii="Arial" w:cs="Arial" w:eastAsia="Arial" w:hAnsi="Arial"/>
          <w:sz w:val="17"/>
          <w:szCs w:val="17"/>
          <w:b w:val="1"/>
          <w:bCs w:val="1"/>
          <w:i w:val="1"/>
          <w:iCs w:val="1"/>
          <w:color w:val="auto"/>
        </w:rPr>
        <w:t xml:space="preserve">Kurt von Emster, C.F.A. </w:t>
      </w:r>
      <w:r>
        <w:rPr>
          <w:rFonts w:ascii="Arial" w:cs="Arial" w:eastAsia="Arial" w:hAnsi="Arial"/>
          <w:sz w:val="17"/>
          <w:szCs w:val="17"/>
          <w:color w:val="auto"/>
        </w:rPr>
        <w:t>has served on our board of directors since October 2020. Mr. von Emster currently serves as Managing Partner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Abingworth LLP, a venture capital firm, where he has been employed as a Partner since January 2015. Mr. von Emster has served as a member of the board of directors of Tizona Therapeutics, Inc, a biotechnology company, since December 2020, Trishula Therapeutics, Inc., an immunotherapy company, since December 2020, Orbus Therapeutics, Inc., a pharmaceutical company, since July 2020, SFJ Pharmaceuticals, Inc., a specialty pharmaceutical company, since April 2020, Jasper Therapeutics, Inc., a biotechnology company, since November 2019, Vaxcyte Inc. (Vaxcyte), a biopharmaceutical vaccine company, since July 2015, and CymaBay Therapeutics, Inc., a biotechnology company, since April 2009. Mr. von Emster previously served on the board of directors of the following companies: CRISPR Therapeutics, Inc. from March 2015 to June 2019, Kesios Therapeutics Ltd. from November 2015 to January 2017, Cytos Biotechnology AG from November 2012 to January 2016 (merged and renamed Kuros Biosciences AG in January 2016), Aurinia Pharmaceuticals Inc. from February 2014 to March 2015, Facet Biotech Corporation (acquired by Abbott Laboratories in April 2010) from February 2009 to April 2010, and Somaxon Pharmaceuticals, Inc. (acquired by Pernix Therapeutics Holdings, Inc. in March 2013) from August 2005 to March 2013. In addition, Mr. von Emster co-founded venBio LLC, a health-care focused investment firm, in 2009, and served as Partner until 2014. Prior to that, Mr. von Emster was General Partner at MPM Capital, Inc., a biotechnology private equity firm, from 2000 to 2009. Mr. von Emster was also a Biotechnology and Healthcare Analyst and Portfolio Manager at Franklin Templeton Group from 1989 to 2000. Mr. von Emster received a B.S. in Business and Economics from the University of California, Santa Barbara and is a Chartered Financial Analyst (C.F.A.). We believe Mr. von Emster’s experience in the biotechnology industry, as well as his experience as a member on the boards of directors of multiple companies in the industry, qualifies him to serve on our board of directors.</w:t>
      </w:r>
    </w:p>
    <w:p>
      <w:pPr>
        <w:spacing w:after="0" w:line="131" w:lineRule="exact"/>
        <w:rPr>
          <w:sz w:val="20"/>
          <w:szCs w:val="20"/>
          <w:color w:val="auto"/>
        </w:rPr>
      </w:pPr>
    </w:p>
    <w:p>
      <w:pPr>
        <w:ind w:left="160" w:right="80"/>
        <w:spacing w:after="0" w:line="234" w:lineRule="auto"/>
        <w:rPr>
          <w:sz w:val="20"/>
          <w:szCs w:val="20"/>
          <w:color w:val="auto"/>
        </w:rPr>
      </w:pPr>
      <w:r>
        <w:rPr>
          <w:rFonts w:ascii="Arial" w:cs="Arial" w:eastAsia="Arial" w:hAnsi="Arial"/>
          <w:sz w:val="17"/>
          <w:szCs w:val="17"/>
          <w:b w:val="1"/>
          <w:bCs w:val="1"/>
          <w:i w:val="1"/>
          <w:iCs w:val="1"/>
          <w:color w:val="auto"/>
        </w:rPr>
        <w:t xml:space="preserve">Andrew Cheng, M.D., Ph.D. </w:t>
      </w:r>
      <w:r>
        <w:rPr>
          <w:rFonts w:ascii="Arial" w:cs="Arial" w:eastAsia="Arial" w:hAnsi="Arial"/>
          <w:sz w:val="17"/>
          <w:szCs w:val="17"/>
          <w:color w:val="auto"/>
        </w:rPr>
        <w:t>has served as a member of our board of directors since May 2017. Dr. Cheng has served as the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as well as a director, of Akero Therapeutics, Inc., a biotechnology company, since September 2018. In August 2019, Dr. Cheng joined Arbutus Biopharma Corporation, a biopharmaceutical company, as a non-executive director and continues in that role. Before joining Akero, Dr. Cheng was at Gilead, a biotechnology company, as Chief Medical Officer from March 2018 to September 2018, Executive Vice President from February 2015 to September 2018, and Senior Vice President from February 2009 to February 2015. From April 2018 to November 2018, Dr. Cheng served on the board of directors of Syntimmune, Inc., a biotechnology company, which was acquired by Alexion Pharmaceuticals Inc. Dr. Cheng holds a B.A. in biology from the Johns Hopkins University and an M.D. and Ph.D. in cellular and molecular biology from Columbia University College of Physicians and Surgeons. He completed his internal medicine residency at UCLA and was board certified in internal medicine. We believe Dr. Cheng is qualified to serve as a member of our board of directors due to his extensive experience in clinical development across multiple therapeutic areas.</w:t>
      </w:r>
    </w:p>
    <w:p>
      <w:pPr>
        <w:spacing w:after="0" w:line="127" w:lineRule="exact"/>
        <w:rPr>
          <w:sz w:val="20"/>
          <w:szCs w:val="20"/>
          <w:color w:val="auto"/>
        </w:rPr>
      </w:pPr>
    </w:p>
    <w:p>
      <w:pPr>
        <w:ind w:left="160" w:right="20"/>
        <w:spacing w:after="0" w:line="238" w:lineRule="auto"/>
        <w:rPr>
          <w:sz w:val="20"/>
          <w:szCs w:val="20"/>
          <w:color w:val="auto"/>
        </w:rPr>
      </w:pPr>
      <w:r>
        <w:rPr>
          <w:rFonts w:ascii="Arial" w:cs="Arial" w:eastAsia="Arial" w:hAnsi="Arial"/>
          <w:sz w:val="17"/>
          <w:szCs w:val="17"/>
          <w:b w:val="1"/>
          <w:bCs w:val="1"/>
          <w:i w:val="1"/>
          <w:iCs w:val="1"/>
          <w:color w:val="auto"/>
        </w:rPr>
        <w:t xml:space="preserve">Beth Seidenberg, M.D. </w:t>
      </w:r>
      <w:r>
        <w:rPr>
          <w:rFonts w:ascii="Arial" w:cs="Arial" w:eastAsia="Arial" w:hAnsi="Arial"/>
          <w:sz w:val="17"/>
          <w:szCs w:val="17"/>
          <w:color w:val="auto"/>
        </w:rPr>
        <w:t>has served as a member of our board of directors since June 2016. Dr. Seidenberg is a founding Managing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Westlake Village BioPartners, a venture capital firm, a position she has held since September 2018. Dr. Seidenberg has been a Partner at Kleiner Perkins, a venture capital firm, since May 2005, where she primarily focuses on life sciences investing. Prior to joining Kleiner Perkins,</w:t>
      </w:r>
    </w:p>
    <w:p>
      <w:pPr>
        <w:ind w:left="160"/>
        <w:spacing w:after="0" w:line="232" w:lineRule="auto"/>
        <w:rPr>
          <w:sz w:val="20"/>
          <w:szCs w:val="20"/>
          <w:color w:val="auto"/>
        </w:rPr>
      </w:pPr>
      <w:r>
        <w:rPr>
          <w:rFonts w:ascii="Arial" w:cs="Arial" w:eastAsia="Arial" w:hAnsi="Arial"/>
          <w:sz w:val="17"/>
          <w:szCs w:val="17"/>
          <w:color w:val="auto"/>
        </w:rPr>
        <w:t>Dr. Seidenberg was the Senior Vice President, Head of Global Development and Chief Medical Officer at Amgen, a biotechnology company. In addition, Dr. Seidenberg was a senior executive in research and development at Bristol Myers Squibb Company, a biopharmaceutical company, and Merck &amp; Co., Inc. Dr. Seidenberg has served on the board of directors of Atara Biotherapeutics, Inc. since August 2012. Dr. Seidenberg has served on the board of directors of Progyny, Inc. since May 2010. From February 2008 until September 2019 she served on the board of directors of Epizyme, Inc., from June 2011 to February 2019 she served on the board of directors of Tesaro, Inc., and from December 2012 to June 2018 she served on the board of directors of ARMO BioSciences, Inc. Dr. Seidenberg received a B.S. from Barnard College and an M.D. from the University of Miami School of Medicine and completed her post-graduate training at the Johns Hopkins University, George Washington University and the National Institutes of Health. We believe that Dr. Seidenberg is qualified to serve on our board of directors because of her extensive experience in the life sciences industry as a senior executive and venture capitalist, as well as her training as a physician.</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060"/>
          </w:cols>
          <w:pgMar w:left="320" w:top="456"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b w:val="1"/>
          <w:bCs w:val="1"/>
          <w:i w:val="1"/>
          <w:iCs w:val="1"/>
          <w:color w:val="auto"/>
        </w:rPr>
        <w:t xml:space="preserve">Maha Katabi, Ph.D. </w:t>
      </w:r>
      <w:r>
        <w:rPr>
          <w:rFonts w:ascii="Arial" w:cs="Arial" w:eastAsia="Arial" w:hAnsi="Arial"/>
          <w:sz w:val="17"/>
          <w:szCs w:val="17"/>
          <w:color w:val="auto"/>
        </w:rPr>
        <w:t>has served as a member of our board of directors since October 2020. Dr. Katabi is a General Partner at Sofinnova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a venture capital firm, since March 2020. She joined Sofinnova as a Partner in April 2019. Prior to joining Sofinnova, Dr. Katabi was a founding Managing Partner at Oxalis Capital, a venture capital firm, from August 2018 until April 2019. From September 2008 until January 2018, Dr. Katabi was a Partner, Private Equity at Sectoral Asset Management, an investment advisor exclusively focused on the global healthcare sector. She was the portfolio manager of a family of funds investing in small cap and private biotech companies She held these positions since July 2012, and joined Sectoral in 2008 as Investment Manager. Prior to joining Sectoral in 2008, Dr. Katabi was a Vice President at Ventures West from 2004to 2008, where she focused on early-stage venture investments in the life sciences industry. She started her venture capital career in 1999 with T2C2 Capital Bio, a seed fund focused on university start-ups. Dr. Katabi has served as a member of the board of directors of several private companies, and currently serves as a director of Aerovate Therapeutics, Inc., Amplyx Pharmaceuticals, Inc., Gyroscope Therapeutics Limited, Northsea Therapeutics B.V., Quanta Therapeutics, Inc., and Sofinnova Investments, Inc. She received a Ph.D. in Pharmacology in 1999 at McGill University and her CFA charter in 2011. We believe that Dr. Katabi is qualified to serve on our board of directors due to her experience as a biopharmaceutical and biotechnology public and private company investor.</w:t>
      </w:r>
    </w:p>
    <w:p>
      <w:pPr>
        <w:spacing w:after="0" w:line="130" w:lineRule="exact"/>
        <w:rPr>
          <w:sz w:val="20"/>
          <w:szCs w:val="20"/>
          <w:color w:val="auto"/>
        </w:rPr>
      </w:pPr>
    </w:p>
    <w:p>
      <w:pPr>
        <w:ind w:left="160" w:right="140"/>
        <w:spacing w:after="0" w:line="235" w:lineRule="auto"/>
        <w:rPr>
          <w:sz w:val="20"/>
          <w:szCs w:val="20"/>
          <w:color w:val="auto"/>
        </w:rPr>
      </w:pPr>
      <w:r>
        <w:rPr>
          <w:rFonts w:ascii="Arial" w:cs="Arial" w:eastAsia="Arial" w:hAnsi="Arial"/>
          <w:sz w:val="17"/>
          <w:szCs w:val="17"/>
          <w:b w:val="1"/>
          <w:bCs w:val="1"/>
          <w:i w:val="1"/>
          <w:iCs w:val="1"/>
          <w:color w:val="auto"/>
        </w:rPr>
        <w:t xml:space="preserve">Patrick Enright </w:t>
      </w:r>
      <w:r>
        <w:rPr>
          <w:rFonts w:ascii="Arial" w:cs="Arial" w:eastAsia="Arial" w:hAnsi="Arial"/>
          <w:sz w:val="17"/>
          <w:szCs w:val="17"/>
          <w:color w:val="auto"/>
        </w:rPr>
        <w:t>has served on our board of directors since October 2020. Since July 2007, Mr. Enright has served as a Managing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Longitude Capital, a venture capital firm, of which he is a founder. From 2002 through 2006, Mr. Enright was a Managing Director of Pequot Ventures, a venture capital investment firm, where he co-led the life sciences investment practice. Mr. Enright currently serves on the boards of Aptinyx Inc. (APTX), Jazz Pharmaceuticals plc (JAZZ) and other private companies as well as the National Venture Capital Association (NVCA). Selected prior board memberships include Aimmune Therapeutics, Inc. (AIMT, acquired by Nestlé), Esperion Therapeutics, Inc. (ESPR) and Vaxcyte (PCVX). Mr. Enright received a B.S. in Biological Sciences from Stanford University and an M.B.A. from the Wharton School of the University of Pennsylvania. We believe that Mr. Enright is qualified to serve on our board of directors due to his experience serving on the board of directors of clinical-stage biotechnology companies and his investment experience in the life sciences industry.</w:t>
      </w:r>
    </w:p>
    <w:p>
      <w:pPr>
        <w:spacing w:after="0" w:line="127"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b w:val="1"/>
          <w:bCs w:val="1"/>
          <w:i w:val="1"/>
          <w:iCs w:val="1"/>
          <w:color w:val="auto"/>
        </w:rPr>
        <w:t xml:space="preserve">Scott Morrison </w:t>
      </w:r>
      <w:r>
        <w:rPr>
          <w:rFonts w:ascii="Arial" w:cs="Arial" w:eastAsia="Arial" w:hAnsi="Arial"/>
          <w:sz w:val="17"/>
          <w:szCs w:val="17"/>
          <w:color w:val="auto"/>
        </w:rPr>
        <w:t>has served on our board of directors since April 2020. From 1996 to December 2015, Mr. Morrison was a partner with Ernst &amp;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Young LLP, a public accounting firm, where he also served as U.S. Life Sciences Leader from 2002 to December 2015. Mr. Morrison has served on the board of directors of Corvus Pharmaceuticals Inc., a biopharmaceutical company, since December 2015, IDEAYA Biosciences, Inc., a biotechnology company, since July 2018, Audentes Therapeutics, Inc., a biotechnology company, from December 2015 through its sale to Astellas Pharma Inc. on January 15, 2021, Global Blood Therapeutics, Inc., a biopharmaceutical company, since December 2015, and Escape Bio, Inc., a biotechnology company, since October 2020. Mr. Morrison has also held roles on the boards of directors of numerous other life sciences industry organizations. Mr. Morrison has previously served on the boards of directors of the Life Sciences Foundation, the California Life Sciences Association, the Biotech Institute and the Emerging Companies Section of the Biotechnology Innovation Organization. He holds a B.S. in Business Administration from the University of California, Berkeley and is a certified public accountant (inactive). Our board of directors believes that Mr. Morrison’s 40 years of experience serving life sciences companies and in public accounting as well as many years of governance experience qualifies him to serve on our board of directors.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Family Relationships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There are no family relationships among any of our executive officers or directors.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77" w:lineRule="exact"/>
        <w:rPr>
          <w:sz w:val="20"/>
          <w:szCs w:val="20"/>
          <w:color w:val="auto"/>
        </w:rPr>
      </w:pPr>
    </w:p>
    <w:p>
      <w:pPr>
        <w:ind w:left="160" w:right="460"/>
        <w:spacing w:after="0" w:line="236" w:lineRule="auto"/>
        <w:rPr>
          <w:sz w:val="20"/>
          <w:szCs w:val="20"/>
          <w:color w:val="auto"/>
        </w:rPr>
      </w:pPr>
      <w:r>
        <w:rPr>
          <w:rFonts w:ascii="Arial" w:cs="Arial" w:eastAsia="Arial" w:hAnsi="Arial"/>
          <w:sz w:val="17"/>
          <w:szCs w:val="17"/>
          <w:color w:val="auto"/>
        </w:rPr>
        <w:t>Our business and affairs are organized under the direction of our board of directors, which currently consists of seven members with no vacancies. The primary responsibilities of our board of directors are to provide oversight, strategic guidance, counseling and direction to our management. Our board of directors meets on a regular basis and additionally as required.</w:t>
      </w:r>
    </w:p>
    <w:p>
      <w:pPr>
        <w:spacing w:after="0" w:line="146" w:lineRule="exact"/>
        <w:rPr>
          <w:sz w:val="20"/>
          <w:szCs w:val="20"/>
          <w:color w:val="auto"/>
        </w:rPr>
      </w:pPr>
    </w:p>
    <w:p>
      <w:pPr>
        <w:ind w:left="160" w:right="360"/>
        <w:spacing w:after="0" w:line="234" w:lineRule="auto"/>
        <w:rPr>
          <w:sz w:val="20"/>
          <w:szCs w:val="20"/>
          <w:color w:val="auto"/>
        </w:rPr>
      </w:pPr>
      <w:r>
        <w:rPr>
          <w:rFonts w:ascii="Arial" w:cs="Arial" w:eastAsia="Arial" w:hAnsi="Arial"/>
          <w:sz w:val="17"/>
          <w:szCs w:val="17"/>
          <w:color w:val="auto"/>
        </w:rPr>
        <w:t>Certain members of our board of directors were elected under the provisions of our Amended and Restated Voting Agreement entered into in October 2020 (Voting Agreement), which will terminate upon the closing of this offering. Under the terms of our Voting Agreement, the stockholders who are party to the Voting Agreement have agreed to vote their respective shares to elect: (i) one director designated by Abingworth Bioventures 8 LP, currently Mr. von</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060"/>
          </w:cols>
          <w:pgMar w:left="320" w:top="456"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60"/>
        <w:spacing w:after="0" w:line="232" w:lineRule="auto"/>
        <w:rPr>
          <w:sz w:val="20"/>
          <w:szCs w:val="20"/>
          <w:color w:val="auto"/>
        </w:rPr>
      </w:pPr>
      <w:r>
        <w:rPr>
          <w:rFonts w:ascii="Arial" w:cs="Arial" w:eastAsia="Arial" w:hAnsi="Arial"/>
          <w:sz w:val="17"/>
          <w:szCs w:val="17"/>
          <w:color w:val="auto"/>
        </w:rPr>
        <w:t>Emster; (ii) one director designated by Sofinnova Venture Partners X, L.P., currently Dr. Katabi, Ph.D.; (iii) one director designated by Longitude Venture Partners IV, L.P., currently Mr. Enright; (iv) one director designated by the holders of our Class A common stock, who shall be our then-current Chief Executive Officer, currently Dr. Fordyce, M.D.; and (v) three directors designated by a majority of the other members of the board of directors, currently Dr. Cheng, M.D., Ph.D., Dr. Seidenberg, M.D. and Mr. Morrison. The Voting Agreement will terminate upon the closing of this offering, and upon the closing of the offering no stockholder will have any special rights regarding the election or designation of the members of our board of directors. Our current directors elected to our board of directors pursuant to the Voting Agreement will continue to serve as directors until their successors are duly elected and qualified by holders of our Class A common stock.</w:t>
      </w:r>
    </w:p>
    <w:p>
      <w:pPr>
        <w:spacing w:after="0" w:line="148"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Our board of directors may establish the authorized number of directors from time to time by resolution. In accordance with our amended and restated certificate of incorporation to be filed in connection with this offering, 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27" w:lineRule="exact"/>
        <w:rPr>
          <w:sz w:val="20"/>
          <w:szCs w:val="20"/>
          <w:color w:val="auto"/>
        </w:rPr>
      </w:pPr>
    </w:p>
    <w:p>
      <w:pPr>
        <w:ind w:left="1020" w:right="820" w:hanging="425"/>
        <w:spacing w:after="0" w:line="239" w:lineRule="auto"/>
        <w:tabs>
          <w:tab w:leader="none" w:pos="1020" w:val="left"/>
        </w:tabs>
        <w:numPr>
          <w:ilvl w:val="0"/>
          <w:numId w:val="76"/>
        </w:numPr>
        <w:rPr>
          <w:rFonts w:ascii="MS PGothic" w:cs="MS PGothic" w:eastAsia="MS PGothic" w:hAnsi="MS PGothic"/>
          <w:sz w:val="12"/>
          <w:szCs w:val="12"/>
          <w:color w:val="auto"/>
        </w:rPr>
      </w:pPr>
      <w:r>
        <w:rPr>
          <w:rFonts w:ascii="Arial" w:cs="Arial" w:eastAsia="Arial" w:hAnsi="Arial"/>
          <w:sz w:val="17"/>
          <w:szCs w:val="17"/>
          <w:color w:val="auto"/>
        </w:rPr>
        <w:t>the Class I directors will be Dr. Fordyce, M.D. and Dr. Seidenberg, M.D., and their terms will expire at the annual meeting of stockholders to be held in 2022;</w:t>
      </w:r>
    </w:p>
    <w:p>
      <w:pPr>
        <w:spacing w:after="0" w:line="25" w:lineRule="exact"/>
        <w:rPr>
          <w:rFonts w:ascii="MS PGothic" w:cs="MS PGothic" w:eastAsia="MS PGothic" w:hAnsi="MS PGothic"/>
          <w:sz w:val="12"/>
          <w:szCs w:val="12"/>
          <w:color w:val="auto"/>
        </w:rPr>
      </w:pPr>
    </w:p>
    <w:p>
      <w:pPr>
        <w:ind w:left="1020" w:right="380" w:hanging="425"/>
        <w:spacing w:after="0" w:line="239" w:lineRule="auto"/>
        <w:tabs>
          <w:tab w:leader="none" w:pos="1020" w:val="left"/>
        </w:tabs>
        <w:numPr>
          <w:ilvl w:val="0"/>
          <w:numId w:val="76"/>
        </w:numPr>
        <w:rPr>
          <w:rFonts w:ascii="MS PGothic" w:cs="MS PGothic" w:eastAsia="MS PGothic" w:hAnsi="MS PGothic"/>
          <w:sz w:val="12"/>
          <w:szCs w:val="12"/>
          <w:color w:val="auto"/>
        </w:rPr>
      </w:pPr>
      <w:r>
        <w:rPr>
          <w:rFonts w:ascii="Arial" w:cs="Arial" w:eastAsia="Arial" w:hAnsi="Arial"/>
          <w:sz w:val="17"/>
          <w:szCs w:val="17"/>
          <w:color w:val="auto"/>
        </w:rPr>
        <w:t>the Class II directors will be Mr. von Emster, Dr. Katabi Ph.D., and Mr. Enright, and their terms will expire at the annual meeting of stockholders to be held in 2023; and</w:t>
      </w:r>
    </w:p>
    <w:p>
      <w:pPr>
        <w:spacing w:after="0" w:line="25" w:lineRule="exact"/>
        <w:rPr>
          <w:rFonts w:ascii="MS PGothic" w:cs="MS PGothic" w:eastAsia="MS PGothic" w:hAnsi="MS PGothic"/>
          <w:sz w:val="12"/>
          <w:szCs w:val="12"/>
          <w:color w:val="auto"/>
        </w:rPr>
      </w:pPr>
    </w:p>
    <w:p>
      <w:pPr>
        <w:ind w:left="1020" w:hanging="425"/>
        <w:spacing w:after="0" w:line="239" w:lineRule="auto"/>
        <w:tabs>
          <w:tab w:leader="none" w:pos="1020" w:val="left"/>
        </w:tabs>
        <w:numPr>
          <w:ilvl w:val="0"/>
          <w:numId w:val="76"/>
        </w:numPr>
        <w:rPr>
          <w:rFonts w:ascii="MS PGothic" w:cs="MS PGothic" w:eastAsia="MS PGothic" w:hAnsi="MS PGothic"/>
          <w:sz w:val="12"/>
          <w:szCs w:val="12"/>
          <w:color w:val="auto"/>
        </w:rPr>
      </w:pPr>
      <w:r>
        <w:rPr>
          <w:rFonts w:ascii="Arial" w:cs="Arial" w:eastAsia="Arial" w:hAnsi="Arial"/>
          <w:sz w:val="17"/>
          <w:szCs w:val="17"/>
          <w:color w:val="auto"/>
        </w:rPr>
        <w:t>the Class III directors will be Dr. Cheng M.D., Ph.D. and Mr. Morrison, and their terms will expire at the annual meeting of stockholders to be held in 2024.</w:t>
      </w:r>
    </w:p>
    <w:p>
      <w:pPr>
        <w:spacing w:after="0" w:line="146" w:lineRule="exact"/>
        <w:rPr>
          <w:sz w:val="20"/>
          <w:szCs w:val="20"/>
          <w:color w:val="auto"/>
        </w:rPr>
      </w:pPr>
    </w:p>
    <w:p>
      <w:pPr>
        <w:ind w:left="160" w:right="240"/>
        <w:spacing w:after="0" w:line="236" w:lineRule="auto"/>
        <w:rPr>
          <w:sz w:val="20"/>
          <w:szCs w:val="20"/>
          <w:color w:val="auto"/>
        </w:rPr>
      </w:pPr>
      <w:r>
        <w:rPr>
          <w:rFonts w:ascii="Arial" w:cs="Arial" w:eastAsia="Arial" w:hAnsi="Arial"/>
          <w:sz w:val="17"/>
          <w:szCs w:val="17"/>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 Independence</w:t>
      </w:r>
    </w:p>
    <w:p>
      <w:pPr>
        <w:spacing w:after="0" w:line="91" w:lineRule="exact"/>
        <w:rPr>
          <w:sz w:val="20"/>
          <w:szCs w:val="20"/>
          <w:color w:val="auto"/>
        </w:rPr>
      </w:pPr>
    </w:p>
    <w:p>
      <w:pPr>
        <w:ind w:left="160" w:right="580"/>
        <w:spacing w:after="0" w:line="239" w:lineRule="auto"/>
        <w:rPr>
          <w:sz w:val="20"/>
          <w:szCs w:val="20"/>
          <w:color w:val="auto"/>
        </w:rPr>
      </w:pPr>
      <w:r>
        <w:rPr>
          <w:rFonts w:ascii="Arial" w:cs="Arial" w:eastAsia="Arial" w:hAnsi="Arial"/>
          <w:sz w:val="17"/>
          <w:szCs w:val="17"/>
          <w:color w:val="auto"/>
        </w:rPr>
        <w:t>Under the listing requirements and rules of The Nasdaq Stock Market LLC (Nasdaq Listing Rules), independent directors must comprise a majority of our board of directors as a listed company within one year of the listing date.</w:t>
      </w:r>
    </w:p>
    <w:p>
      <w:pPr>
        <w:spacing w:after="0" w:line="146"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 her or his background, employment and affiliations, including family relationships, our board of directors has determined that Dr. Cheng, M.D., Ph.D., Dr. Seidenberg, M.D., Mr. von Emster, Dr. Katabi, Ph.D., Mr. Enright, and Mr. Morrison do not have relationships that would interfere with the exercise of independent judgment in carrying out the responsibilities of a director and that each of these directors is “independent” as that term is defined under the Nasdaq Listing Rules. Our board of directors has determined that Dr. Fordyce, by virtue of his position as our President and Chief Executive Officer, is not independent under applicable rules and regulations of the U.S. Securities and Exchange Commission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Person Transactions.”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77" w:lineRule="exact"/>
        <w:rPr>
          <w:sz w:val="20"/>
          <w:szCs w:val="20"/>
          <w:color w:val="auto"/>
        </w:rPr>
      </w:pPr>
    </w:p>
    <w:p>
      <w:pPr>
        <w:ind w:left="160" w:right="60"/>
        <w:spacing w:after="0" w:line="232"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has adopted a written charter that satisfies the application rules and regulation of the SEC and the Nasdaq Listing Rules, which we will post to our website at www.veratx.com upon the closing of this offering. Information contained on, or accessible through, our website is not a part of this prospectus, and the inclusion of our website address in this prospectus is only an inactive textual reference. Our board of directors may establish other committees as it deems necessary or appropriate from time to time.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060"/>
          </w:cols>
          <w:pgMar w:left="320" w:top="456" w:right="5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52"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auto"/>
        </w:rPr>
        <w:t>Our audit committee currently consists of Mr. Morrison, Mr. von Emster and Dr. Seidenberg M.D., each of whom our board of directors has determined satisfies the independence requirements under the Nasdaq Listing Rules and Rule 10A-3(b)(1) of the Securities Exchange Act of 1934, as amended (Exchange Act). With respect to Mr. von Emster specifically, our board of directors has determined that he is independent even though he falls outside the “safe harbor” definition set forth in Rule 10A- 3(e)(1)(ii) under the Exchange Act. Mr. von Emster has not accepted directly or indirectly any consulting, advisory or other compensatory fee from us, and while he is a Managing Partner of Abingworth LLP, he shares, but does not control, voting and investment power over the shares held by Abingworth Bioventures 8 LP, which is an affiliate of Abingworth LLP and owns in excess of 10% of our outstanding common stock prior to this offering. As a result of this facts and circumstances analysis, our board of directors has determined in good faith that Mr. von Emster is not an “affiliated person” of us who would fail to satisfy the applicable independence requirements for audit committee members. The chair of our audit committee is Mr. Morrison,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w:t>
      </w:r>
    </w:p>
    <w:p>
      <w:pPr>
        <w:spacing w:after="0" w:line="144" w:lineRule="exact"/>
        <w:rPr>
          <w:sz w:val="20"/>
          <w:szCs w:val="20"/>
          <w:color w:val="auto"/>
        </w:rPr>
      </w:pPr>
    </w:p>
    <w:p>
      <w:pPr>
        <w:ind w:left="160" w:right="160"/>
        <w:spacing w:after="0" w:line="236" w:lineRule="auto"/>
        <w:rPr>
          <w:sz w:val="20"/>
          <w:szCs w:val="20"/>
          <w:color w:val="auto"/>
        </w:rPr>
      </w:pPr>
      <w:r>
        <w:rPr>
          <w:rFonts w:ascii="Arial" w:cs="Arial" w:eastAsia="Arial" w:hAnsi="Arial"/>
          <w:sz w:val="17"/>
          <w:szCs w:val="17"/>
          <w:color w:val="auto"/>
        </w:rPr>
        <w:t>The primary purpose of the audit committee is to discharge the responsibilities of our board of directors with respect to our corporate accounting and financial reporting processes, systems of internal control and financial-statement audits, and to oversee our independent registered accounting firm. Specific responsibilities of our audit committee include:</w:t>
      </w:r>
    </w:p>
    <w:p>
      <w:pPr>
        <w:spacing w:after="0" w:line="186" w:lineRule="exact"/>
        <w:rPr>
          <w:sz w:val="20"/>
          <w:szCs w:val="20"/>
          <w:color w:val="auto"/>
        </w:rPr>
      </w:pPr>
    </w:p>
    <w:p>
      <w:pPr>
        <w:ind w:left="1020" w:hanging="425"/>
        <w:spacing w:after="0"/>
        <w:tabs>
          <w:tab w:leader="none" w:pos="1020" w:val="left"/>
        </w:tabs>
        <w:numPr>
          <w:ilvl w:val="0"/>
          <w:numId w:val="77"/>
        </w:numPr>
        <w:rPr>
          <w:rFonts w:ascii="MS PGothic" w:cs="MS PGothic" w:eastAsia="MS PGothic" w:hAnsi="MS PGothic"/>
          <w:sz w:val="12"/>
          <w:szCs w:val="12"/>
          <w:color w:val="auto"/>
        </w:rPr>
      </w:pPr>
      <w:r>
        <w:rPr>
          <w:rFonts w:ascii="Arial" w:cs="Arial" w:eastAsia="Arial" w:hAnsi="Arial"/>
          <w:sz w:val="17"/>
          <w:szCs w:val="17"/>
          <w:color w:val="auto"/>
        </w:rPr>
        <w:t>helping our board of directors oversee our corporate accounting and financial reporting processes;</w:t>
      </w:r>
    </w:p>
    <w:p>
      <w:pPr>
        <w:spacing w:after="0" w:line="31" w:lineRule="exact"/>
        <w:rPr>
          <w:rFonts w:ascii="MS PGothic" w:cs="MS PGothic" w:eastAsia="MS PGothic" w:hAnsi="MS PGothic"/>
          <w:sz w:val="12"/>
          <w:szCs w:val="12"/>
          <w:color w:val="auto"/>
        </w:rPr>
      </w:pPr>
    </w:p>
    <w:p>
      <w:pPr>
        <w:ind w:left="1020" w:right="260" w:hanging="425"/>
        <w:spacing w:after="0" w:line="239" w:lineRule="auto"/>
        <w:tabs>
          <w:tab w:leader="none" w:pos="1020" w:val="left"/>
        </w:tabs>
        <w:numPr>
          <w:ilvl w:val="0"/>
          <w:numId w:val="77"/>
        </w:numPr>
        <w:rPr>
          <w:rFonts w:ascii="MS PGothic" w:cs="MS PGothic" w:eastAsia="MS PGothic" w:hAnsi="MS PGothic"/>
          <w:sz w:val="12"/>
          <w:szCs w:val="12"/>
          <w:color w:val="auto"/>
        </w:rPr>
      </w:pPr>
      <w:r>
        <w:rPr>
          <w:rFonts w:ascii="Arial" w:cs="Arial" w:eastAsia="Arial" w:hAnsi="Arial"/>
          <w:sz w:val="17"/>
          <w:szCs w:val="17"/>
          <w:color w:val="auto"/>
        </w:rPr>
        <w:t>managing the selection, engagement, qualifications, independence and performance of a qualified firm to serve as the independent registered public accounting firm to audit our financial statements;</w:t>
      </w:r>
    </w:p>
    <w:p>
      <w:pPr>
        <w:spacing w:after="0" w:line="25" w:lineRule="exact"/>
        <w:rPr>
          <w:rFonts w:ascii="MS PGothic" w:cs="MS PGothic" w:eastAsia="MS PGothic" w:hAnsi="MS PGothic"/>
          <w:sz w:val="12"/>
          <w:szCs w:val="12"/>
          <w:color w:val="auto"/>
        </w:rPr>
      </w:pPr>
    </w:p>
    <w:p>
      <w:pPr>
        <w:ind w:left="1020" w:right="60" w:hanging="425"/>
        <w:spacing w:after="0" w:line="239" w:lineRule="auto"/>
        <w:tabs>
          <w:tab w:leader="none" w:pos="1020" w:val="left"/>
        </w:tabs>
        <w:numPr>
          <w:ilvl w:val="0"/>
          <w:numId w:val="77"/>
        </w:numPr>
        <w:rPr>
          <w:rFonts w:ascii="MS PGothic" w:cs="MS PGothic" w:eastAsia="MS PGothic" w:hAnsi="MS PGothic"/>
          <w:sz w:val="12"/>
          <w:szCs w:val="12"/>
          <w:color w:val="auto"/>
        </w:rPr>
      </w:pPr>
      <w:r>
        <w:rPr>
          <w:rFonts w:ascii="Arial" w:cs="Arial" w:eastAsia="Arial" w:hAnsi="Arial"/>
          <w:sz w:val="17"/>
          <w:szCs w:val="17"/>
          <w:color w:val="auto"/>
        </w:rPr>
        <w:t>discussing the scope and results of the audit with the independent registered public accounting firm, and reviewing, with management and the independent accountants, our interim and year-end operating results;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77"/>
        </w:numPr>
        <w:rPr>
          <w:rFonts w:ascii="MS PGothic" w:cs="MS PGothic" w:eastAsia="MS PGothic" w:hAnsi="MS PGothic"/>
          <w:sz w:val="12"/>
          <w:szCs w:val="12"/>
          <w:color w:val="auto"/>
        </w:rPr>
      </w:pPr>
      <w:r>
        <w:rPr>
          <w:rFonts w:ascii="Arial" w:cs="Arial" w:eastAsia="Arial" w:hAnsi="Arial"/>
          <w:sz w:val="17"/>
          <w:szCs w:val="17"/>
          <w:color w:val="auto"/>
        </w:rPr>
        <w:t>developing procedures for employees to submit concerns anonymously about questionable accounting or audit matters;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77"/>
        </w:numPr>
        <w:rPr>
          <w:rFonts w:ascii="MS PGothic" w:cs="MS PGothic" w:eastAsia="MS PGothic" w:hAnsi="MS PGothic"/>
          <w:sz w:val="12"/>
          <w:szCs w:val="12"/>
          <w:color w:val="auto"/>
        </w:rPr>
      </w:pPr>
      <w:r>
        <w:rPr>
          <w:rFonts w:ascii="Arial" w:cs="Arial" w:eastAsia="Arial" w:hAnsi="Arial"/>
          <w:sz w:val="17"/>
          <w:szCs w:val="17"/>
          <w:color w:val="auto"/>
        </w:rPr>
        <w:t>monitoring and assessing, and overseeing the reporting of, any material cybersecurity breaches and associated risks;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77"/>
        </w:numPr>
        <w:rPr>
          <w:rFonts w:ascii="MS PGothic" w:cs="MS PGothic" w:eastAsia="MS PGothic" w:hAnsi="MS PGothic"/>
          <w:sz w:val="12"/>
          <w:szCs w:val="12"/>
          <w:color w:val="auto"/>
        </w:rPr>
      </w:pPr>
      <w:r>
        <w:rPr>
          <w:rFonts w:ascii="Arial" w:cs="Arial" w:eastAsia="Arial" w:hAnsi="Arial"/>
          <w:sz w:val="17"/>
          <w:szCs w:val="17"/>
          <w:color w:val="auto"/>
        </w:rPr>
        <w:t>reviewing related person transactions;</w:t>
      </w:r>
    </w:p>
    <w:p>
      <w:pPr>
        <w:spacing w:after="0" w:line="31" w:lineRule="exact"/>
        <w:rPr>
          <w:rFonts w:ascii="MS PGothic" w:cs="MS PGothic" w:eastAsia="MS PGothic" w:hAnsi="MS PGothic"/>
          <w:sz w:val="12"/>
          <w:szCs w:val="12"/>
          <w:color w:val="auto"/>
        </w:rPr>
      </w:pPr>
    </w:p>
    <w:p>
      <w:pPr>
        <w:ind w:left="1020" w:right="140" w:hanging="425"/>
        <w:spacing w:after="0" w:line="236" w:lineRule="auto"/>
        <w:tabs>
          <w:tab w:leader="none" w:pos="1020" w:val="left"/>
        </w:tabs>
        <w:numPr>
          <w:ilvl w:val="0"/>
          <w:numId w:val="77"/>
        </w:numPr>
        <w:rPr>
          <w:rFonts w:ascii="MS PGothic" w:cs="MS PGothic" w:eastAsia="MS PGothic" w:hAnsi="MS PGothic"/>
          <w:sz w:val="12"/>
          <w:szCs w:val="12"/>
          <w:color w:val="auto"/>
        </w:rPr>
      </w:pPr>
      <w:r>
        <w:rPr>
          <w:rFonts w:ascii="Arial" w:cs="Arial" w:eastAsia="Arial" w:hAnsi="Arial"/>
          <w:sz w:val="17"/>
          <w:szCs w:val="17"/>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25" w:lineRule="exact"/>
        <w:rPr>
          <w:rFonts w:ascii="MS PGothic" w:cs="MS PGothic" w:eastAsia="MS PGothic" w:hAnsi="MS PGothic"/>
          <w:sz w:val="12"/>
          <w:szCs w:val="12"/>
          <w:color w:val="auto"/>
        </w:rPr>
      </w:pPr>
    </w:p>
    <w:p>
      <w:pPr>
        <w:ind w:left="1020" w:right="280" w:hanging="425"/>
        <w:spacing w:after="0" w:line="239" w:lineRule="auto"/>
        <w:tabs>
          <w:tab w:leader="none" w:pos="1020" w:val="left"/>
        </w:tabs>
        <w:numPr>
          <w:ilvl w:val="0"/>
          <w:numId w:val="77"/>
        </w:numPr>
        <w:rPr>
          <w:rFonts w:ascii="MS PGothic" w:cs="MS PGothic" w:eastAsia="MS PGothic" w:hAnsi="MS PGothic"/>
          <w:sz w:val="12"/>
          <w:szCs w:val="12"/>
          <w:color w:val="auto"/>
        </w:rPr>
      </w:pPr>
      <w:r>
        <w:rPr>
          <w:rFonts w:ascii="Arial" w:cs="Arial" w:eastAsia="Arial" w:hAnsi="Arial"/>
          <w:sz w:val="17"/>
          <w:szCs w:val="17"/>
          <w:color w:val="auto"/>
        </w:rPr>
        <w:t>approving, or, as permitted, pre-approving, audit and permissible non-audit services to be performed by the independent registered public accounting firm.</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52" w:lineRule="exact"/>
        <w:rPr>
          <w:sz w:val="20"/>
          <w:szCs w:val="20"/>
          <w:color w:val="auto"/>
        </w:rPr>
      </w:pPr>
    </w:p>
    <w:p>
      <w:pPr>
        <w:jc w:val="both"/>
        <w:ind w:left="160" w:right="420"/>
        <w:spacing w:after="0" w:line="256" w:lineRule="auto"/>
        <w:rPr>
          <w:sz w:val="20"/>
          <w:szCs w:val="20"/>
          <w:color w:val="auto"/>
        </w:rPr>
      </w:pPr>
      <w:r>
        <w:rPr>
          <w:rFonts w:ascii="Arial" w:cs="Arial" w:eastAsia="Arial" w:hAnsi="Arial"/>
          <w:sz w:val="16"/>
          <w:szCs w:val="16"/>
          <w:color w:val="auto"/>
        </w:rPr>
        <w:t>Our compensation committee currently consists of Mr. Enright, Dr. Katabi, Ph.D., and Dr. Cheng, M.D., Ph.D. The chair of our compensation committee is Mr. Enright. Our board of directors has determined that each member of the compensation committee is independent under the Nasdaq Listing Rules and as a “non-employee director” as defined in Rule 16b-3 promulgated under the Exchange Act.</w:t>
      </w:r>
    </w:p>
    <w:p>
      <w:pPr>
        <w:spacing w:after="0" w:line="133" w:lineRule="exact"/>
        <w:rPr>
          <w:sz w:val="20"/>
          <w:szCs w:val="20"/>
          <w:color w:val="auto"/>
        </w:rPr>
      </w:pPr>
    </w:p>
    <w:p>
      <w:pPr>
        <w:ind w:left="160" w:right="80"/>
        <w:spacing w:after="0" w:line="236" w:lineRule="auto"/>
        <w:rPr>
          <w:sz w:val="20"/>
          <w:szCs w:val="20"/>
          <w:color w:val="auto"/>
        </w:rPr>
      </w:pPr>
      <w:r>
        <w:rPr>
          <w:rFonts w:ascii="Arial" w:cs="Arial" w:eastAsia="Arial" w:hAnsi="Arial"/>
          <w:sz w:val="17"/>
          <w:szCs w:val="17"/>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86" w:lineRule="exact"/>
        <w:rPr>
          <w:sz w:val="20"/>
          <w:szCs w:val="20"/>
          <w:color w:val="auto"/>
        </w:rPr>
      </w:pPr>
    </w:p>
    <w:p>
      <w:pPr>
        <w:ind w:left="1020" w:right="620" w:hanging="425"/>
        <w:spacing w:after="0" w:line="239" w:lineRule="auto"/>
        <w:tabs>
          <w:tab w:leader="none" w:pos="1020" w:val="left"/>
        </w:tabs>
        <w:numPr>
          <w:ilvl w:val="0"/>
          <w:numId w:val="78"/>
        </w:numPr>
        <w:rPr>
          <w:rFonts w:ascii="MS PGothic" w:cs="MS PGothic" w:eastAsia="MS PGothic" w:hAnsi="MS PGothic"/>
          <w:sz w:val="12"/>
          <w:szCs w:val="12"/>
          <w:color w:val="auto"/>
        </w:rPr>
      </w:pPr>
      <w:r>
        <w:rPr>
          <w:rFonts w:ascii="Arial" w:cs="Arial" w:eastAsia="Arial" w:hAnsi="Arial"/>
          <w:sz w:val="17"/>
          <w:szCs w:val="17"/>
          <w:color w:val="auto"/>
        </w:rPr>
        <w:t>reviewing and approving the compensation of our chief executive officer, other executive officers and senior management, and overseeing the development and performance of our officers and our succession planning;</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78"/>
        </w:numPr>
        <w:rPr>
          <w:rFonts w:ascii="MS PGothic" w:cs="MS PGothic" w:eastAsia="MS PGothic" w:hAnsi="MS PGothic"/>
          <w:sz w:val="12"/>
          <w:szCs w:val="12"/>
          <w:color w:val="auto"/>
        </w:rPr>
      </w:pPr>
      <w:r>
        <w:rPr>
          <w:rFonts w:ascii="Arial" w:cs="Arial" w:eastAsia="Arial" w:hAnsi="Arial"/>
          <w:sz w:val="17"/>
          <w:szCs w:val="17"/>
          <w:color w:val="auto"/>
        </w:rPr>
        <w:t>reviewing and recommending to our board of directors the compensation paid to our directors;</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080"/>
          </w:cols>
          <w:pgMar w:left="320" w:top="456"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020" w:hanging="425"/>
        <w:spacing w:after="0"/>
        <w:tabs>
          <w:tab w:leader="none" w:pos="1020" w:val="left"/>
        </w:tabs>
        <w:numPr>
          <w:ilvl w:val="0"/>
          <w:numId w:val="79"/>
        </w:numPr>
        <w:rPr>
          <w:rFonts w:ascii="MS PGothic" w:cs="MS PGothic" w:eastAsia="MS PGothic" w:hAnsi="MS PGothic"/>
          <w:sz w:val="12"/>
          <w:szCs w:val="12"/>
          <w:color w:val="auto"/>
        </w:rPr>
      </w:pPr>
      <w:r>
        <w:rPr>
          <w:rFonts w:ascii="Arial" w:cs="Arial" w:eastAsia="Arial" w:hAnsi="Arial"/>
          <w:sz w:val="17"/>
          <w:szCs w:val="17"/>
          <w:color w:val="auto"/>
        </w:rPr>
        <w:t>reviewing employee diversity and inclusion initiatives;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79"/>
        </w:numPr>
        <w:rPr>
          <w:rFonts w:ascii="MS PGothic" w:cs="MS PGothic" w:eastAsia="MS PGothic" w:hAnsi="MS PGothic"/>
          <w:sz w:val="12"/>
          <w:szCs w:val="12"/>
          <w:color w:val="auto"/>
        </w:rPr>
      </w:pPr>
      <w:r>
        <w:rPr>
          <w:rFonts w:ascii="Arial" w:cs="Arial" w:eastAsia="Arial" w:hAnsi="Arial"/>
          <w:sz w:val="17"/>
          <w:szCs w:val="17"/>
          <w:color w:val="auto"/>
        </w:rPr>
        <w:t>reviewing and approving the compensation arrangements with our executive officers and other senior management;</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79"/>
        </w:numPr>
        <w:rPr>
          <w:rFonts w:ascii="MS PGothic" w:cs="MS PGothic" w:eastAsia="MS PGothic" w:hAnsi="MS PGothic"/>
          <w:sz w:val="12"/>
          <w:szCs w:val="12"/>
          <w:color w:val="auto"/>
        </w:rPr>
      </w:pPr>
      <w:r>
        <w:rPr>
          <w:rFonts w:ascii="Arial" w:cs="Arial" w:eastAsia="Arial" w:hAnsi="Arial"/>
          <w:sz w:val="17"/>
          <w:szCs w:val="17"/>
          <w:color w:val="auto"/>
        </w:rPr>
        <w:t>administering our equity incentive plans and other benefit programs;</w:t>
      </w:r>
    </w:p>
    <w:p>
      <w:pPr>
        <w:spacing w:after="0" w:line="31" w:lineRule="exact"/>
        <w:rPr>
          <w:rFonts w:ascii="MS PGothic" w:cs="MS PGothic" w:eastAsia="MS PGothic" w:hAnsi="MS PGothic"/>
          <w:sz w:val="12"/>
          <w:szCs w:val="12"/>
          <w:color w:val="auto"/>
        </w:rPr>
      </w:pPr>
    </w:p>
    <w:p>
      <w:pPr>
        <w:ind w:left="1020" w:hanging="425"/>
        <w:spacing w:after="0" w:line="239" w:lineRule="auto"/>
        <w:tabs>
          <w:tab w:leader="none" w:pos="1020" w:val="left"/>
        </w:tabs>
        <w:numPr>
          <w:ilvl w:val="0"/>
          <w:numId w:val="79"/>
        </w:numPr>
        <w:rPr>
          <w:rFonts w:ascii="MS PGothic" w:cs="MS PGothic" w:eastAsia="MS PGothic" w:hAnsi="MS PGothic"/>
          <w:sz w:val="12"/>
          <w:szCs w:val="12"/>
          <w:color w:val="auto"/>
        </w:rPr>
      </w:pPr>
      <w:r>
        <w:rPr>
          <w:rFonts w:ascii="Arial" w:cs="Arial" w:eastAsia="Arial" w:hAnsi="Arial"/>
          <w:sz w:val="17"/>
          <w:szCs w:val="17"/>
          <w:color w:val="auto"/>
        </w:rPr>
        <w:t>reviewing, adopting, amending and terminating, incentive compensation and equity plans, severance agreements, profit sharing plans, bonus plans and any other compensatory arrangements for our executive officers and other senior management;</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79"/>
        </w:numPr>
        <w:rPr>
          <w:rFonts w:ascii="MS PGothic" w:cs="MS PGothic" w:eastAsia="MS PGothic" w:hAnsi="MS PGothic"/>
          <w:sz w:val="12"/>
          <w:szCs w:val="12"/>
          <w:color w:val="auto"/>
        </w:rPr>
      </w:pPr>
      <w:r>
        <w:rPr>
          <w:rFonts w:ascii="Arial" w:cs="Arial" w:eastAsia="Arial" w:hAnsi="Arial"/>
          <w:sz w:val="17"/>
          <w:szCs w:val="17"/>
          <w:color w:val="auto"/>
        </w:rPr>
        <w:t>reviewing, evaluating and recommending to our board of directors succession plans for our executive officers; and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79"/>
        </w:numPr>
        <w:rPr>
          <w:rFonts w:ascii="MS PGothic" w:cs="MS PGothic" w:eastAsia="MS PGothic" w:hAnsi="MS PGothic"/>
          <w:sz w:val="12"/>
          <w:szCs w:val="12"/>
          <w:color w:val="auto"/>
        </w:rPr>
      </w:pPr>
      <w:r>
        <w:rPr>
          <w:rFonts w:ascii="Arial" w:cs="Arial" w:eastAsia="Arial" w:hAnsi="Arial"/>
          <w:sz w:val="17"/>
          <w:szCs w:val="17"/>
          <w:color w:val="auto"/>
        </w:rPr>
        <w:t>reviewing and establishing general policies relating to compensation and benefits of our employees.</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39" w:lineRule="exact"/>
        <w:rPr>
          <w:sz w:val="20"/>
          <w:szCs w:val="20"/>
          <w:color w:val="auto"/>
        </w:rPr>
      </w:pPr>
    </w:p>
    <w:p>
      <w:pPr>
        <w:ind w:left="160" w:right="120"/>
        <w:spacing w:after="0" w:line="234" w:lineRule="auto"/>
        <w:rPr>
          <w:sz w:val="20"/>
          <w:szCs w:val="20"/>
          <w:color w:val="auto"/>
        </w:rPr>
      </w:pPr>
      <w:r>
        <w:rPr>
          <w:rFonts w:ascii="Arial" w:cs="Arial" w:eastAsia="Arial" w:hAnsi="Arial"/>
          <w:sz w:val="17"/>
          <w:szCs w:val="17"/>
          <w:color w:val="auto"/>
        </w:rPr>
        <w:t>Our nominating and corporate governance committee consists of Mr. von Emster, Dr. Katabi, Ph.D., and Dr. Cheng, M.D., Ph.D. The chair of our nominating and corporate governance committee is Mr. von Emster. Our board of directors has determined that each member of the nominating and corporate governance committee is independent under the Nasdaq Listing Rules, a non-employee director, and free from any relationship that would interfere with the exercise of his or her independent judgment.</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Specific responsibilities of our nominating and corporate governance committee include:</w:t>
      </w:r>
    </w:p>
    <w:p>
      <w:pPr>
        <w:spacing w:after="0" w:line="192" w:lineRule="exact"/>
        <w:rPr>
          <w:sz w:val="20"/>
          <w:szCs w:val="20"/>
          <w:color w:val="auto"/>
        </w:rPr>
      </w:pPr>
    </w:p>
    <w:p>
      <w:pPr>
        <w:ind w:left="1020" w:right="140" w:hanging="425"/>
        <w:spacing w:after="0" w:line="239" w:lineRule="auto"/>
        <w:tabs>
          <w:tab w:leader="none" w:pos="1020" w:val="left"/>
        </w:tabs>
        <w:numPr>
          <w:ilvl w:val="0"/>
          <w:numId w:val="80"/>
        </w:numPr>
        <w:rPr>
          <w:rFonts w:ascii="MS PGothic" w:cs="MS PGothic" w:eastAsia="MS PGothic" w:hAnsi="MS PGothic"/>
          <w:sz w:val="12"/>
          <w:szCs w:val="12"/>
          <w:color w:val="auto"/>
        </w:rPr>
      </w:pPr>
      <w:r>
        <w:rPr>
          <w:rFonts w:ascii="Arial" w:cs="Arial" w:eastAsia="Arial" w:hAnsi="Arial"/>
          <w:sz w:val="17"/>
          <w:szCs w:val="17"/>
          <w:color w:val="auto"/>
        </w:rPr>
        <w:t>identifying and evaluating candidates, including the nomination of incumbent directors for reelection and nominees recommended by stockholders, to serve on our board of directors;</w:t>
      </w:r>
    </w:p>
    <w:p>
      <w:pPr>
        <w:spacing w:after="0" w:line="25" w:lineRule="exact"/>
        <w:rPr>
          <w:rFonts w:ascii="MS PGothic" w:cs="MS PGothic" w:eastAsia="MS PGothic" w:hAnsi="MS PGothic"/>
          <w:sz w:val="12"/>
          <w:szCs w:val="12"/>
          <w:color w:val="auto"/>
        </w:rPr>
      </w:pPr>
    </w:p>
    <w:p>
      <w:pPr>
        <w:ind w:left="1020" w:right="60" w:hanging="425"/>
        <w:spacing w:after="0" w:line="239" w:lineRule="auto"/>
        <w:tabs>
          <w:tab w:leader="none" w:pos="1020" w:val="left"/>
        </w:tabs>
        <w:numPr>
          <w:ilvl w:val="0"/>
          <w:numId w:val="80"/>
        </w:numPr>
        <w:rPr>
          <w:rFonts w:ascii="MS PGothic" w:cs="MS PGothic" w:eastAsia="MS PGothic" w:hAnsi="MS PGothic"/>
          <w:sz w:val="12"/>
          <w:szCs w:val="12"/>
          <w:color w:val="auto"/>
        </w:rPr>
      </w:pPr>
      <w:r>
        <w:rPr>
          <w:rFonts w:ascii="Arial" w:cs="Arial" w:eastAsia="Arial" w:hAnsi="Arial"/>
          <w:sz w:val="17"/>
          <w:szCs w:val="17"/>
          <w:color w:val="auto"/>
        </w:rPr>
        <w:t>considering and making recommendations to our board of directors regarding the composition and chairmanship of the committees of our board of directors;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80"/>
        </w:numPr>
        <w:rPr>
          <w:rFonts w:ascii="MS PGothic" w:cs="MS PGothic" w:eastAsia="MS PGothic" w:hAnsi="MS PGothic"/>
          <w:sz w:val="12"/>
          <w:szCs w:val="12"/>
          <w:color w:val="auto"/>
        </w:rPr>
      </w:pPr>
      <w:r>
        <w:rPr>
          <w:rFonts w:ascii="Arial" w:cs="Arial" w:eastAsia="Arial" w:hAnsi="Arial"/>
          <w:sz w:val="17"/>
          <w:szCs w:val="17"/>
          <w:color w:val="auto"/>
        </w:rPr>
        <w:t>instituting plans or programs for the continuing education of our board of directors and orientation of new directors;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80"/>
        </w:numPr>
        <w:rPr>
          <w:rFonts w:ascii="MS PGothic" w:cs="MS PGothic" w:eastAsia="MS PGothic" w:hAnsi="MS PGothic"/>
          <w:sz w:val="12"/>
          <w:szCs w:val="12"/>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31" w:lineRule="exact"/>
        <w:rPr>
          <w:rFonts w:ascii="MS PGothic" w:cs="MS PGothic" w:eastAsia="MS PGothic" w:hAnsi="MS PGothic"/>
          <w:sz w:val="12"/>
          <w:szCs w:val="12"/>
          <w:color w:val="auto"/>
        </w:rPr>
      </w:pPr>
    </w:p>
    <w:p>
      <w:pPr>
        <w:ind w:left="1020" w:right="960" w:hanging="425"/>
        <w:spacing w:after="0" w:line="239" w:lineRule="auto"/>
        <w:tabs>
          <w:tab w:leader="none" w:pos="1020" w:val="left"/>
        </w:tabs>
        <w:numPr>
          <w:ilvl w:val="0"/>
          <w:numId w:val="80"/>
        </w:numPr>
        <w:rPr>
          <w:rFonts w:ascii="MS PGothic" w:cs="MS PGothic" w:eastAsia="MS PGothic" w:hAnsi="MS PGothic"/>
          <w:sz w:val="12"/>
          <w:szCs w:val="12"/>
          <w:color w:val="auto"/>
        </w:rPr>
      </w:pPr>
      <w:r>
        <w:rPr>
          <w:rFonts w:ascii="Arial" w:cs="Arial" w:eastAsia="Arial" w:hAnsi="Arial"/>
          <w:sz w:val="17"/>
          <w:szCs w:val="17"/>
          <w:color w:val="auto"/>
        </w:rPr>
        <w:t>overseeing periodic evaluations of the board of directors’ performance, including committees of the board of directors and management.</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91" w:lineRule="exact"/>
        <w:rPr>
          <w:sz w:val="20"/>
          <w:szCs w:val="20"/>
          <w:color w:val="auto"/>
        </w:rPr>
      </w:pPr>
    </w:p>
    <w:p>
      <w:pPr>
        <w:ind w:left="160" w:right="60"/>
        <w:spacing w:after="0" w:line="232" w:lineRule="auto"/>
        <w:rPr>
          <w:sz w:val="20"/>
          <w:szCs w:val="20"/>
          <w:color w:val="auto"/>
        </w:rPr>
      </w:pPr>
      <w:r>
        <w:rPr>
          <w:rFonts w:ascii="Arial" w:cs="Arial" w:eastAsia="Arial" w:hAnsi="Arial"/>
          <w:sz w:val="17"/>
          <w:szCs w:val="17"/>
          <w:color w:val="auto"/>
        </w:rPr>
        <w:t>We have adopted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www.veratx.com.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77" w:lineRule="exact"/>
        <w:rPr>
          <w:sz w:val="20"/>
          <w:szCs w:val="20"/>
          <w:color w:val="auto"/>
        </w:rPr>
      </w:pPr>
    </w:p>
    <w:p>
      <w:pPr>
        <w:ind w:left="160" w:right="200"/>
        <w:spacing w:after="0" w:line="23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executive officers or employees.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060"/>
          </w:cols>
          <w:pgMar w:left="320" w:top="456"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Non-Employee Director Compensation</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sets forth in summary form information concerning the compensation that we paid or awarded during the year ended</w:t>
      </w:r>
    </w:p>
    <w:p>
      <w:pPr>
        <w:ind w:left="160"/>
        <w:spacing w:after="0"/>
        <w:rPr>
          <w:sz w:val="20"/>
          <w:szCs w:val="20"/>
          <w:color w:val="auto"/>
        </w:rPr>
      </w:pPr>
      <w:r>
        <w:rPr>
          <w:rFonts w:ascii="Arial" w:cs="Arial" w:eastAsia="Arial" w:hAnsi="Arial"/>
          <w:sz w:val="17"/>
          <w:szCs w:val="17"/>
          <w:color w:val="auto"/>
        </w:rPr>
        <w:t>December 31, 2020 to each of our non-employee directors who served on our board of directors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FEES EARNED OR</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060" w:type="dxa"/>
            <w:vAlign w:val="bottom"/>
            <w:vMerge w:val="restart"/>
          </w:tcPr>
          <w:p>
            <w:pPr>
              <w:spacing w:after="0"/>
              <w:rPr>
                <w:sz w:val="13"/>
                <w:szCs w:val="13"/>
                <w:color w:val="auto"/>
              </w:rPr>
            </w:pPr>
          </w:p>
        </w:tc>
        <w:tc>
          <w:tcPr>
            <w:tcW w:w="1880" w:type="dxa"/>
            <w:vAlign w:val="bottom"/>
            <w:gridSpan w:val="2"/>
          </w:tcPr>
          <w:p>
            <w:pPr>
              <w:ind w:left="160"/>
              <w:spacing w:after="0" w:line="157" w:lineRule="exact"/>
              <w:rPr>
                <w:sz w:val="20"/>
                <w:szCs w:val="20"/>
                <w:color w:val="auto"/>
              </w:rPr>
            </w:pPr>
            <w:r>
              <w:rPr>
                <w:rFonts w:ascii="Arial" w:cs="Arial" w:eastAsia="Arial" w:hAnsi="Arial"/>
                <w:sz w:val="14"/>
                <w:szCs w:val="14"/>
                <w:b w:val="1"/>
                <w:bCs w:val="1"/>
                <w:color w:val="auto"/>
              </w:rPr>
              <w:t>PAID IN CASH</w:t>
            </w:r>
          </w:p>
        </w:tc>
        <w:tc>
          <w:tcPr>
            <w:tcW w:w="18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OPTION AWARDS</w:t>
            </w: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40" w:type="dxa"/>
            <w:vAlign w:val="bottom"/>
            <w:tcBorders>
              <w:bottom w:val="single" w:sz="8" w:color="auto"/>
            </w:tcBorders>
            <w:vMerge w:val="continue"/>
          </w:tcPr>
          <w:p>
            <w:pPr>
              <w:spacing w:after="0"/>
              <w:rPr>
                <w:sz w:val="15"/>
                <w:szCs w:val="15"/>
                <w:color w:val="auto"/>
              </w:rPr>
            </w:pPr>
          </w:p>
        </w:tc>
        <w:tc>
          <w:tcPr>
            <w:tcW w:w="6060" w:type="dxa"/>
            <w:vAlign w:val="bottom"/>
            <w:vMerge w:val="continue"/>
          </w:tcPr>
          <w:p>
            <w:pPr>
              <w:spacing w:after="0"/>
              <w:rPr>
                <w:sz w:val="15"/>
                <w:szCs w:val="15"/>
                <w:color w:val="auto"/>
              </w:rPr>
            </w:pPr>
          </w:p>
        </w:tc>
        <w:tc>
          <w:tcPr>
            <w:tcW w:w="1280" w:type="dxa"/>
            <w:vAlign w:val="bottom"/>
          </w:tcPr>
          <w:p>
            <w:pPr>
              <w:jc w:val="right"/>
              <w:ind w:right="479"/>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5"/>
                <w:szCs w:val="15"/>
                <w:color w:val="auto"/>
              </w:rPr>
            </w:pPr>
          </w:p>
        </w:tc>
        <w:tc>
          <w:tcPr>
            <w:tcW w:w="1220" w:type="dxa"/>
            <w:vAlign w:val="bottom"/>
          </w:tcPr>
          <w:p>
            <w:pPr>
              <w:jc w:val="right"/>
              <w:ind w:right="300"/>
              <w:spacing w:after="0" w:line="164"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(1)(2)</w:t>
            </w:r>
          </w:p>
        </w:tc>
        <w:tc>
          <w:tcPr>
            <w:tcW w:w="600" w:type="dxa"/>
            <w:vAlign w:val="bottom"/>
          </w:tcPr>
          <w:p>
            <w:pPr>
              <w:spacing w:after="0"/>
              <w:rPr>
                <w:sz w:val="15"/>
                <w:szCs w:val="15"/>
                <w:color w:val="auto"/>
              </w:rPr>
            </w:pPr>
          </w:p>
        </w:tc>
        <w:tc>
          <w:tcPr>
            <w:tcW w:w="660" w:type="dxa"/>
            <w:vAlign w:val="bottom"/>
          </w:tcPr>
          <w:p>
            <w:pPr>
              <w:jc w:val="right"/>
              <w:ind w:right="15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00" w:type="dxa"/>
            <w:vAlign w:val="bottom"/>
            <w:tcBorders>
              <w:top w:val="single" w:sz="8" w:color="CCEEFF"/>
            </w:tcBorders>
            <w:gridSpan w:val="2"/>
            <w:shd w:val="clear" w:color="auto" w:fill="CCEEFF"/>
          </w:tcPr>
          <w:p>
            <w:pPr>
              <w:spacing w:after="0" w:line="174" w:lineRule="exact"/>
              <w:rPr>
                <w:sz w:val="20"/>
                <w:szCs w:val="20"/>
                <w:color w:val="auto"/>
              </w:rPr>
            </w:pPr>
            <w:r>
              <w:rPr>
                <w:rFonts w:ascii="Arial" w:cs="Arial" w:eastAsia="Arial" w:hAnsi="Arial"/>
                <w:sz w:val="17"/>
                <w:szCs w:val="17"/>
                <w:color w:val="auto"/>
              </w:rPr>
              <w:t>Beth Seidenberg, M.D.</w:t>
            </w:r>
          </w:p>
        </w:tc>
        <w:tc>
          <w:tcPr>
            <w:tcW w:w="128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7"/>
                <w:szCs w:val="17"/>
                <w:color w:val="auto"/>
              </w:rPr>
              <w:t>172,880</w:t>
            </w:r>
          </w:p>
        </w:tc>
        <w:tc>
          <w:tcPr>
            <w:tcW w:w="6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7"/>
                <w:szCs w:val="17"/>
                <w:color w:val="auto"/>
              </w:rPr>
              <w:t>172,880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500" w:type="dxa"/>
            <w:vAlign w:val="bottom"/>
            <w:gridSpan w:val="2"/>
          </w:tcPr>
          <w:p>
            <w:pPr>
              <w:spacing w:after="0" w:line="187" w:lineRule="exact"/>
              <w:rPr>
                <w:sz w:val="20"/>
                <w:szCs w:val="20"/>
                <w:color w:val="auto"/>
              </w:rPr>
            </w:pPr>
            <w:r>
              <w:rPr>
                <w:rFonts w:ascii="Arial" w:cs="Arial" w:eastAsia="Arial" w:hAnsi="Arial"/>
                <w:sz w:val="17"/>
                <w:szCs w:val="17"/>
                <w:color w:val="auto"/>
              </w:rPr>
              <w:t>Andrew Cheng, M.D., Ph.D.</w:t>
            </w:r>
          </w:p>
        </w:tc>
        <w:tc>
          <w:tcPr>
            <w:tcW w:w="1880" w:type="dxa"/>
            <w:vAlign w:val="bottom"/>
            <w:gridSpan w:val="2"/>
          </w:tcPr>
          <w:p>
            <w:pPr>
              <w:jc w:val="right"/>
              <w:ind w:right="600"/>
              <w:spacing w:after="0" w:line="187" w:lineRule="exact"/>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600"/>
              <w:spacing w:after="0" w:line="187" w:lineRule="exact"/>
              <w:rPr>
                <w:sz w:val="20"/>
                <w:szCs w:val="20"/>
                <w:color w:val="auto"/>
              </w:rPr>
            </w:pPr>
            <w:r>
              <w:rPr>
                <w:rFonts w:ascii="Arial" w:cs="Arial" w:eastAsia="Arial" w:hAnsi="Arial"/>
                <w:sz w:val="17"/>
                <w:szCs w:val="17"/>
                <w:color w:val="auto"/>
              </w:rPr>
              <w:t>137,978</w:t>
            </w:r>
          </w:p>
        </w:tc>
        <w:tc>
          <w:tcPr>
            <w:tcW w:w="7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137,978</w:t>
            </w:r>
          </w:p>
        </w:tc>
        <w:tc>
          <w:tcPr>
            <w:tcW w:w="0" w:type="dxa"/>
            <w:vAlign w:val="bottom"/>
          </w:tcPr>
          <w:p>
            <w:pPr>
              <w:spacing w:after="0"/>
              <w:rPr>
                <w:sz w:val="1"/>
                <w:szCs w:val="1"/>
                <w:color w:val="auto"/>
              </w:rPr>
            </w:pPr>
          </w:p>
        </w:tc>
      </w:tr>
      <w:tr>
        <w:trPr>
          <w:trHeight w:val="187"/>
        </w:trPr>
        <w:tc>
          <w:tcPr>
            <w:tcW w:w="650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Scott Morrison</w:t>
            </w:r>
          </w:p>
        </w:tc>
        <w:tc>
          <w:tcPr>
            <w:tcW w:w="188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157,530</w:t>
            </w:r>
          </w:p>
        </w:tc>
        <w:tc>
          <w:tcPr>
            <w:tcW w:w="7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157,530</w:t>
            </w:r>
          </w:p>
        </w:tc>
        <w:tc>
          <w:tcPr>
            <w:tcW w:w="0" w:type="dxa"/>
            <w:vAlign w:val="bottom"/>
          </w:tcPr>
          <w:p>
            <w:pPr>
              <w:spacing w:after="0"/>
              <w:rPr>
                <w:sz w:val="1"/>
                <w:szCs w:val="1"/>
                <w:color w:val="auto"/>
              </w:rPr>
            </w:pPr>
          </w:p>
        </w:tc>
      </w:tr>
      <w:tr>
        <w:trPr>
          <w:trHeight w:val="187"/>
        </w:trPr>
        <w:tc>
          <w:tcPr>
            <w:tcW w:w="650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Brian Kotzin, M.D. </w:t>
            </w:r>
            <w:r>
              <w:rPr>
                <w:rFonts w:ascii="Arial" w:cs="Arial" w:eastAsia="Arial" w:hAnsi="Arial"/>
                <w:sz w:val="14"/>
                <w:szCs w:val="14"/>
                <w:color w:val="auto"/>
              </w:rPr>
              <w:t>(3)</w:t>
            </w:r>
          </w:p>
        </w:tc>
        <w:tc>
          <w:tcPr>
            <w:tcW w:w="1880" w:type="dxa"/>
            <w:vAlign w:val="bottom"/>
            <w:gridSpan w:val="2"/>
          </w:tcPr>
          <w:p>
            <w:pPr>
              <w:jc w:val="right"/>
              <w:ind w:right="600"/>
              <w:spacing w:after="0" w:line="187" w:lineRule="exact"/>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600"/>
              <w:spacing w:after="0" w:line="187" w:lineRule="exact"/>
              <w:rPr>
                <w:sz w:val="20"/>
                <w:szCs w:val="20"/>
                <w:color w:val="auto"/>
              </w:rPr>
            </w:pPr>
            <w:r>
              <w:rPr>
                <w:rFonts w:ascii="Arial" w:cs="Arial" w:eastAsia="Arial" w:hAnsi="Arial"/>
                <w:sz w:val="17"/>
                <w:szCs w:val="17"/>
                <w:color w:val="auto"/>
              </w:rPr>
              <w:t>92,103</w:t>
            </w:r>
          </w:p>
        </w:tc>
        <w:tc>
          <w:tcPr>
            <w:tcW w:w="7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92,103</w:t>
            </w:r>
          </w:p>
        </w:tc>
        <w:tc>
          <w:tcPr>
            <w:tcW w:w="0" w:type="dxa"/>
            <w:vAlign w:val="bottom"/>
          </w:tcPr>
          <w:p>
            <w:pPr>
              <w:spacing w:after="0"/>
              <w:rPr>
                <w:sz w:val="1"/>
                <w:szCs w:val="1"/>
                <w:color w:val="auto"/>
              </w:rPr>
            </w:pPr>
          </w:p>
        </w:tc>
      </w:tr>
      <w:tr>
        <w:trPr>
          <w:trHeight w:val="187"/>
        </w:trPr>
        <w:tc>
          <w:tcPr>
            <w:tcW w:w="650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Kurt von Emster</w:t>
            </w:r>
          </w:p>
        </w:tc>
        <w:tc>
          <w:tcPr>
            <w:tcW w:w="188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6500" w:type="dxa"/>
            <w:vAlign w:val="bottom"/>
            <w:gridSpan w:val="2"/>
          </w:tcPr>
          <w:p>
            <w:pPr>
              <w:spacing w:after="0" w:line="187" w:lineRule="exact"/>
              <w:rPr>
                <w:sz w:val="20"/>
                <w:szCs w:val="20"/>
                <w:color w:val="auto"/>
              </w:rPr>
            </w:pPr>
            <w:r>
              <w:rPr>
                <w:rFonts w:ascii="Arial" w:cs="Arial" w:eastAsia="Arial" w:hAnsi="Arial"/>
                <w:sz w:val="17"/>
                <w:szCs w:val="17"/>
                <w:color w:val="auto"/>
              </w:rPr>
              <w:t>Maha Katabi, Ph.D.</w:t>
            </w:r>
          </w:p>
        </w:tc>
        <w:tc>
          <w:tcPr>
            <w:tcW w:w="1880" w:type="dxa"/>
            <w:vAlign w:val="bottom"/>
            <w:gridSpan w:val="2"/>
          </w:tcPr>
          <w:p>
            <w:pPr>
              <w:jc w:val="right"/>
              <w:ind w:right="600"/>
              <w:spacing w:after="0" w:line="187" w:lineRule="exact"/>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600"/>
              <w:spacing w:after="0" w:line="187" w:lineRule="exact"/>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650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Patrick Enright</w:t>
            </w:r>
          </w:p>
        </w:tc>
        <w:tc>
          <w:tcPr>
            <w:tcW w:w="188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650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Joseph Walton </w:t>
            </w:r>
            <w:r>
              <w:rPr>
                <w:rFonts w:ascii="Arial" w:cs="Arial" w:eastAsia="Arial" w:hAnsi="Arial"/>
                <w:sz w:val="14"/>
                <w:szCs w:val="14"/>
                <w:color w:val="auto"/>
              </w:rPr>
              <w:t>(4)</w:t>
            </w:r>
          </w:p>
        </w:tc>
        <w:tc>
          <w:tcPr>
            <w:tcW w:w="1880" w:type="dxa"/>
            <w:vAlign w:val="bottom"/>
            <w:gridSpan w:val="2"/>
          </w:tcPr>
          <w:p>
            <w:pPr>
              <w:jc w:val="right"/>
              <w:ind w:right="600"/>
              <w:spacing w:after="0" w:line="187" w:lineRule="exact"/>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600"/>
              <w:spacing w:after="0" w:line="187" w:lineRule="exact"/>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650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Krishna Yeshwant, M.D. </w:t>
            </w:r>
            <w:r>
              <w:rPr>
                <w:rFonts w:ascii="Arial" w:cs="Arial" w:eastAsia="Arial" w:hAnsi="Arial"/>
                <w:sz w:val="14"/>
                <w:szCs w:val="14"/>
                <w:color w:val="auto"/>
              </w:rPr>
              <w:t>(5)</w:t>
            </w:r>
          </w:p>
        </w:tc>
        <w:tc>
          <w:tcPr>
            <w:tcW w:w="188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297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2" w:lineRule="exact"/>
        <w:rPr>
          <w:sz w:val="20"/>
          <w:szCs w:val="20"/>
          <w:color w:val="auto"/>
        </w:rPr>
      </w:pPr>
    </w:p>
    <w:p>
      <w:pPr>
        <w:ind w:left="600" w:right="220" w:hanging="259"/>
        <w:spacing w:after="0" w:line="206" w:lineRule="auto"/>
        <w:tabs>
          <w:tab w:leader="none" w:pos="60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The amounts disclosed represent the aggregate grant date fair value of the stock options granted to our named executive officers during fiscal year 2020 under our 2017 Equity Incentive Plan, as amended (2017 Plan), computed in accordance with FASB ASC Topic 718. The assumptions used in calculating the grant date fair value of the stock options are set forth in Note 7 to our audited financial statements included elsewhere in this prospectus. This amount does not reflect the actual economic value that may be realized by the named executive officer.</w:t>
      </w:r>
    </w:p>
    <w:p>
      <w:pPr>
        <w:spacing w:after="0" w:line="30" w:lineRule="exact"/>
        <w:rPr>
          <w:rFonts w:ascii="Arial" w:cs="Arial" w:eastAsia="Arial" w:hAnsi="Arial"/>
          <w:sz w:val="24"/>
          <w:szCs w:val="24"/>
          <w:color w:val="auto"/>
          <w:vertAlign w:val="superscript"/>
        </w:rPr>
      </w:pPr>
    </w:p>
    <w:p>
      <w:pPr>
        <w:ind w:left="600" w:right="280" w:hanging="259"/>
        <w:spacing w:after="0" w:line="182" w:lineRule="auto"/>
        <w:tabs>
          <w:tab w:leader="none" w:pos="60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The aggregate number of shares underlying outstanding options to purchase our Class A common stock held by our non-employee directors was: Dr. Seidenberg, 69,043; Dr. Cheng, 69,043, Mr. Morrison, 69,043; and Dr. Kotzin, 38,405.</w:t>
      </w:r>
    </w:p>
    <w:p>
      <w:pPr>
        <w:spacing w:after="0" w:line="29" w:lineRule="exact"/>
        <w:rPr>
          <w:rFonts w:ascii="Arial" w:cs="Arial" w:eastAsia="Arial" w:hAnsi="Arial"/>
          <w:sz w:val="24"/>
          <w:szCs w:val="24"/>
          <w:color w:val="auto"/>
          <w:vertAlign w:val="superscript"/>
        </w:rPr>
      </w:pPr>
    </w:p>
    <w:p>
      <w:pPr>
        <w:ind w:left="600" w:right="80" w:hanging="259"/>
        <w:spacing w:after="0" w:line="182" w:lineRule="auto"/>
        <w:tabs>
          <w:tab w:leader="none" w:pos="60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During fiscal year 2020, Dr. Kotzin received consulting fees equal to $95,100, unrelated to his service as a member of our board of directors. Dr. Kotzin resigned from our board of directors in October 2020.</w:t>
      </w:r>
    </w:p>
    <w:p>
      <w:pPr>
        <w:ind w:left="600" w:hanging="259"/>
        <w:spacing w:after="0" w:line="182" w:lineRule="auto"/>
        <w:tabs>
          <w:tab w:leader="none" w:pos="600" w:val="left"/>
        </w:tabs>
        <w:numPr>
          <w:ilvl w:val="0"/>
          <w:numId w:val="81"/>
        </w:numPr>
        <w:rPr>
          <w:rFonts w:ascii="Arial" w:cs="Arial" w:eastAsia="Arial" w:hAnsi="Arial"/>
          <w:sz w:val="23"/>
          <w:szCs w:val="23"/>
          <w:color w:val="auto"/>
          <w:vertAlign w:val="superscript"/>
        </w:rPr>
      </w:pPr>
      <w:r>
        <w:rPr>
          <w:rFonts w:ascii="Arial" w:cs="Arial" w:eastAsia="Arial" w:hAnsi="Arial"/>
          <w:sz w:val="14"/>
          <w:szCs w:val="14"/>
          <w:color w:val="auto"/>
        </w:rPr>
        <w:t>Mr. Walton resigned from our board of directors in October 2020.</w:t>
      </w:r>
    </w:p>
    <w:p>
      <w:pPr>
        <w:spacing w:after="0" w:line="29" w:lineRule="exact"/>
        <w:rPr>
          <w:rFonts w:ascii="Arial" w:cs="Arial" w:eastAsia="Arial" w:hAnsi="Arial"/>
          <w:sz w:val="23"/>
          <w:szCs w:val="23"/>
          <w:color w:val="auto"/>
          <w:vertAlign w:val="superscript"/>
        </w:rPr>
      </w:pPr>
    </w:p>
    <w:p>
      <w:pPr>
        <w:ind w:left="600" w:hanging="259"/>
        <w:spacing w:after="0" w:line="187" w:lineRule="auto"/>
        <w:tabs>
          <w:tab w:leader="none" w:pos="600" w:val="left"/>
        </w:tabs>
        <w:numPr>
          <w:ilvl w:val="0"/>
          <w:numId w:val="81"/>
        </w:numPr>
        <w:rPr>
          <w:rFonts w:ascii="Arial" w:cs="Arial" w:eastAsia="Arial" w:hAnsi="Arial"/>
          <w:sz w:val="19"/>
          <w:szCs w:val="19"/>
          <w:color w:val="auto"/>
          <w:vertAlign w:val="superscript"/>
        </w:rPr>
      </w:pPr>
      <w:r>
        <w:rPr>
          <w:rFonts w:ascii="Arial" w:cs="Arial" w:eastAsia="Arial" w:hAnsi="Arial"/>
          <w:sz w:val="12"/>
          <w:szCs w:val="12"/>
          <w:color w:val="auto"/>
        </w:rPr>
        <w:t>Dr. Yeshwant resigned from our board of directors in October 2020.</w:t>
      </w:r>
    </w:p>
    <w:p>
      <w:pPr>
        <w:spacing w:after="0" w:line="140" w:lineRule="exact"/>
        <w:rPr>
          <w:sz w:val="20"/>
          <w:szCs w:val="20"/>
          <w:color w:val="auto"/>
        </w:rPr>
      </w:pPr>
    </w:p>
    <w:p>
      <w:pPr>
        <w:ind w:left="160" w:right="400"/>
        <w:spacing w:after="0" w:line="234" w:lineRule="auto"/>
        <w:rPr>
          <w:sz w:val="20"/>
          <w:szCs w:val="20"/>
          <w:color w:val="auto"/>
        </w:rPr>
      </w:pPr>
      <w:r>
        <w:rPr>
          <w:rFonts w:ascii="Arial" w:cs="Arial" w:eastAsia="Arial" w:hAnsi="Arial"/>
          <w:sz w:val="17"/>
          <w:szCs w:val="17"/>
          <w:color w:val="auto"/>
        </w:rPr>
        <w:t>We have reimbursed and will continue to reimburse all of our non-employee directors for their reasonable out-of-pocket expenses incurred in attending board of directors and committee meetings. Marshall Fordyce, M.D., our Chief Executive Officer, was also a director as of December 31, 2020, but did not receive any additional compensation for his service as a director. See the section titled “Executive Compensation” for more information regarding the compensation earned by Dr. Fordyce.</w:t>
      </w:r>
    </w:p>
    <w:p>
      <w:pPr>
        <w:spacing w:after="0" w:line="147" w:lineRule="exact"/>
        <w:rPr>
          <w:sz w:val="20"/>
          <w:szCs w:val="20"/>
          <w:color w:val="auto"/>
        </w:rPr>
      </w:pPr>
    </w:p>
    <w:p>
      <w:pPr>
        <w:ind w:left="160" w:right="20"/>
        <w:spacing w:after="0" w:line="234" w:lineRule="auto"/>
        <w:rPr>
          <w:sz w:val="20"/>
          <w:szCs w:val="20"/>
          <w:color w:val="auto"/>
        </w:rPr>
      </w:pPr>
      <w:r>
        <w:rPr>
          <w:rFonts w:ascii="Arial" w:cs="Arial" w:eastAsia="Arial" w:hAnsi="Arial"/>
          <w:sz w:val="17"/>
          <w:szCs w:val="17"/>
          <w:color w:val="auto"/>
        </w:rPr>
        <w:t>During the year ended December 31, 2020, each of the following individuals served on our board of directors as non-employee directors: Kurt von Emster, Maha Katabi, Ph.D., Patrick Enright, Andrew Cheng, M.D., Ph.D., Beth Seidenberg, M.D., Scott Morrison, Joseph Walton, Krishna Yeshwant, M.D. and Brian Kotzin, M.D. Other than as set forth above, none of our non-employee directors earned any compensation in the year ended December 31, 2020 or held any equity awards as of December 31, 2020.</w:t>
      </w:r>
    </w:p>
    <w:p>
      <w:pPr>
        <w:spacing w:after="0" w:line="147" w:lineRule="exact"/>
        <w:rPr>
          <w:sz w:val="20"/>
          <w:szCs w:val="20"/>
          <w:color w:val="auto"/>
        </w:rPr>
      </w:pPr>
    </w:p>
    <w:p>
      <w:pPr>
        <w:ind w:left="160" w:right="260"/>
        <w:spacing w:after="0" w:line="236" w:lineRule="auto"/>
        <w:rPr>
          <w:sz w:val="20"/>
          <w:szCs w:val="20"/>
          <w:color w:val="auto"/>
        </w:rPr>
      </w:pPr>
      <w:r>
        <w:rPr>
          <w:rFonts w:ascii="Arial" w:cs="Arial" w:eastAsia="Arial" w:hAnsi="Arial"/>
          <w:sz w:val="17"/>
          <w:szCs w:val="17"/>
          <w:color w:val="auto"/>
        </w:rPr>
        <w:t>In January 2020, we granted a stock option to Dr. Cheng covering 4,315 shares of our Class A common stock at an exercise price of $2.32 per share, which vests monthly over three years following January 10, 2020, subject to Dr. Cheng’s continuous service to us. The vesting of this option will accelerate in full upon the closing of a change in control (as defined in our 2017 Plan).</w:t>
      </w:r>
    </w:p>
    <w:p>
      <w:pPr>
        <w:spacing w:after="0" w:line="146" w:lineRule="exact"/>
        <w:rPr>
          <w:sz w:val="20"/>
          <w:szCs w:val="20"/>
          <w:color w:val="auto"/>
        </w:rPr>
      </w:pPr>
    </w:p>
    <w:p>
      <w:pPr>
        <w:ind w:left="160" w:right="20"/>
        <w:spacing w:after="0" w:line="236" w:lineRule="auto"/>
        <w:rPr>
          <w:sz w:val="20"/>
          <w:szCs w:val="20"/>
          <w:color w:val="auto"/>
        </w:rPr>
      </w:pPr>
      <w:r>
        <w:rPr>
          <w:rFonts w:ascii="Arial" w:cs="Arial" w:eastAsia="Arial" w:hAnsi="Arial"/>
          <w:sz w:val="17"/>
          <w:szCs w:val="17"/>
          <w:color w:val="auto"/>
        </w:rPr>
        <w:t>In April 2020, we granted a stock option to Dr. Kotzin covering 3,452 shares of our Class A common stock at an exercise price of $6.37 per share, which vests monthly over three years following April 16, 2020, subject to Dr. Kotzin’s continuous service to us. The vesting of this option will accelerate in full upon the closing of a change in control (as defined in our 2017 Plan).</w:t>
      </w:r>
    </w:p>
    <w:p>
      <w:pPr>
        <w:spacing w:after="0" w:line="146" w:lineRule="exact"/>
        <w:rPr>
          <w:sz w:val="20"/>
          <w:szCs w:val="20"/>
          <w:color w:val="auto"/>
        </w:rPr>
      </w:pPr>
    </w:p>
    <w:p>
      <w:pPr>
        <w:jc w:val="both"/>
        <w:ind w:left="160" w:right="260"/>
        <w:spacing w:after="0" w:line="236" w:lineRule="auto"/>
        <w:rPr>
          <w:sz w:val="20"/>
          <w:szCs w:val="20"/>
          <w:color w:val="auto"/>
        </w:rPr>
      </w:pPr>
      <w:r>
        <w:rPr>
          <w:rFonts w:ascii="Arial" w:cs="Arial" w:eastAsia="Arial" w:hAnsi="Arial"/>
          <w:sz w:val="17"/>
          <w:szCs w:val="17"/>
          <w:color w:val="auto"/>
        </w:rPr>
        <w:t>In April 2020, we also granted a stock option to Mr. Morrison covering 3,452 shares of our Class A common stock at an exercise price of $6.37 per share, which vests monthly over three years following April 16, 2020, subject to Mr. Morrison’s continuous service to us. The vesting of this option will accelerate in full upon the closing of a change in control (as defined in our 2017 Plan).</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080"/>
          </w:cols>
          <w:pgMar w:left="320" w:top="456"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In December 2020, we granted a stock option to each of Dr. Seidenberg, Mr. Morrison, Dr. Cheng and Dr. Kotzin covering 69,043, 69,043, 61,276 and 38,405 shares of our Class A common stock, respectively, at an exercise price of $2.90 per share, each vesting monthly over three years following December 16, 2020, and each subject to such individual’s continuous service to us. The vesting of these options will accelerate in full upon the closing of a change in control (as defined in our 2017 Plan). The options issued to both Mr. Morrison and Dr. Kotzin were conditioned on the cancellation of an option covering 3,452 shares held by such individual, granted in April 2020.</w:t>
      </w:r>
    </w:p>
    <w:p>
      <w:pPr>
        <w:spacing w:after="0" w:line="148" w:lineRule="exact"/>
        <w:rPr>
          <w:sz w:val="20"/>
          <w:szCs w:val="20"/>
          <w:color w:val="auto"/>
        </w:rPr>
      </w:pPr>
    </w:p>
    <w:p>
      <w:pPr>
        <w:ind w:left="160" w:right="100"/>
        <w:spacing w:after="0" w:line="236" w:lineRule="auto"/>
        <w:rPr>
          <w:sz w:val="20"/>
          <w:szCs w:val="20"/>
          <w:color w:val="auto"/>
        </w:rPr>
      </w:pPr>
      <w:r>
        <w:rPr>
          <w:rFonts w:ascii="Arial" w:cs="Arial" w:eastAsia="Arial" w:hAnsi="Arial"/>
          <w:sz w:val="17"/>
          <w:szCs w:val="17"/>
          <w:color w:val="auto"/>
        </w:rPr>
        <w:t>Our board of directors adopted a non-employee director compensation policy in May 2021 that will become effective in connection with this offering and will be applicable to all of our non-employee directors. This compensation policy provides that each such non-employee director will receive the following compensation for service on our board of directors:</w:t>
      </w:r>
    </w:p>
    <w:p>
      <w:pPr>
        <w:spacing w:after="0" w:line="186" w:lineRule="exact"/>
        <w:rPr>
          <w:sz w:val="20"/>
          <w:szCs w:val="20"/>
          <w:color w:val="auto"/>
        </w:rPr>
      </w:pPr>
    </w:p>
    <w:p>
      <w:pPr>
        <w:ind w:left="1020" w:right="220" w:hanging="425"/>
        <w:spacing w:after="0" w:line="239" w:lineRule="auto"/>
        <w:tabs>
          <w:tab w:leader="none" w:pos="1020" w:val="left"/>
        </w:tabs>
        <w:numPr>
          <w:ilvl w:val="0"/>
          <w:numId w:val="82"/>
        </w:numPr>
        <w:rPr>
          <w:rFonts w:ascii="MS PGothic" w:cs="MS PGothic" w:eastAsia="MS PGothic" w:hAnsi="MS PGothic"/>
          <w:sz w:val="12"/>
          <w:szCs w:val="12"/>
          <w:color w:val="auto"/>
        </w:rPr>
      </w:pPr>
      <w:r>
        <w:rPr>
          <w:rFonts w:ascii="Arial" w:cs="Arial" w:eastAsia="Arial" w:hAnsi="Arial"/>
          <w:sz w:val="17"/>
          <w:szCs w:val="17"/>
          <w:color w:val="auto"/>
        </w:rPr>
        <w:t>an annual cash retainer of $35,000; and an additional annual cash retainer of $30,000 for services as non-executive chairperson of our board of directors;</w:t>
      </w:r>
    </w:p>
    <w:p>
      <w:pPr>
        <w:spacing w:after="0" w:line="25" w:lineRule="exact"/>
        <w:rPr>
          <w:rFonts w:ascii="MS PGothic" w:cs="MS PGothic" w:eastAsia="MS PGothic" w:hAnsi="MS PGothic"/>
          <w:sz w:val="12"/>
          <w:szCs w:val="12"/>
          <w:color w:val="auto"/>
        </w:rPr>
      </w:pPr>
    </w:p>
    <w:p>
      <w:pPr>
        <w:ind w:left="1020" w:right="480" w:hanging="425"/>
        <w:spacing w:after="0" w:line="239" w:lineRule="auto"/>
        <w:tabs>
          <w:tab w:leader="none" w:pos="1020" w:val="left"/>
        </w:tabs>
        <w:numPr>
          <w:ilvl w:val="0"/>
          <w:numId w:val="82"/>
        </w:numPr>
        <w:rPr>
          <w:rFonts w:ascii="MS PGothic" w:cs="MS PGothic" w:eastAsia="MS PGothic" w:hAnsi="MS PGothic"/>
          <w:sz w:val="12"/>
          <w:szCs w:val="12"/>
          <w:color w:val="auto"/>
        </w:rPr>
      </w:pPr>
      <w:r>
        <w:rPr>
          <w:rFonts w:ascii="Arial" w:cs="Arial" w:eastAsia="Arial" w:hAnsi="Arial"/>
          <w:sz w:val="17"/>
          <w:szCs w:val="17"/>
          <w:color w:val="auto"/>
        </w:rPr>
        <w:t>an additional annual cash retainer of $7,500, $5,000 and $4,000 for service as a member of the audit committee, compensation committee and the nominating and corporate governance committee, respectively;</w:t>
      </w:r>
    </w:p>
    <w:p>
      <w:pPr>
        <w:spacing w:after="0" w:line="25" w:lineRule="exact"/>
        <w:rPr>
          <w:rFonts w:ascii="MS PGothic" w:cs="MS PGothic" w:eastAsia="MS PGothic" w:hAnsi="MS PGothic"/>
          <w:sz w:val="12"/>
          <w:szCs w:val="12"/>
          <w:color w:val="auto"/>
        </w:rPr>
      </w:pPr>
    </w:p>
    <w:p>
      <w:pPr>
        <w:ind w:left="1020" w:right="40" w:hanging="425"/>
        <w:spacing w:after="0" w:line="239" w:lineRule="auto"/>
        <w:tabs>
          <w:tab w:leader="none" w:pos="1020" w:val="left"/>
        </w:tabs>
        <w:numPr>
          <w:ilvl w:val="0"/>
          <w:numId w:val="82"/>
        </w:numPr>
        <w:rPr>
          <w:rFonts w:ascii="MS PGothic" w:cs="MS PGothic" w:eastAsia="MS PGothic" w:hAnsi="MS PGothic"/>
          <w:sz w:val="12"/>
          <w:szCs w:val="12"/>
          <w:color w:val="auto"/>
        </w:rPr>
      </w:pPr>
      <w:r>
        <w:rPr>
          <w:rFonts w:ascii="Arial" w:cs="Arial" w:eastAsia="Arial" w:hAnsi="Arial"/>
          <w:sz w:val="17"/>
          <w:szCs w:val="17"/>
          <w:color w:val="auto"/>
        </w:rPr>
        <w:t>an additional annual cash retainer of $7,500, $5,000 and $4,000 for service as chair of the audit committee, compensation committee and the nominating and corporate governance committee, respectively;</w:t>
      </w:r>
    </w:p>
    <w:p>
      <w:pPr>
        <w:spacing w:after="0" w:line="25" w:lineRule="exact"/>
        <w:rPr>
          <w:rFonts w:ascii="MS PGothic" w:cs="MS PGothic" w:eastAsia="MS PGothic" w:hAnsi="MS PGothic"/>
          <w:sz w:val="12"/>
          <w:szCs w:val="12"/>
          <w:color w:val="auto"/>
        </w:rPr>
      </w:pPr>
    </w:p>
    <w:p>
      <w:pPr>
        <w:ind w:left="1020" w:right="380" w:hanging="425"/>
        <w:spacing w:after="0" w:line="239" w:lineRule="auto"/>
        <w:tabs>
          <w:tab w:leader="none" w:pos="1020" w:val="left"/>
        </w:tabs>
        <w:numPr>
          <w:ilvl w:val="0"/>
          <w:numId w:val="82"/>
        </w:numPr>
        <w:rPr>
          <w:rFonts w:ascii="MS PGothic" w:cs="MS PGothic" w:eastAsia="MS PGothic" w:hAnsi="MS PGothic"/>
          <w:sz w:val="12"/>
          <w:szCs w:val="12"/>
          <w:color w:val="auto"/>
        </w:rPr>
      </w:pPr>
      <w:r>
        <w:rPr>
          <w:rFonts w:ascii="Arial" w:cs="Arial" w:eastAsia="Arial" w:hAnsi="Arial"/>
          <w:sz w:val="17"/>
          <w:szCs w:val="17"/>
          <w:color w:val="auto"/>
        </w:rPr>
        <w:t>an initial option grant to purchase 19,850 shares of our Class A common stock on the date of each such non-employee director’s appointment to our board of directors; and</w:t>
      </w:r>
    </w:p>
    <w:p>
      <w:pPr>
        <w:spacing w:after="0" w:line="25" w:lineRule="exact"/>
        <w:rPr>
          <w:rFonts w:ascii="MS PGothic" w:cs="MS PGothic" w:eastAsia="MS PGothic" w:hAnsi="MS PGothic"/>
          <w:sz w:val="12"/>
          <w:szCs w:val="12"/>
          <w:color w:val="auto"/>
        </w:rPr>
      </w:pPr>
    </w:p>
    <w:p>
      <w:pPr>
        <w:ind w:left="1020" w:right="660" w:hanging="425"/>
        <w:spacing w:after="0" w:line="239" w:lineRule="auto"/>
        <w:tabs>
          <w:tab w:leader="none" w:pos="1020" w:val="left"/>
        </w:tabs>
        <w:numPr>
          <w:ilvl w:val="0"/>
          <w:numId w:val="82"/>
        </w:numPr>
        <w:rPr>
          <w:rFonts w:ascii="MS PGothic" w:cs="MS PGothic" w:eastAsia="MS PGothic" w:hAnsi="MS PGothic"/>
          <w:sz w:val="12"/>
          <w:szCs w:val="12"/>
          <w:color w:val="auto"/>
        </w:rPr>
      </w:pPr>
      <w:r>
        <w:rPr>
          <w:rFonts w:ascii="Arial" w:cs="Arial" w:eastAsia="Arial" w:hAnsi="Arial"/>
          <w:sz w:val="17"/>
          <w:szCs w:val="17"/>
          <w:color w:val="auto"/>
        </w:rPr>
        <w:t>an annual option grant to purchase 9,925 shares of our Class A common stock on the date of each of our annual stockholder meetings.</w:t>
      </w:r>
    </w:p>
    <w:p>
      <w:pPr>
        <w:spacing w:after="0" w:line="146"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color w:val="auto"/>
        </w:rPr>
        <w:t>Consistent with our non-employee director compensation policy, we have granted to each of our non-employee directors an option to purchase 9,925 shares of our Class A common stock under our 2021 Plan, which will become effective in connection with this offering, at an exercise price per share equal to the initial public offering price in this offering.</w:t>
      </w:r>
    </w:p>
    <w:p>
      <w:pPr>
        <w:spacing w:after="0" w:line="146" w:lineRule="exact"/>
        <w:rPr>
          <w:sz w:val="20"/>
          <w:szCs w:val="20"/>
          <w:color w:val="auto"/>
        </w:rPr>
      </w:pPr>
    </w:p>
    <w:p>
      <w:pPr>
        <w:jc w:val="both"/>
        <w:ind w:left="160" w:right="60"/>
        <w:spacing w:after="0" w:line="252" w:lineRule="auto"/>
        <w:rPr>
          <w:sz w:val="20"/>
          <w:szCs w:val="20"/>
          <w:color w:val="auto"/>
        </w:rPr>
      </w:pPr>
      <w:r>
        <w:rPr>
          <w:rFonts w:ascii="Arial" w:cs="Arial" w:eastAsia="Arial" w:hAnsi="Arial"/>
          <w:sz w:val="16"/>
          <w:szCs w:val="16"/>
          <w:color w:val="auto"/>
        </w:rPr>
        <w:t>Each of the option grants described above will be granted under our 2021 Equity Incentive Plan (2021 Plan), the terms of which are described in more detail below under the section titled “Executive Compensation—Equity Benefit Plans—2021 Equity Incentive Plan.” Each such option grant will vest and become exercisable subject to the director’s continuous service to us through the earlier of the first anniversary of the date of grant or the next annual stockholder meeting. The term of each option will be 10 years, subject to earlier termination as provided in the 2021 Plan.</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020"/>
          </w:cols>
          <w:pgMar w:left="320" w:top="456" w:right="5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331" w:lineRule="exact"/>
        <w:rPr>
          <w:sz w:val="20"/>
          <w:szCs w:val="20"/>
          <w:color w:val="auto"/>
        </w:rPr>
      </w:pPr>
    </w:p>
    <w:p>
      <w:pPr>
        <w:ind w:left="160" w:right="300"/>
        <w:spacing w:after="0" w:line="239" w:lineRule="auto"/>
        <w:rPr>
          <w:sz w:val="20"/>
          <w:szCs w:val="20"/>
          <w:color w:val="auto"/>
        </w:rPr>
      </w:pPr>
      <w:r>
        <w:rPr>
          <w:rFonts w:ascii="Arial" w:cs="Arial" w:eastAsia="Arial" w:hAnsi="Arial"/>
          <w:sz w:val="17"/>
          <w:szCs w:val="17"/>
          <w:color w:val="auto"/>
        </w:rPr>
        <w:t>Our named executive officers for the year ended December 31, 2020, consisting of our principal executive officer and the next two most highly compensated executive officers, were:</w:t>
      </w:r>
    </w:p>
    <w:p>
      <w:pPr>
        <w:spacing w:after="0" w:line="186" w:lineRule="exact"/>
        <w:rPr>
          <w:sz w:val="20"/>
          <w:szCs w:val="20"/>
          <w:color w:val="auto"/>
        </w:rPr>
      </w:pPr>
    </w:p>
    <w:p>
      <w:pPr>
        <w:ind w:left="1020" w:hanging="425"/>
        <w:spacing w:after="0"/>
        <w:tabs>
          <w:tab w:leader="none" w:pos="1020" w:val="left"/>
        </w:tabs>
        <w:numPr>
          <w:ilvl w:val="0"/>
          <w:numId w:val="83"/>
        </w:numPr>
        <w:rPr>
          <w:rFonts w:ascii="MS PGothic" w:cs="MS PGothic" w:eastAsia="MS PGothic" w:hAnsi="MS PGothic"/>
          <w:sz w:val="12"/>
          <w:szCs w:val="12"/>
          <w:color w:val="auto"/>
        </w:rPr>
      </w:pPr>
      <w:r>
        <w:rPr>
          <w:rFonts w:ascii="Arial" w:cs="Arial" w:eastAsia="Arial" w:hAnsi="Arial"/>
          <w:sz w:val="17"/>
          <w:szCs w:val="17"/>
          <w:color w:val="auto"/>
        </w:rPr>
        <w:t>Marshall Fordyce, M.D., our President, Chief Executive Officer and Director;</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83"/>
        </w:numPr>
        <w:rPr>
          <w:rFonts w:ascii="MS PGothic" w:cs="MS PGothic" w:eastAsia="MS PGothic" w:hAnsi="MS PGothic"/>
          <w:sz w:val="12"/>
          <w:szCs w:val="12"/>
          <w:color w:val="auto"/>
        </w:rPr>
      </w:pPr>
      <w:r>
        <w:rPr>
          <w:rFonts w:ascii="Arial" w:cs="Arial" w:eastAsia="Arial" w:hAnsi="Arial"/>
          <w:sz w:val="17"/>
          <w:szCs w:val="17"/>
          <w:color w:val="auto"/>
        </w:rPr>
        <w:t>Joanne Curley, Ph.D., our Chief Development Officer;</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83"/>
        </w:numPr>
        <w:rPr>
          <w:rFonts w:ascii="MS PGothic" w:cs="MS PGothic" w:eastAsia="MS PGothic" w:hAnsi="MS PGothic"/>
          <w:sz w:val="12"/>
          <w:szCs w:val="12"/>
          <w:color w:val="auto"/>
        </w:rPr>
      </w:pPr>
      <w:r>
        <w:rPr>
          <w:rFonts w:ascii="Arial" w:cs="Arial" w:eastAsia="Arial" w:hAnsi="Arial"/>
          <w:sz w:val="17"/>
          <w:szCs w:val="17"/>
          <w:color w:val="auto"/>
        </w:rPr>
        <w:t>Jonathan Wolter, our Chief Financial Officer; and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83"/>
        </w:numPr>
        <w:rPr>
          <w:rFonts w:ascii="MS PGothic" w:cs="MS PGothic" w:eastAsia="MS PGothic" w:hAnsi="MS PGothic"/>
          <w:sz w:val="12"/>
          <w:szCs w:val="12"/>
          <w:color w:val="auto"/>
        </w:rPr>
      </w:pPr>
      <w:r>
        <w:rPr>
          <w:rFonts w:ascii="Arial" w:cs="Arial" w:eastAsia="Arial" w:hAnsi="Arial"/>
          <w:sz w:val="17"/>
          <w:szCs w:val="17"/>
          <w:color w:val="auto"/>
        </w:rPr>
        <w:t>Allen Ebens, Ph.D., our former Chief Scientific Officer.</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2020 Summary Compensation Table</w:t>
      </w:r>
    </w:p>
    <w:p>
      <w:pPr>
        <w:spacing w:after="0" w:line="91" w:lineRule="exact"/>
        <w:rPr>
          <w:sz w:val="20"/>
          <w:szCs w:val="20"/>
          <w:color w:val="auto"/>
        </w:rPr>
      </w:pPr>
    </w:p>
    <w:p>
      <w:pPr>
        <w:ind w:left="160" w:right="160"/>
        <w:spacing w:after="0" w:line="239" w:lineRule="auto"/>
        <w:rPr>
          <w:sz w:val="20"/>
          <w:szCs w:val="20"/>
          <w:color w:val="auto"/>
        </w:rPr>
      </w:pPr>
      <w:r>
        <w:rPr>
          <w:rFonts w:ascii="Arial" w:cs="Arial" w:eastAsia="Arial" w:hAnsi="Arial"/>
          <w:sz w:val="17"/>
          <w:szCs w:val="17"/>
          <w:color w:val="auto"/>
        </w:rPr>
        <w:t>The following table presents all of the compensation awarded to, earned by, or paid to our named executive officers during the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NON-EQUITY</w:t>
            </w: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INCENTIVE</w:t>
            </w: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6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7"/>
              </w:rPr>
              <w:t>STOCK</w:t>
            </w:r>
          </w:p>
        </w:tc>
        <w:tc>
          <w:tcPr>
            <w:tcW w:w="9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OPTION</w:t>
            </w:r>
          </w:p>
        </w:tc>
        <w:tc>
          <w:tcPr>
            <w:tcW w:w="14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9"/>
              </w:rPr>
              <w:t>PLAN</w:t>
            </w:r>
          </w:p>
        </w:tc>
        <w:tc>
          <w:tcPr>
            <w:tcW w:w="15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FISCAL</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AWARDS</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AWARDS</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COMPENSATION</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COMPENSATION</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640" w:type="dxa"/>
            <w:vAlign w:val="bottom"/>
          </w:tcPr>
          <w:p>
            <w:pPr>
              <w:jc w:val="center"/>
              <w:spacing w:after="0" w:line="17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(1)</w:t>
            </w:r>
          </w:p>
        </w:tc>
        <w:tc>
          <w:tcPr>
            <w:tcW w:w="220" w:type="dxa"/>
            <w:vAlign w:val="bottom"/>
          </w:tcPr>
          <w:p>
            <w:pPr>
              <w:spacing w:after="0"/>
              <w:rPr>
                <w:sz w:val="15"/>
                <w:szCs w:val="15"/>
                <w:color w:val="auto"/>
              </w:rPr>
            </w:pPr>
          </w:p>
        </w:tc>
        <w:tc>
          <w:tcPr>
            <w:tcW w:w="740" w:type="dxa"/>
            <w:vAlign w:val="bottom"/>
          </w:tcPr>
          <w:p>
            <w:pPr>
              <w:jc w:val="center"/>
              <w:spacing w:after="0" w:line="17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(2)</w:t>
            </w:r>
          </w:p>
        </w:tc>
        <w:tc>
          <w:tcPr>
            <w:tcW w:w="220" w:type="dxa"/>
            <w:vAlign w:val="bottom"/>
          </w:tcPr>
          <w:p>
            <w:pPr>
              <w:spacing w:after="0"/>
              <w:rPr>
                <w:sz w:val="15"/>
                <w:szCs w:val="15"/>
                <w:color w:val="auto"/>
              </w:rPr>
            </w:pPr>
          </w:p>
        </w:tc>
        <w:tc>
          <w:tcPr>
            <w:tcW w:w="1160" w:type="dxa"/>
            <w:vAlign w:val="bottom"/>
          </w:tcPr>
          <w:p>
            <w:pPr>
              <w:jc w:val="center"/>
              <w:spacing w:after="0" w:line="17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(3)</w:t>
            </w:r>
          </w:p>
        </w:tc>
        <w:tc>
          <w:tcPr>
            <w:tcW w:w="2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720" w:type="dxa"/>
            <w:vAlign w:val="bottom"/>
          </w:tcPr>
          <w:p>
            <w:pPr>
              <w:jc w:val="right"/>
              <w:ind w:right="20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660" w:type="dxa"/>
            <w:vAlign w:val="bottom"/>
            <w:gridSpan w:val="2"/>
            <w:shd w:val="clear" w:color="auto" w:fill="CCEEFF"/>
          </w:tcPr>
          <w:p>
            <w:pPr>
              <w:spacing w:after="0" w:line="114" w:lineRule="exact"/>
              <w:rPr>
                <w:sz w:val="20"/>
                <w:szCs w:val="20"/>
                <w:color w:val="auto"/>
              </w:rPr>
            </w:pPr>
            <w:r>
              <w:rPr>
                <w:rFonts w:ascii="Arial" w:cs="Arial" w:eastAsia="Arial" w:hAnsi="Arial"/>
                <w:sz w:val="13"/>
                <w:szCs w:val="13"/>
                <w:color w:val="auto"/>
              </w:rPr>
              <w:t>Marshall Fordyce, M.D.</w:t>
            </w: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5"/>
                <w:szCs w:val="15"/>
                <w:i w:val="1"/>
                <w:iCs w:val="1"/>
                <w:color w:val="auto"/>
              </w:rPr>
              <w:t>Chief Executive Officer</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2020</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360,000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316,323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2,441,982</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108,000</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3,226,305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660" w:type="dxa"/>
            <w:vAlign w:val="bottom"/>
            <w:gridSpan w:val="2"/>
          </w:tcPr>
          <w:p>
            <w:pPr>
              <w:spacing w:after="0" w:line="141" w:lineRule="exact"/>
              <w:rPr>
                <w:sz w:val="20"/>
                <w:szCs w:val="20"/>
                <w:color w:val="auto"/>
              </w:rPr>
            </w:pPr>
            <w:r>
              <w:rPr>
                <w:rFonts w:ascii="Arial" w:cs="Arial" w:eastAsia="Arial" w:hAnsi="Arial"/>
                <w:sz w:val="15"/>
                <w:szCs w:val="15"/>
                <w:color w:val="auto"/>
              </w:rPr>
              <w:t>Joanne Curley, Ph.D.</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60" w:type="dxa"/>
            <w:vAlign w:val="bottom"/>
            <w:gridSpan w:val="2"/>
          </w:tcPr>
          <w:p>
            <w:pPr>
              <w:ind w:left="220"/>
              <w:spacing w:after="0"/>
              <w:rPr>
                <w:sz w:val="20"/>
                <w:szCs w:val="20"/>
                <w:color w:val="auto"/>
              </w:rPr>
            </w:pPr>
            <w:r>
              <w:rPr>
                <w:rFonts w:ascii="Arial" w:cs="Arial" w:eastAsia="Arial" w:hAnsi="Arial"/>
                <w:sz w:val="15"/>
                <w:szCs w:val="15"/>
                <w:i w:val="1"/>
                <w:iCs w:val="1"/>
                <w:color w:val="auto"/>
              </w:rPr>
              <w:t xml:space="preserve">Chief Development Officer </w:t>
            </w:r>
            <w:r>
              <w:rPr>
                <w:rFonts w:ascii="Arial" w:cs="Arial" w:eastAsia="Arial" w:hAnsi="Arial"/>
                <w:sz w:val="12"/>
                <w:szCs w:val="12"/>
                <w:color w:val="auto"/>
              </w:rPr>
              <w:t>(4)</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2020</w:t>
            </w:r>
          </w:p>
        </w:tc>
        <w:tc>
          <w:tcPr>
            <w:tcW w:w="980" w:type="dxa"/>
            <w:vAlign w:val="bottom"/>
            <w:gridSpan w:val="2"/>
          </w:tcPr>
          <w:p>
            <w:pPr>
              <w:ind w:left="60"/>
              <w:spacing w:after="0"/>
              <w:rPr>
                <w:sz w:val="20"/>
                <w:szCs w:val="20"/>
                <w:color w:val="auto"/>
              </w:rPr>
            </w:pPr>
            <w:r>
              <w:rPr>
                <w:rFonts w:ascii="Arial" w:cs="Arial" w:eastAsia="Arial" w:hAnsi="Arial"/>
                <w:sz w:val="15"/>
                <w:szCs w:val="15"/>
                <w:color w:val="auto"/>
              </w:rPr>
              <w:t>286,458</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318,212</w:t>
            </w:r>
          </w:p>
        </w:tc>
        <w:tc>
          <w:tcPr>
            <w:tcW w:w="1400" w:type="dxa"/>
            <w:vAlign w:val="bottom"/>
            <w:gridSpan w:val="2"/>
          </w:tcPr>
          <w:p>
            <w:pPr>
              <w:jc w:val="right"/>
              <w:ind w:right="240"/>
              <w:spacing w:after="0"/>
              <w:rPr>
                <w:sz w:val="20"/>
                <w:szCs w:val="20"/>
                <w:color w:val="auto"/>
              </w:rPr>
            </w:pPr>
            <w:r>
              <w:rPr>
                <w:rFonts w:ascii="Arial" w:cs="Arial" w:eastAsia="Arial" w:hAnsi="Arial"/>
                <w:sz w:val="15"/>
                <w:szCs w:val="15"/>
                <w:color w:val="auto"/>
              </w:rPr>
              <w:t>105,000</w:t>
            </w:r>
          </w:p>
        </w:tc>
        <w:tc>
          <w:tcPr>
            <w:tcW w:w="154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709,670</w:t>
            </w:r>
          </w:p>
        </w:tc>
        <w:tc>
          <w:tcPr>
            <w:tcW w:w="0" w:type="dxa"/>
            <w:vAlign w:val="bottom"/>
          </w:tcPr>
          <w:p>
            <w:pPr>
              <w:spacing w:after="0"/>
              <w:rPr>
                <w:sz w:val="1"/>
                <w:szCs w:val="1"/>
                <w:color w:val="auto"/>
              </w:rPr>
            </w:pPr>
          </w:p>
        </w:tc>
      </w:tr>
      <w:tr>
        <w:trPr>
          <w:trHeight w:val="141"/>
        </w:trPr>
        <w:tc>
          <w:tcPr>
            <w:tcW w:w="3660" w:type="dxa"/>
            <w:vAlign w:val="bottom"/>
            <w:gridSpan w:val="2"/>
            <w:shd w:val="clear" w:color="auto" w:fill="CCEEFF"/>
          </w:tcPr>
          <w:p>
            <w:pPr>
              <w:spacing w:after="0" w:line="141" w:lineRule="exact"/>
              <w:rPr>
                <w:sz w:val="20"/>
                <w:szCs w:val="20"/>
                <w:color w:val="auto"/>
              </w:rPr>
            </w:pPr>
            <w:r>
              <w:rPr>
                <w:rFonts w:ascii="Arial" w:cs="Arial" w:eastAsia="Arial" w:hAnsi="Arial"/>
                <w:sz w:val="15"/>
                <w:szCs w:val="15"/>
                <w:color w:val="auto"/>
              </w:rPr>
              <w:t>Jonathan Wolter</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5"/>
                <w:szCs w:val="15"/>
                <w:i w:val="1"/>
                <w:iCs w:val="1"/>
                <w:color w:val="auto"/>
              </w:rPr>
              <w:t xml:space="preserve">Chief Financial Officer </w:t>
            </w:r>
            <w:r>
              <w:rPr>
                <w:rFonts w:ascii="Arial" w:cs="Arial" w:eastAsia="Arial" w:hAnsi="Arial"/>
                <w:sz w:val="12"/>
                <w:szCs w:val="12"/>
                <w:color w:val="auto"/>
              </w:rPr>
              <w:t>(5)</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2020</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205,300</w:t>
            </w:r>
            <w:r>
              <w:rPr>
                <w:rFonts w:ascii="Arial" w:cs="Arial" w:eastAsia="Arial" w:hAnsi="Arial"/>
                <w:sz w:val="12"/>
                <w:szCs w:val="12"/>
                <w:color w:val="auto"/>
              </w:rPr>
              <w:t>(6)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205,300</w:t>
            </w:r>
          </w:p>
        </w:tc>
        <w:tc>
          <w:tcPr>
            <w:tcW w:w="0" w:type="dxa"/>
            <w:vAlign w:val="bottom"/>
          </w:tcPr>
          <w:p>
            <w:pPr>
              <w:spacing w:after="0"/>
              <w:rPr>
                <w:sz w:val="1"/>
                <w:szCs w:val="1"/>
                <w:color w:val="auto"/>
              </w:rPr>
            </w:pPr>
          </w:p>
        </w:tc>
      </w:tr>
      <w:tr>
        <w:trPr>
          <w:trHeight w:val="141"/>
        </w:trPr>
        <w:tc>
          <w:tcPr>
            <w:tcW w:w="3660" w:type="dxa"/>
            <w:vAlign w:val="bottom"/>
            <w:gridSpan w:val="2"/>
          </w:tcPr>
          <w:p>
            <w:pPr>
              <w:spacing w:after="0" w:line="141" w:lineRule="exact"/>
              <w:rPr>
                <w:sz w:val="20"/>
                <w:szCs w:val="20"/>
                <w:color w:val="auto"/>
              </w:rPr>
            </w:pPr>
            <w:r>
              <w:rPr>
                <w:rFonts w:ascii="Arial" w:cs="Arial" w:eastAsia="Arial" w:hAnsi="Arial"/>
                <w:sz w:val="15"/>
                <w:szCs w:val="15"/>
                <w:color w:val="auto"/>
              </w:rPr>
              <w:t>Allen Ebens, Ph.D.</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660" w:type="dxa"/>
            <w:vAlign w:val="bottom"/>
            <w:gridSpan w:val="2"/>
          </w:tcPr>
          <w:p>
            <w:pPr>
              <w:ind w:left="220"/>
              <w:spacing w:after="0"/>
              <w:rPr>
                <w:sz w:val="20"/>
                <w:szCs w:val="20"/>
                <w:color w:val="auto"/>
              </w:rPr>
            </w:pPr>
            <w:r>
              <w:rPr>
                <w:rFonts w:ascii="Arial" w:cs="Arial" w:eastAsia="Arial" w:hAnsi="Arial"/>
                <w:sz w:val="15"/>
                <w:szCs w:val="15"/>
                <w:i w:val="1"/>
                <w:iCs w:val="1"/>
                <w:color w:val="auto"/>
              </w:rPr>
              <w:t xml:space="preserve">Former Chief Scientific Officer </w:t>
            </w:r>
            <w:r>
              <w:rPr>
                <w:rFonts w:ascii="Arial" w:cs="Arial" w:eastAsia="Arial" w:hAnsi="Arial"/>
                <w:sz w:val="12"/>
                <w:szCs w:val="12"/>
                <w:color w:val="auto"/>
              </w:rPr>
              <w:t>(7)</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2020</w:t>
            </w:r>
          </w:p>
        </w:tc>
        <w:tc>
          <w:tcPr>
            <w:tcW w:w="980" w:type="dxa"/>
            <w:vAlign w:val="bottom"/>
            <w:gridSpan w:val="2"/>
          </w:tcPr>
          <w:p>
            <w:pPr>
              <w:ind w:left="60"/>
              <w:spacing w:after="0"/>
              <w:rPr>
                <w:sz w:val="20"/>
                <w:szCs w:val="20"/>
                <w:color w:val="auto"/>
              </w:rPr>
            </w:pPr>
            <w:r>
              <w:rPr>
                <w:rFonts w:ascii="Arial" w:cs="Arial" w:eastAsia="Arial" w:hAnsi="Arial"/>
                <w:sz w:val="15"/>
                <w:szCs w:val="15"/>
                <w:color w:val="auto"/>
              </w:rPr>
              <w:t>263,691</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5"/>
                <w:szCs w:val="15"/>
                <w:color w:val="auto"/>
              </w:rPr>
              <w:t>133,333</w:t>
            </w:r>
            <w:r>
              <w:rPr>
                <w:rFonts w:ascii="Arial" w:cs="Arial" w:eastAsia="Arial" w:hAnsi="Arial"/>
                <w:sz w:val="12"/>
                <w:szCs w:val="12"/>
                <w:color w:val="auto"/>
              </w:rPr>
              <w:t>(8)</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397,025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125095</wp:posOffset>
            </wp:positionV>
            <wp:extent cx="69297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5" w:lineRule="exact"/>
        <w:rPr>
          <w:sz w:val="20"/>
          <w:szCs w:val="20"/>
          <w:color w:val="auto"/>
        </w:rPr>
      </w:pPr>
    </w:p>
    <w:p>
      <w:pPr>
        <w:ind w:left="600" w:right="140" w:hanging="259"/>
        <w:spacing w:after="0" w:line="197" w:lineRule="auto"/>
        <w:tabs>
          <w:tab w:leader="none" w:pos="60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In October 2020, in connection with the closing of our Series C redeemable convertible preferred stock financing, 49,636 outstanding shares of our Class A common stock held by Dr. Fordyce were amended to be subject to a 12 month vesting period. The amounts disclosed represent the value of such amendment, computed in accordance with FASB ASC Topic 718.</w:t>
      </w:r>
    </w:p>
    <w:p>
      <w:pPr>
        <w:spacing w:after="0" w:line="30" w:lineRule="exact"/>
        <w:rPr>
          <w:rFonts w:ascii="Arial" w:cs="Arial" w:eastAsia="Arial" w:hAnsi="Arial"/>
          <w:sz w:val="24"/>
          <w:szCs w:val="24"/>
          <w:color w:val="auto"/>
          <w:vertAlign w:val="superscript"/>
        </w:rPr>
      </w:pPr>
    </w:p>
    <w:p>
      <w:pPr>
        <w:ind w:left="600" w:right="140" w:hanging="259"/>
        <w:spacing w:after="0" w:line="206" w:lineRule="auto"/>
        <w:tabs>
          <w:tab w:leader="none" w:pos="60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The amounts disclosed represent the aggregate grant date fair value of the awards granted to our named executive officers during fiscal year 2020 under our 2017 Plan, computed in accordance with FASB ASC Topic 718. The assumptions used in calculating the grant date fair value of the stock options are set forth in Note 7 to our audited financial statements included elsewhere in this prospectus. This amount does not reflect the actual economic value that may be realized by the named executive officer.</w:t>
      </w:r>
    </w:p>
    <w:p>
      <w:pPr>
        <w:spacing w:after="0" w:line="30" w:lineRule="exact"/>
        <w:rPr>
          <w:rFonts w:ascii="Arial" w:cs="Arial" w:eastAsia="Arial" w:hAnsi="Arial"/>
          <w:sz w:val="24"/>
          <w:szCs w:val="24"/>
          <w:color w:val="auto"/>
          <w:vertAlign w:val="superscript"/>
        </w:rPr>
      </w:pPr>
    </w:p>
    <w:p>
      <w:pPr>
        <w:ind w:left="600" w:right="100" w:hanging="259"/>
        <w:spacing w:after="0" w:line="182" w:lineRule="auto"/>
        <w:tabs>
          <w:tab w:leader="none" w:pos="60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The amounts disclosed represent performance bonuses earned in 2020, but paid in the beginning of 2021. Dr. Curley’s bonus was pro-rated to reflect her partial year of service.</w:t>
      </w:r>
    </w:p>
    <w:p>
      <w:pPr>
        <w:ind w:left="600" w:hanging="259"/>
        <w:spacing w:after="0" w:line="182" w:lineRule="auto"/>
        <w:tabs>
          <w:tab w:leader="none" w:pos="600" w:val="left"/>
        </w:tabs>
        <w:numPr>
          <w:ilvl w:val="0"/>
          <w:numId w:val="84"/>
        </w:numPr>
        <w:rPr>
          <w:rFonts w:ascii="Arial" w:cs="Arial" w:eastAsia="Arial" w:hAnsi="Arial"/>
          <w:sz w:val="23"/>
          <w:szCs w:val="23"/>
          <w:color w:val="auto"/>
          <w:vertAlign w:val="superscript"/>
        </w:rPr>
      </w:pPr>
      <w:r>
        <w:rPr>
          <w:rFonts w:ascii="Arial" w:cs="Arial" w:eastAsia="Arial" w:hAnsi="Arial"/>
          <w:sz w:val="14"/>
          <w:szCs w:val="14"/>
          <w:color w:val="auto"/>
        </w:rPr>
        <w:t>Dr. Curley has served as our Chief Development Officer since March 2020.</w:t>
      </w:r>
    </w:p>
    <w:p>
      <w:pPr>
        <w:spacing w:after="0" w:line="29" w:lineRule="exact"/>
        <w:rPr>
          <w:rFonts w:ascii="Arial" w:cs="Arial" w:eastAsia="Arial" w:hAnsi="Arial"/>
          <w:sz w:val="23"/>
          <w:szCs w:val="23"/>
          <w:color w:val="auto"/>
          <w:vertAlign w:val="superscript"/>
        </w:rPr>
      </w:pPr>
    </w:p>
    <w:p>
      <w:pPr>
        <w:ind w:left="600" w:hanging="259"/>
        <w:spacing w:after="0" w:line="187" w:lineRule="auto"/>
        <w:tabs>
          <w:tab w:leader="none" w:pos="600" w:val="left"/>
        </w:tabs>
        <w:numPr>
          <w:ilvl w:val="0"/>
          <w:numId w:val="84"/>
        </w:numPr>
        <w:rPr>
          <w:rFonts w:ascii="Arial" w:cs="Arial" w:eastAsia="Arial" w:hAnsi="Arial"/>
          <w:sz w:val="19"/>
          <w:szCs w:val="19"/>
          <w:color w:val="auto"/>
          <w:vertAlign w:val="superscript"/>
        </w:rPr>
      </w:pPr>
      <w:r>
        <w:rPr>
          <w:rFonts w:ascii="Arial" w:cs="Arial" w:eastAsia="Arial" w:hAnsi="Arial"/>
          <w:sz w:val="12"/>
          <w:szCs w:val="12"/>
          <w:color w:val="auto"/>
        </w:rPr>
        <w:t>Mr. Wolter has served as our Chief Financial Officer since March 2020, whereby we contracted with FLG Partners, LLC for his services.</w:t>
      </w:r>
    </w:p>
    <w:p>
      <w:pPr>
        <w:spacing w:after="0" w:line="30" w:lineRule="exact"/>
        <w:rPr>
          <w:rFonts w:ascii="Arial" w:cs="Arial" w:eastAsia="Arial" w:hAnsi="Arial"/>
          <w:sz w:val="19"/>
          <w:szCs w:val="19"/>
          <w:color w:val="auto"/>
          <w:vertAlign w:val="superscript"/>
        </w:rPr>
      </w:pPr>
    </w:p>
    <w:p>
      <w:pPr>
        <w:ind w:left="600" w:hanging="259"/>
        <w:spacing w:after="0" w:line="187" w:lineRule="auto"/>
        <w:tabs>
          <w:tab w:leader="none" w:pos="600" w:val="left"/>
        </w:tabs>
        <w:numPr>
          <w:ilvl w:val="0"/>
          <w:numId w:val="84"/>
        </w:numPr>
        <w:rPr>
          <w:rFonts w:ascii="Arial" w:cs="Arial" w:eastAsia="Arial" w:hAnsi="Arial"/>
          <w:sz w:val="19"/>
          <w:szCs w:val="19"/>
          <w:color w:val="auto"/>
          <w:vertAlign w:val="superscript"/>
        </w:rPr>
      </w:pPr>
      <w:r>
        <w:rPr>
          <w:rFonts w:ascii="Arial" w:cs="Arial" w:eastAsia="Arial" w:hAnsi="Arial"/>
          <w:sz w:val="12"/>
          <w:szCs w:val="12"/>
          <w:color w:val="auto"/>
        </w:rPr>
        <w:t>The amounts disclosed represent consulting fees paid by the Company in consideration for Mr. Wolter’s services as our Chief Financial Officer.</w:t>
      </w:r>
    </w:p>
    <w:p>
      <w:pPr>
        <w:spacing w:after="0" w:line="30" w:lineRule="exact"/>
        <w:rPr>
          <w:rFonts w:ascii="Arial" w:cs="Arial" w:eastAsia="Arial" w:hAnsi="Arial"/>
          <w:sz w:val="19"/>
          <w:szCs w:val="19"/>
          <w:color w:val="auto"/>
          <w:vertAlign w:val="superscript"/>
        </w:rPr>
      </w:pPr>
    </w:p>
    <w:p>
      <w:pPr>
        <w:ind w:left="600" w:hanging="259"/>
        <w:spacing w:after="0" w:line="187" w:lineRule="auto"/>
        <w:tabs>
          <w:tab w:leader="none" w:pos="600" w:val="left"/>
        </w:tabs>
        <w:numPr>
          <w:ilvl w:val="0"/>
          <w:numId w:val="84"/>
        </w:numPr>
        <w:rPr>
          <w:rFonts w:ascii="Arial" w:cs="Arial" w:eastAsia="Arial" w:hAnsi="Arial"/>
          <w:sz w:val="19"/>
          <w:szCs w:val="19"/>
          <w:color w:val="auto"/>
          <w:vertAlign w:val="superscript"/>
        </w:rPr>
      </w:pPr>
      <w:r>
        <w:rPr>
          <w:rFonts w:ascii="Arial" w:cs="Arial" w:eastAsia="Arial" w:hAnsi="Arial"/>
          <w:sz w:val="12"/>
          <w:szCs w:val="12"/>
          <w:color w:val="auto"/>
        </w:rPr>
        <w:t>Dr. Ebens’ employment was terminated as our Chief Scientific Officer effective October 2020 following a shift in our operations from preclinical to clinical development.</w:t>
      </w:r>
    </w:p>
    <w:p>
      <w:pPr>
        <w:spacing w:after="0" w:line="30" w:lineRule="exact"/>
        <w:rPr>
          <w:rFonts w:ascii="Arial" w:cs="Arial" w:eastAsia="Arial" w:hAnsi="Arial"/>
          <w:sz w:val="19"/>
          <w:szCs w:val="19"/>
          <w:color w:val="auto"/>
          <w:vertAlign w:val="superscript"/>
        </w:rPr>
      </w:pPr>
    </w:p>
    <w:p>
      <w:pPr>
        <w:ind w:left="600" w:hanging="259"/>
        <w:spacing w:after="0" w:line="187" w:lineRule="auto"/>
        <w:tabs>
          <w:tab w:leader="none" w:pos="600" w:val="left"/>
        </w:tabs>
        <w:numPr>
          <w:ilvl w:val="0"/>
          <w:numId w:val="84"/>
        </w:numPr>
        <w:rPr>
          <w:rFonts w:ascii="Arial" w:cs="Arial" w:eastAsia="Arial" w:hAnsi="Arial"/>
          <w:sz w:val="19"/>
          <w:szCs w:val="19"/>
          <w:color w:val="auto"/>
          <w:vertAlign w:val="superscript"/>
        </w:rPr>
      </w:pPr>
      <w:r>
        <w:rPr>
          <w:rFonts w:ascii="Arial" w:cs="Arial" w:eastAsia="Arial" w:hAnsi="Arial"/>
          <w:sz w:val="12"/>
          <w:szCs w:val="12"/>
          <w:color w:val="auto"/>
        </w:rPr>
        <w:t>This amount represents severance payable to Dr. Ebens.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77"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Our board of directors reviews compensation annually for all employees, including our named executive officers. In making compensation determinations,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w:t>
      </w:r>
    </w:p>
    <w:p>
      <w:pPr>
        <w:spacing w:after="0" w:line="147" w:lineRule="exact"/>
        <w:rPr>
          <w:sz w:val="20"/>
          <w:szCs w:val="20"/>
          <w:color w:val="auto"/>
        </w:rPr>
      </w:pPr>
    </w:p>
    <w:p>
      <w:pPr>
        <w:ind w:left="160" w:right="300"/>
        <w:spacing w:after="0" w:line="236" w:lineRule="auto"/>
        <w:rPr>
          <w:sz w:val="20"/>
          <w:szCs w:val="20"/>
          <w:color w:val="auto"/>
        </w:rPr>
      </w:pPr>
      <w:r>
        <w:rPr>
          <w:rFonts w:ascii="Arial" w:cs="Arial" w:eastAsia="Arial" w:hAnsi="Arial"/>
          <w:sz w:val="17"/>
          <w:szCs w:val="17"/>
          <w:color w:val="auto"/>
        </w:rPr>
        <w:t>Our board of directors has historically determined our named executive officers’ compensation and has typically reviewed and discussed management’s proposed compensation with our chief executive officer for all executives other than our chief executive officer. Based on those discussions and its discretion, our board of directors then</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080"/>
          </w:cols>
          <w:pgMar w:left="320" w:top="456"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140"/>
        <w:spacing w:after="0" w:line="236" w:lineRule="auto"/>
        <w:rPr>
          <w:sz w:val="20"/>
          <w:szCs w:val="20"/>
          <w:color w:val="auto"/>
        </w:rPr>
      </w:pPr>
      <w:r>
        <w:rPr>
          <w:rFonts w:ascii="Arial" w:cs="Arial" w:eastAsia="Arial" w:hAnsi="Arial"/>
          <w:sz w:val="17"/>
          <w:szCs w:val="17"/>
          <w:color w:val="auto"/>
        </w:rPr>
        <w:t>approved the compensation of each named executive officer. Upon the closing of this offering, the compensation committee will determine our executive officers’ compensation and follow this process, but generally the compensation committee itself, rather than our board of directors, will approve the compensation of each named executive officer.</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Annual Base Salary</w:t>
      </w:r>
    </w:p>
    <w:p>
      <w:pPr>
        <w:spacing w:after="0" w:line="91" w:lineRule="exact"/>
        <w:rPr>
          <w:sz w:val="20"/>
          <w:szCs w:val="20"/>
          <w:color w:val="auto"/>
        </w:rPr>
      </w:pPr>
    </w:p>
    <w:p>
      <w:pPr>
        <w:ind w:left="160" w:right="180"/>
        <w:spacing w:after="0" w:line="232" w:lineRule="auto"/>
        <w:rPr>
          <w:sz w:val="20"/>
          <w:szCs w:val="20"/>
          <w:color w:val="auto"/>
        </w:rPr>
      </w:pPr>
      <w:r>
        <w:rPr>
          <w:rFonts w:ascii="Arial" w:cs="Arial" w:eastAsia="Arial" w:hAnsi="Arial"/>
          <w:sz w:val="17"/>
          <w:szCs w:val="17"/>
          <w:color w:val="auto"/>
        </w:rPr>
        <w:t>Base salaries for our named executive officers are initially established through arm’s-length negotiations at the time of the named executive officer’s hiring, taking into account such named executive officer’s qualifications, experience, the scope of his or her responsibilities and competitive market compensation paid by other companies for similar positions within the industry and geography. Base salaries are reviewed periodically, typically in connection with our annual performance review process, and adjusted from time to time to realign salaries with market levels after taking into account individual responsibilities, performance and experience. In making decisions regarding salary increases, we may also draw upon the experience of members of our board of directors with executives at other companies. The 2020 annual base salaries for our named executive officers are set forth in the table below, except for Mr. Wolter. We pay FLG Partners a rate of $400 per hour for Mr. Wolter’s services as our Chief Financial Officer, to a maximum of $25,000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130810</wp:posOffset>
            </wp:positionV>
            <wp:extent cx="69297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560" w:type="dxa"/>
            <w:vAlign w:val="bottom"/>
            <w:vMerge w:val="restart"/>
          </w:tcPr>
          <w:p>
            <w:pPr>
              <w:spacing w:after="0"/>
              <w:rPr>
                <w:sz w:val="14"/>
                <w:szCs w:val="14"/>
                <w:color w:val="auto"/>
              </w:rPr>
            </w:pPr>
          </w:p>
        </w:tc>
        <w:tc>
          <w:tcPr>
            <w:tcW w:w="404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2020 BASE</w:t>
            </w:r>
          </w:p>
        </w:tc>
        <w:tc>
          <w:tcPr>
            <w:tcW w:w="0" w:type="dxa"/>
            <w:vAlign w:val="bottom"/>
          </w:tcPr>
          <w:p>
            <w:pPr>
              <w:spacing w:after="0"/>
              <w:rPr>
                <w:sz w:val="1"/>
                <w:szCs w:val="1"/>
                <w:color w:val="auto"/>
              </w:rPr>
            </w:pPr>
          </w:p>
        </w:tc>
      </w:tr>
      <w:tr>
        <w:trPr>
          <w:trHeight w:val="180"/>
        </w:trPr>
        <w:tc>
          <w:tcPr>
            <w:tcW w:w="440" w:type="dxa"/>
            <w:vAlign w:val="bottom"/>
            <w:tcBorders>
              <w:bottom w:val="single" w:sz="8" w:color="auto"/>
            </w:tcBorders>
            <w:vMerge w:val="continue"/>
          </w:tcPr>
          <w:p>
            <w:pPr>
              <w:spacing w:after="0"/>
              <w:rPr>
                <w:sz w:val="15"/>
                <w:szCs w:val="15"/>
                <w:color w:val="auto"/>
              </w:rPr>
            </w:pPr>
          </w:p>
        </w:tc>
        <w:tc>
          <w:tcPr>
            <w:tcW w:w="5560" w:type="dxa"/>
            <w:vAlign w:val="bottom"/>
            <w:vMerge w:val="continue"/>
          </w:tcPr>
          <w:p>
            <w:pPr>
              <w:spacing w:after="0"/>
              <w:rPr>
                <w:sz w:val="15"/>
                <w:szCs w:val="15"/>
                <w:color w:val="auto"/>
              </w:rPr>
            </w:pPr>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SALARY</w:t>
            </w:r>
          </w:p>
        </w:tc>
        <w:tc>
          <w:tcPr>
            <w:tcW w:w="0" w:type="dxa"/>
            <w:vAlign w:val="bottom"/>
          </w:tcPr>
          <w:p>
            <w:pPr>
              <w:spacing w:after="0"/>
              <w:rPr>
                <w:sz w:val="1"/>
                <w:szCs w:val="1"/>
                <w:color w:val="auto"/>
              </w:rPr>
            </w:pPr>
          </w:p>
        </w:tc>
      </w:tr>
      <w:tr>
        <w:trPr>
          <w:trHeight w:val="174"/>
        </w:trPr>
        <w:tc>
          <w:tcPr>
            <w:tcW w:w="6000" w:type="dxa"/>
            <w:vAlign w:val="bottom"/>
            <w:tcBorders>
              <w:top w:val="single" w:sz="8" w:color="CCEEFF"/>
            </w:tcBorders>
            <w:gridSpan w:val="2"/>
            <w:shd w:val="clear" w:color="auto" w:fill="CCEEFF"/>
          </w:tcPr>
          <w:p>
            <w:pPr>
              <w:spacing w:after="0" w:line="174" w:lineRule="exact"/>
              <w:rPr>
                <w:sz w:val="20"/>
                <w:szCs w:val="20"/>
                <w:color w:val="auto"/>
              </w:rPr>
            </w:pPr>
            <w:r>
              <w:rPr>
                <w:rFonts w:ascii="Arial" w:cs="Arial" w:eastAsia="Arial" w:hAnsi="Arial"/>
                <w:sz w:val="17"/>
                <w:szCs w:val="17"/>
                <w:color w:val="auto"/>
              </w:rPr>
              <w:t xml:space="preserve">Marshall Fordyce, M.D. </w:t>
            </w:r>
            <w:r>
              <w:rPr>
                <w:rFonts w:ascii="Arial" w:cs="Arial" w:eastAsia="Arial" w:hAnsi="Arial"/>
                <w:sz w:val="14"/>
                <w:szCs w:val="14"/>
                <w:color w:val="auto"/>
              </w:rPr>
              <w:t>(1)</w:t>
            </w:r>
          </w:p>
        </w:tc>
        <w:tc>
          <w:tcPr>
            <w:tcW w:w="40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7"/>
                <w:szCs w:val="17"/>
                <w:color w:val="auto"/>
              </w:rPr>
              <w:t>400,000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00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Joanne Curley, Ph.D. </w:t>
            </w:r>
            <w:r>
              <w:rPr>
                <w:rFonts w:ascii="Arial" w:cs="Arial" w:eastAsia="Arial" w:hAnsi="Arial"/>
                <w:sz w:val="14"/>
                <w:szCs w:val="14"/>
                <w:color w:val="auto"/>
              </w:rPr>
              <w:t>(2)</w:t>
            </w:r>
          </w:p>
        </w:tc>
        <w:tc>
          <w:tcPr>
            <w:tcW w:w="414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350,000</w:t>
            </w:r>
          </w:p>
        </w:tc>
        <w:tc>
          <w:tcPr>
            <w:tcW w:w="0" w:type="dxa"/>
            <w:vAlign w:val="bottom"/>
          </w:tcPr>
          <w:p>
            <w:pPr>
              <w:spacing w:after="0"/>
              <w:rPr>
                <w:sz w:val="1"/>
                <w:szCs w:val="1"/>
                <w:color w:val="auto"/>
              </w:rPr>
            </w:pPr>
          </w:p>
        </w:tc>
      </w:tr>
      <w:tr>
        <w:trPr>
          <w:trHeight w:val="187"/>
        </w:trPr>
        <w:tc>
          <w:tcPr>
            <w:tcW w:w="600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Allen Ebens, Ph.D. </w:t>
            </w:r>
            <w:r>
              <w:rPr>
                <w:rFonts w:ascii="Arial" w:cs="Arial" w:eastAsia="Arial" w:hAnsi="Arial"/>
                <w:sz w:val="14"/>
                <w:szCs w:val="14"/>
                <w:color w:val="auto"/>
              </w:rPr>
              <w:t>(3)</w:t>
            </w:r>
          </w:p>
        </w:tc>
        <w:tc>
          <w:tcPr>
            <w:tcW w:w="4140" w:type="dxa"/>
            <w:vAlign w:val="bottom"/>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320,000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297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2" w:lineRule="exact"/>
        <w:rPr>
          <w:sz w:val="20"/>
          <w:szCs w:val="20"/>
          <w:color w:val="auto"/>
        </w:rPr>
      </w:pPr>
    </w:p>
    <w:p>
      <w:pPr>
        <w:ind w:left="600" w:right="640" w:hanging="259"/>
        <w:spacing w:after="0" w:line="182" w:lineRule="auto"/>
        <w:tabs>
          <w:tab w:leader="none" w:pos="60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Dr. Fordyce’s base salary increased from $300,000 to $400,000 in December 2020. Dr. Fordyce’s base salary will increase to $525,000 once the registration statement of which this prospectus forms a part is declared effective.</w:t>
      </w:r>
    </w:p>
    <w:p>
      <w:pPr>
        <w:spacing w:after="0" w:line="29" w:lineRule="exact"/>
        <w:rPr>
          <w:rFonts w:ascii="Arial" w:cs="Arial" w:eastAsia="Arial" w:hAnsi="Arial"/>
          <w:sz w:val="24"/>
          <w:szCs w:val="24"/>
          <w:color w:val="auto"/>
          <w:vertAlign w:val="superscript"/>
        </w:rPr>
      </w:pPr>
    </w:p>
    <w:p>
      <w:pPr>
        <w:ind w:left="600" w:right="400" w:hanging="259"/>
        <w:spacing w:after="0" w:line="182" w:lineRule="auto"/>
        <w:tabs>
          <w:tab w:leader="none" w:pos="60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Dr. Curley began her employment with us in March 2020 with an annualized base salary of $375,000, which was decreased to $350,000 in September 2020. Dr. Curley’s base salary will increase to $385,000 once the registration statement of which this prospectus forms a part is declared effective.</w:t>
      </w:r>
    </w:p>
    <w:p>
      <w:pPr>
        <w:ind w:left="600" w:hanging="259"/>
        <w:spacing w:after="0" w:line="182" w:lineRule="auto"/>
        <w:tabs>
          <w:tab w:leader="none" w:pos="600" w:val="left"/>
        </w:tabs>
        <w:numPr>
          <w:ilvl w:val="0"/>
          <w:numId w:val="85"/>
        </w:numPr>
        <w:rPr>
          <w:rFonts w:ascii="Arial" w:cs="Arial" w:eastAsia="Arial" w:hAnsi="Arial"/>
          <w:sz w:val="23"/>
          <w:szCs w:val="23"/>
          <w:color w:val="auto"/>
          <w:vertAlign w:val="superscript"/>
        </w:rPr>
      </w:pPr>
      <w:r>
        <w:rPr>
          <w:rFonts w:ascii="Arial" w:cs="Arial" w:eastAsia="Arial" w:hAnsi="Arial"/>
          <w:sz w:val="14"/>
          <w:szCs w:val="14"/>
          <w:color w:val="auto"/>
        </w:rPr>
        <w:t>Dr. Ebens’ employment was terminated as our Chief Scientific Officer effective October 2020 following a shift in our operations from preclinical to clinical development.</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Outstanding Equity Awards as of December 31, 2020</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presents the outstanding equity incentive plan awards held by each named executive officer as of December 31, 2020.</w:t>
      </w:r>
    </w:p>
    <w:p>
      <w:pPr>
        <w:ind w:left="160"/>
        <w:spacing w:after="0"/>
        <w:rPr>
          <w:sz w:val="20"/>
          <w:szCs w:val="20"/>
          <w:color w:val="auto"/>
        </w:rPr>
      </w:pPr>
      <w:r>
        <w:rPr>
          <w:rFonts w:ascii="Arial" w:cs="Arial" w:eastAsia="Arial" w:hAnsi="Arial"/>
          <w:sz w:val="17"/>
          <w:szCs w:val="17"/>
          <w:color w:val="auto"/>
        </w:rPr>
        <w:t>Mr. Wolter and Dr. Ebens did not have any outstanding equity incentive plan awards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0"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4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4"/>
                <w:szCs w:val="24"/>
                <w:b w:val="1"/>
                <w:bCs w:val="1"/>
                <w:color w:val="auto"/>
                <w:vertAlign w:val="superscript"/>
              </w:rPr>
              <w:t>(1)</w:t>
            </w:r>
          </w:p>
        </w:tc>
        <w:tc>
          <w:tcPr>
            <w:tcW w:w="7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4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2"/>
                <w:szCs w:val="12"/>
                <w:color w:val="auto"/>
              </w:rPr>
            </w:pPr>
          </w:p>
        </w:tc>
        <w:tc>
          <w:tcPr>
            <w:tcW w:w="158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rPr>
              <w:t>NUMBER OF</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SECURITIES</w:t>
            </w:r>
          </w:p>
        </w:tc>
        <w:tc>
          <w:tcPr>
            <w:tcW w:w="320" w:type="dxa"/>
            <w:vAlign w:val="bottom"/>
          </w:tcPr>
          <w:p>
            <w:pPr>
              <w:spacing w:after="0"/>
              <w:rPr>
                <w:sz w:val="13"/>
                <w:szCs w:val="13"/>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SECURITIES</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UNDERLYING</w:t>
            </w:r>
          </w:p>
        </w:tc>
        <w:tc>
          <w:tcPr>
            <w:tcW w:w="320" w:type="dxa"/>
            <w:vAlign w:val="bottom"/>
          </w:tcPr>
          <w:p>
            <w:pPr>
              <w:spacing w:after="0"/>
              <w:rPr>
                <w:sz w:val="13"/>
                <w:szCs w:val="13"/>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UNDERLYING</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OPTION</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320" w:type="dxa"/>
            <w:vAlign w:val="bottom"/>
          </w:tcPr>
          <w:p>
            <w:pPr>
              <w:spacing w:after="0"/>
              <w:rPr>
                <w:sz w:val="13"/>
                <w:szCs w:val="13"/>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UNEXERCISED</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3"/>
                <w:szCs w:val="13"/>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OPTIONS</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PRICE PER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7"/>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960" w:type="dxa"/>
            <w:vAlign w:val="bottom"/>
            <w:vMerge w:val="restart"/>
          </w:tcPr>
          <w:p>
            <w:pPr>
              <w:spacing w:after="0"/>
              <w:rPr>
                <w:sz w:val="13"/>
                <w:szCs w:val="13"/>
                <w:color w:val="auto"/>
              </w:rPr>
            </w:pPr>
          </w:p>
        </w:tc>
        <w:tc>
          <w:tcPr>
            <w:tcW w:w="1460" w:type="dxa"/>
            <w:vAlign w:val="bottom"/>
            <w:gridSpan w:val="2"/>
          </w:tcPr>
          <w:p>
            <w:pPr>
              <w:jc w:val="right"/>
              <w:ind w:right="760"/>
              <w:spacing w:after="0" w:line="157" w:lineRule="exact"/>
              <w:rPr>
                <w:sz w:val="20"/>
                <w:szCs w:val="20"/>
                <w:color w:val="auto"/>
              </w:rPr>
            </w:pPr>
            <w:r>
              <w:rPr>
                <w:rFonts w:ascii="Arial" w:cs="Arial" w:eastAsia="Arial" w:hAnsi="Arial"/>
                <w:sz w:val="14"/>
                <w:szCs w:val="14"/>
                <w:b w:val="1"/>
                <w:bCs w:val="1"/>
                <w:color w:val="auto"/>
              </w:rPr>
              <w:t>GRANT</w:t>
            </w:r>
          </w:p>
        </w:tc>
        <w:tc>
          <w:tcPr>
            <w:tcW w:w="10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EXERCISABLE</w:t>
            </w:r>
          </w:p>
        </w:tc>
        <w:tc>
          <w:tcPr>
            <w:tcW w:w="320" w:type="dxa"/>
            <w:vAlign w:val="bottom"/>
          </w:tcPr>
          <w:p>
            <w:pPr>
              <w:spacing w:after="0"/>
              <w:rPr>
                <w:sz w:val="13"/>
                <w:szCs w:val="13"/>
                <w:color w:val="auto"/>
              </w:rPr>
            </w:pPr>
          </w:p>
        </w:tc>
        <w:tc>
          <w:tcPr>
            <w:tcW w:w="158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rPr>
              <w:t>UNEXERCISABLE</w:t>
            </w:r>
          </w:p>
        </w:tc>
        <w:tc>
          <w:tcPr>
            <w:tcW w:w="112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rPr>
              <w:t>SHARE</w:t>
            </w: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69"/>
        </w:trPr>
        <w:tc>
          <w:tcPr>
            <w:tcW w:w="440" w:type="dxa"/>
            <w:vAlign w:val="bottom"/>
            <w:tcBorders>
              <w:bottom w:val="single" w:sz="8" w:color="auto"/>
            </w:tcBorders>
            <w:vMerge w:val="continue"/>
          </w:tcPr>
          <w:p>
            <w:pPr>
              <w:spacing w:after="0"/>
              <w:rPr>
                <w:sz w:val="14"/>
                <w:szCs w:val="14"/>
                <w:color w:val="auto"/>
              </w:rPr>
            </w:pPr>
          </w:p>
        </w:tc>
        <w:tc>
          <w:tcPr>
            <w:tcW w:w="3960" w:type="dxa"/>
            <w:vAlign w:val="bottom"/>
            <w:vMerge w:val="continue"/>
          </w:tcPr>
          <w:p>
            <w:pPr>
              <w:spacing w:after="0"/>
              <w:rPr>
                <w:sz w:val="14"/>
                <w:szCs w:val="14"/>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56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780" w:type="dxa"/>
            <w:vAlign w:val="bottom"/>
          </w:tcPr>
          <w:p>
            <w:pPr>
              <w:jc w:val="center"/>
              <w:spacing w:after="0" w:line="163"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(2)</w:t>
            </w:r>
          </w:p>
        </w:tc>
        <w:tc>
          <w:tcPr>
            <w:tcW w:w="3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440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Marshall Fordyce, M.D.</w:t>
            </w: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00" w:type="dxa"/>
            <w:vAlign w:val="bottom"/>
            <w:gridSpan w:val="2"/>
            <w:vMerge w:val="continue"/>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7"/>
                <w:szCs w:val="17"/>
                <w:color w:val="auto"/>
              </w:rPr>
              <w:t xml:space="preserve">01-16-2020 </w:t>
            </w:r>
            <w:r>
              <w:rPr>
                <w:rFonts w:ascii="Arial" w:cs="Arial" w:eastAsia="Arial" w:hAnsi="Arial"/>
                <w:sz w:val="14"/>
                <w:szCs w:val="14"/>
                <w:color w:val="auto"/>
              </w:rPr>
              <w:t>(3)</w:t>
            </w:r>
          </w:p>
        </w:tc>
        <w:tc>
          <w:tcPr>
            <w:tcW w:w="10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0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7"/>
                <w:szCs w:val="17"/>
                <w:color w:val="auto"/>
              </w:rPr>
              <w:t>9,277</w:t>
            </w:r>
          </w:p>
        </w:tc>
        <w:tc>
          <w:tcPr>
            <w:tcW w:w="11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7"/>
                <w:szCs w:val="17"/>
                <w:color w:val="auto"/>
              </w:rPr>
              <w:t>2.32</w:t>
            </w: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01-15-2030</w:t>
            </w:r>
          </w:p>
        </w:tc>
        <w:tc>
          <w:tcPr>
            <w:tcW w:w="0" w:type="dxa"/>
            <w:vAlign w:val="bottom"/>
          </w:tcPr>
          <w:p>
            <w:pPr>
              <w:spacing w:after="0"/>
              <w:rPr>
                <w:sz w:val="1"/>
                <w:szCs w:val="1"/>
                <w:color w:val="auto"/>
              </w:rPr>
            </w:pPr>
          </w:p>
        </w:tc>
      </w:tr>
      <w:tr>
        <w:trPr>
          <w:trHeight w:val="171"/>
        </w:trPr>
        <w:tc>
          <w:tcPr>
            <w:tcW w:w="44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060" w:type="dxa"/>
            <w:vAlign w:val="bottom"/>
            <w:tcBorders>
              <w:right w:val="single" w:sz="8" w:color="CCEEFF"/>
            </w:tcBorders>
            <w:vMerge w:val="continue"/>
            <w:shd w:val="clear" w:color="auto" w:fill="CCEEFF"/>
          </w:tcPr>
          <w:p>
            <w:pPr>
              <w:spacing w:after="0"/>
              <w:rPr>
                <w:sz w:val="14"/>
                <w:szCs w:val="14"/>
                <w:color w:val="auto"/>
              </w:rPr>
            </w:pPr>
          </w:p>
        </w:tc>
        <w:tc>
          <w:tcPr>
            <w:tcW w:w="1900" w:type="dxa"/>
            <w:vAlign w:val="bottom"/>
            <w:gridSpan w:val="3"/>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8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4"/>
        </w:trPr>
        <w:tc>
          <w:tcPr>
            <w:tcW w:w="4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7"/>
                <w:szCs w:val="17"/>
                <w:color w:val="auto"/>
              </w:rPr>
              <w:t xml:space="preserve">12-16-2020 </w:t>
            </w:r>
            <w:r>
              <w:rPr>
                <w:rFonts w:ascii="Arial" w:cs="Arial" w:eastAsia="Arial" w:hAnsi="Arial"/>
                <w:sz w:val="14"/>
                <w:szCs w:val="14"/>
                <w:color w:val="auto"/>
              </w:rPr>
              <w:t>(4)</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900" w:type="dxa"/>
            <w:vAlign w:val="bottom"/>
            <w:gridSpan w:val="3"/>
          </w:tcPr>
          <w:p>
            <w:pPr>
              <w:jc w:val="right"/>
              <w:ind w:right="340"/>
              <w:spacing w:after="0"/>
              <w:rPr>
                <w:sz w:val="20"/>
                <w:szCs w:val="20"/>
                <w:color w:val="auto"/>
              </w:rPr>
            </w:pPr>
            <w:r>
              <w:rPr>
                <w:rFonts w:ascii="Arial" w:cs="Arial" w:eastAsia="Arial" w:hAnsi="Arial"/>
                <w:sz w:val="17"/>
                <w:szCs w:val="17"/>
                <w:color w:val="auto"/>
              </w:rPr>
              <w:t>1,107,212</w:t>
            </w: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2.90</w:t>
            </w:r>
          </w:p>
        </w:tc>
        <w:tc>
          <w:tcPr>
            <w:tcW w:w="980" w:type="dxa"/>
            <w:vAlign w:val="bottom"/>
          </w:tcPr>
          <w:p>
            <w:pPr>
              <w:jc w:val="right"/>
              <w:spacing w:after="0"/>
              <w:rPr>
                <w:sz w:val="20"/>
                <w:szCs w:val="20"/>
                <w:color w:val="auto"/>
              </w:rPr>
            </w:pPr>
            <w:r>
              <w:rPr>
                <w:rFonts w:ascii="Arial" w:cs="Arial" w:eastAsia="Arial" w:hAnsi="Arial"/>
                <w:sz w:val="17"/>
                <w:szCs w:val="17"/>
                <w:color w:val="auto"/>
              </w:rPr>
              <w:t>12-15-2030</w:t>
            </w:r>
          </w:p>
        </w:tc>
        <w:tc>
          <w:tcPr>
            <w:tcW w:w="0" w:type="dxa"/>
            <w:vAlign w:val="bottom"/>
          </w:tcPr>
          <w:p>
            <w:pPr>
              <w:spacing w:after="0"/>
              <w:rPr>
                <w:sz w:val="1"/>
                <w:szCs w:val="1"/>
                <w:color w:val="auto"/>
              </w:rPr>
            </w:pPr>
          </w:p>
        </w:tc>
      </w:tr>
      <w:tr>
        <w:trPr>
          <w:trHeight w:val="374"/>
        </w:trPr>
        <w:tc>
          <w:tcPr>
            <w:tcW w:w="440" w:type="dxa"/>
            <w:vAlign w:val="bottom"/>
            <w:shd w:val="clear" w:color="auto" w:fill="CCEEFF"/>
          </w:tcPr>
          <w:p>
            <w:pPr>
              <w:spacing w:after="0"/>
              <w:rPr>
                <w:sz w:val="24"/>
                <w:szCs w:val="24"/>
                <w:color w:val="auto"/>
              </w:rPr>
            </w:pPr>
          </w:p>
        </w:tc>
        <w:tc>
          <w:tcPr>
            <w:tcW w:w="39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 xml:space="preserve">12-16-2020 </w:t>
            </w:r>
            <w:r>
              <w:rPr>
                <w:rFonts w:ascii="Arial" w:cs="Arial" w:eastAsia="Arial" w:hAnsi="Arial"/>
                <w:sz w:val="14"/>
                <w:szCs w:val="14"/>
                <w:color w:val="auto"/>
              </w:rPr>
              <w:t>(5)</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34,521</w:t>
            </w:r>
          </w:p>
        </w:tc>
        <w:tc>
          <w:tcPr>
            <w:tcW w:w="3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2.90</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12-15-2030</w:t>
            </w:r>
          </w:p>
        </w:tc>
        <w:tc>
          <w:tcPr>
            <w:tcW w:w="0" w:type="dxa"/>
            <w:vAlign w:val="bottom"/>
          </w:tcPr>
          <w:p>
            <w:pPr>
              <w:spacing w:after="0"/>
              <w:rPr>
                <w:sz w:val="1"/>
                <w:szCs w:val="1"/>
                <w:color w:val="auto"/>
              </w:rPr>
            </w:pPr>
          </w:p>
        </w:tc>
      </w:tr>
      <w:tr>
        <w:trPr>
          <w:trHeight w:val="187"/>
        </w:trPr>
        <w:tc>
          <w:tcPr>
            <w:tcW w:w="4400" w:type="dxa"/>
            <w:vAlign w:val="bottom"/>
            <w:gridSpan w:val="2"/>
          </w:tcPr>
          <w:p>
            <w:pPr>
              <w:spacing w:after="0" w:line="187" w:lineRule="exact"/>
              <w:rPr>
                <w:sz w:val="20"/>
                <w:szCs w:val="20"/>
                <w:color w:val="auto"/>
              </w:rPr>
            </w:pPr>
            <w:r>
              <w:rPr>
                <w:rFonts w:ascii="Arial" w:cs="Arial" w:eastAsia="Arial" w:hAnsi="Arial"/>
                <w:sz w:val="17"/>
                <w:szCs w:val="17"/>
                <w:color w:val="auto"/>
              </w:rPr>
              <w:t>Joanne Curley, Ph.D.</w:t>
            </w:r>
          </w:p>
        </w:tc>
        <w:tc>
          <w:tcPr>
            <w:tcW w:w="146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 xml:space="preserve">04-01-2020 </w:t>
            </w:r>
            <w:r>
              <w:rPr>
                <w:rFonts w:ascii="Arial" w:cs="Arial" w:eastAsia="Arial" w:hAnsi="Arial"/>
                <w:sz w:val="14"/>
                <w:szCs w:val="14"/>
                <w:color w:val="auto"/>
              </w:rPr>
              <w:t>(6)</w:t>
            </w:r>
          </w:p>
        </w:tc>
        <w:tc>
          <w:tcPr>
            <w:tcW w:w="1060" w:type="dxa"/>
            <w:vAlign w:val="bottom"/>
          </w:tcPr>
          <w:p>
            <w:pPr>
              <w:jc w:val="right"/>
              <w:spacing w:after="0" w:line="187" w:lineRule="exact"/>
              <w:rPr>
                <w:sz w:val="20"/>
                <w:szCs w:val="20"/>
                <w:color w:val="auto"/>
              </w:rPr>
            </w:pPr>
            <w:r>
              <w:rPr>
                <w:rFonts w:ascii="Arial" w:cs="Arial" w:eastAsia="Arial" w:hAnsi="Arial"/>
                <w:sz w:val="17"/>
                <w:szCs w:val="17"/>
                <w:color w:val="auto"/>
              </w:rPr>
              <w:t>—</w:t>
            </w:r>
          </w:p>
        </w:tc>
        <w:tc>
          <w:tcPr>
            <w:tcW w:w="1900" w:type="dxa"/>
            <w:vAlign w:val="bottom"/>
            <w:gridSpan w:val="3"/>
          </w:tcPr>
          <w:p>
            <w:pPr>
              <w:jc w:val="right"/>
              <w:ind w:right="340"/>
              <w:spacing w:after="0" w:line="187" w:lineRule="exact"/>
              <w:rPr>
                <w:sz w:val="20"/>
                <w:szCs w:val="20"/>
                <w:color w:val="auto"/>
              </w:rPr>
            </w:pPr>
            <w:r>
              <w:rPr>
                <w:rFonts w:ascii="Arial" w:cs="Arial" w:eastAsia="Arial" w:hAnsi="Arial"/>
                <w:sz w:val="17"/>
                <w:szCs w:val="17"/>
                <w:color w:val="auto"/>
              </w:rPr>
              <w:t>25,891</w:t>
            </w:r>
          </w:p>
        </w:tc>
        <w:tc>
          <w:tcPr>
            <w:tcW w:w="1120" w:type="dxa"/>
            <w:vAlign w:val="bottom"/>
            <w:gridSpan w:val="2"/>
          </w:tcPr>
          <w:p>
            <w:pPr>
              <w:jc w:val="right"/>
              <w:ind w:right="340"/>
              <w:spacing w:after="0" w:line="187" w:lineRule="exact"/>
              <w:rPr>
                <w:sz w:val="20"/>
                <w:szCs w:val="20"/>
                <w:color w:val="auto"/>
              </w:rPr>
            </w:pPr>
            <w:r>
              <w:rPr>
                <w:rFonts w:ascii="Arial" w:cs="Arial" w:eastAsia="Arial" w:hAnsi="Arial"/>
                <w:sz w:val="17"/>
                <w:szCs w:val="17"/>
                <w:color w:val="auto"/>
              </w:rPr>
              <w:t>6.37</w:t>
            </w:r>
          </w:p>
        </w:tc>
        <w:tc>
          <w:tcPr>
            <w:tcW w:w="980" w:type="dxa"/>
            <w:vAlign w:val="bottom"/>
          </w:tcPr>
          <w:p>
            <w:pPr>
              <w:jc w:val="right"/>
              <w:spacing w:after="0" w:line="187" w:lineRule="exact"/>
              <w:rPr>
                <w:sz w:val="20"/>
                <w:szCs w:val="20"/>
                <w:color w:val="auto"/>
              </w:rPr>
            </w:pPr>
            <w:r>
              <w:rPr>
                <w:rFonts w:ascii="Arial" w:cs="Arial" w:eastAsia="Arial" w:hAnsi="Arial"/>
                <w:sz w:val="17"/>
                <w:szCs w:val="17"/>
                <w:color w:val="auto"/>
              </w:rPr>
              <w:t>03-31-2030</w:t>
            </w:r>
          </w:p>
        </w:tc>
        <w:tc>
          <w:tcPr>
            <w:tcW w:w="0" w:type="dxa"/>
            <w:vAlign w:val="bottom"/>
          </w:tcPr>
          <w:p>
            <w:pPr>
              <w:spacing w:after="0"/>
              <w:rPr>
                <w:sz w:val="1"/>
                <w:szCs w:val="1"/>
                <w:color w:val="auto"/>
              </w:rPr>
            </w:pPr>
          </w:p>
        </w:tc>
      </w:tr>
      <w:tr>
        <w:trPr>
          <w:trHeight w:val="187"/>
        </w:trPr>
        <w:tc>
          <w:tcPr>
            <w:tcW w:w="440" w:type="dxa"/>
            <w:vAlign w:val="bottom"/>
            <w:shd w:val="clear" w:color="auto" w:fill="CCEEFF"/>
          </w:tcPr>
          <w:p>
            <w:pPr>
              <w:spacing w:after="0"/>
              <w:rPr>
                <w:sz w:val="16"/>
                <w:szCs w:val="16"/>
                <w:color w:val="auto"/>
              </w:rPr>
            </w:pPr>
          </w:p>
        </w:tc>
        <w:tc>
          <w:tcPr>
            <w:tcW w:w="39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 xml:space="preserve">12-16-2020 </w:t>
            </w:r>
            <w:r>
              <w:rPr>
                <w:rFonts w:ascii="Arial" w:cs="Arial" w:eastAsia="Arial" w:hAnsi="Arial"/>
                <w:sz w:val="14"/>
                <w:szCs w:val="14"/>
                <w:color w:val="auto"/>
              </w:rPr>
              <w:t>(7)</w:t>
            </w:r>
          </w:p>
        </w:tc>
        <w:tc>
          <w:tcPr>
            <w:tcW w:w="1060" w:type="dxa"/>
            <w:vAlign w:val="bottom"/>
            <w:tcBorders>
              <w:right w:val="single" w:sz="8" w:color="CCEEFF"/>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900" w:type="dxa"/>
            <w:vAlign w:val="bottom"/>
            <w:gridSpan w:val="3"/>
            <w:shd w:val="clear" w:color="auto" w:fill="CCEEFF"/>
          </w:tcPr>
          <w:p>
            <w:pPr>
              <w:jc w:val="right"/>
              <w:ind w:right="340"/>
              <w:spacing w:after="0" w:line="187" w:lineRule="exact"/>
              <w:rPr>
                <w:sz w:val="20"/>
                <w:szCs w:val="20"/>
                <w:color w:val="auto"/>
              </w:rPr>
            </w:pPr>
            <w:r>
              <w:rPr>
                <w:rFonts w:ascii="Arial" w:cs="Arial" w:eastAsia="Arial" w:hAnsi="Arial"/>
                <w:sz w:val="17"/>
                <w:szCs w:val="17"/>
                <w:color w:val="auto"/>
              </w:rPr>
              <w:t>66,022</w:t>
            </w:r>
          </w:p>
        </w:tc>
        <w:tc>
          <w:tcPr>
            <w:tcW w:w="1120" w:type="dxa"/>
            <w:vAlign w:val="bottom"/>
            <w:gridSpan w:val="2"/>
            <w:shd w:val="clear" w:color="auto" w:fill="CCEEFF"/>
          </w:tcPr>
          <w:p>
            <w:pPr>
              <w:jc w:val="right"/>
              <w:ind w:right="340"/>
              <w:spacing w:after="0" w:line="187" w:lineRule="exact"/>
              <w:rPr>
                <w:sz w:val="20"/>
                <w:szCs w:val="20"/>
                <w:color w:val="auto"/>
              </w:rPr>
            </w:pPr>
            <w:r>
              <w:rPr>
                <w:rFonts w:ascii="Arial" w:cs="Arial" w:eastAsia="Arial" w:hAnsi="Arial"/>
                <w:sz w:val="17"/>
                <w:szCs w:val="17"/>
                <w:color w:val="auto"/>
              </w:rPr>
              <w:t>2.90</w:t>
            </w:r>
          </w:p>
        </w:tc>
        <w:tc>
          <w:tcPr>
            <w:tcW w:w="980" w:type="dxa"/>
            <w:vAlign w:val="bottom"/>
            <w:tcBorders>
              <w:right w:val="single" w:sz="8" w:color="CCEEFF"/>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12-15-2030</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7"/>
                <w:szCs w:val="17"/>
                <w:color w:val="auto"/>
              </w:rPr>
              <w:t xml:space="preserve">12-16-2020 </w:t>
            </w:r>
            <w:r>
              <w:rPr>
                <w:rFonts w:ascii="Arial" w:cs="Arial" w:eastAsia="Arial" w:hAnsi="Arial"/>
                <w:sz w:val="14"/>
                <w:szCs w:val="14"/>
                <w:color w:val="auto"/>
              </w:rPr>
              <w:t>(8)</w:t>
            </w:r>
          </w:p>
        </w:tc>
        <w:tc>
          <w:tcPr>
            <w:tcW w:w="1060" w:type="dxa"/>
            <w:vAlign w:val="bottom"/>
          </w:tcPr>
          <w:p>
            <w:pPr>
              <w:jc w:val="right"/>
              <w:spacing w:after="0"/>
              <w:rPr>
                <w:sz w:val="20"/>
                <w:szCs w:val="20"/>
                <w:color w:val="auto"/>
              </w:rPr>
            </w:pPr>
            <w:r>
              <w:rPr>
                <w:rFonts w:ascii="Arial" w:cs="Arial" w:eastAsia="Arial" w:hAnsi="Arial"/>
                <w:sz w:val="17"/>
                <w:szCs w:val="17"/>
                <w:color w:val="auto"/>
              </w:rPr>
              <w:t>23,733</w:t>
            </w:r>
          </w:p>
        </w:tc>
        <w:tc>
          <w:tcPr>
            <w:tcW w:w="320" w:type="dxa"/>
            <w:vAlign w:val="bottom"/>
          </w:tcPr>
          <w:p>
            <w:pPr>
              <w:spacing w:after="0"/>
              <w:rPr>
                <w:sz w:val="17"/>
                <w:szCs w:val="17"/>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2.90</w:t>
            </w:r>
          </w:p>
        </w:tc>
        <w:tc>
          <w:tcPr>
            <w:tcW w:w="980" w:type="dxa"/>
            <w:vAlign w:val="bottom"/>
          </w:tcPr>
          <w:p>
            <w:pPr>
              <w:jc w:val="right"/>
              <w:spacing w:after="0"/>
              <w:rPr>
                <w:sz w:val="20"/>
                <w:szCs w:val="20"/>
                <w:color w:val="auto"/>
              </w:rPr>
            </w:pPr>
            <w:r>
              <w:rPr>
                <w:rFonts w:ascii="Arial" w:cs="Arial" w:eastAsia="Arial" w:hAnsi="Arial"/>
                <w:sz w:val="17"/>
                <w:szCs w:val="17"/>
                <w:color w:val="auto"/>
              </w:rPr>
              <w:t>12-15-2030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125730</wp:posOffset>
            </wp:positionV>
            <wp:extent cx="69297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6" w:lineRule="exact"/>
        <w:rPr>
          <w:sz w:val="20"/>
          <w:szCs w:val="20"/>
          <w:color w:val="auto"/>
        </w:rPr>
      </w:pPr>
    </w:p>
    <w:p>
      <w:pPr>
        <w:ind w:left="600" w:right="600" w:hanging="259"/>
        <w:spacing w:after="0" w:line="182" w:lineRule="auto"/>
        <w:tabs>
          <w:tab w:leader="none" w:pos="60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All of the option and stock awards were granted under the 2017 Plan, the terms of which plan is described below under “—Equity Benefit Plans—2017 Equity Incentive Plan.”</w:t>
      </w:r>
    </w:p>
    <w:p>
      <w:pPr>
        <w:spacing w:after="0" w:line="29" w:lineRule="exact"/>
        <w:rPr>
          <w:rFonts w:ascii="Arial" w:cs="Arial" w:eastAsia="Arial" w:hAnsi="Arial"/>
          <w:sz w:val="24"/>
          <w:szCs w:val="24"/>
          <w:color w:val="auto"/>
          <w:vertAlign w:val="superscript"/>
        </w:rPr>
      </w:pPr>
    </w:p>
    <w:p>
      <w:pPr>
        <w:ind w:left="600" w:right="60" w:hanging="259"/>
        <w:spacing w:after="0" w:line="182" w:lineRule="auto"/>
        <w:tabs>
          <w:tab w:leader="none" w:pos="60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All of the option awards were granted with a per share exercise price equal to the fair market value of one share of our Class A common stock on the date of grant, as determined in good faith by our board of directors or compensation committee.</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080"/>
          </w:cols>
          <w:pgMar w:left="320" w:top="456"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600" w:right="220" w:hanging="259"/>
        <w:spacing w:after="0" w:line="182" w:lineRule="auto"/>
        <w:tabs>
          <w:tab w:leader="none" w:pos="60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One-third of the shares subject to the option award vest on January 10, 2021, and thereafter one-thirty-sixth of the shares subject to the option award vest on each monthly anniversary, subject to continuous service to us. Dr. Fordyce exercised this option with respect to 3,607 shares of Class A common stock in April 2021.</w:t>
      </w:r>
    </w:p>
    <w:p>
      <w:pPr>
        <w:spacing w:after="0" w:line="29" w:lineRule="exact"/>
        <w:rPr>
          <w:rFonts w:ascii="Arial" w:cs="Arial" w:eastAsia="Arial" w:hAnsi="Arial"/>
          <w:sz w:val="24"/>
          <w:szCs w:val="24"/>
          <w:color w:val="auto"/>
          <w:vertAlign w:val="superscript"/>
        </w:rPr>
      </w:pPr>
    </w:p>
    <w:p>
      <w:pPr>
        <w:ind w:left="600" w:right="280" w:hanging="259"/>
        <w:spacing w:after="0" w:line="197" w:lineRule="auto"/>
        <w:tabs>
          <w:tab w:leader="none" w:pos="60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One-fourth of the shares subject to the option award vest on December 16, 2021, and thereafter one-forty-eighth of the shares subject to the option award vest on each monthly anniversary, subject to continuous service to us. This option was conditioned on the cancellation of an option covering 12,945 shares granted to Dr. Fordyce on March 26, 2019 and an option covering 17,260 shares granted to Dr. Fordyce on February 7, 2018.</w:t>
      </w:r>
    </w:p>
    <w:p>
      <w:pPr>
        <w:spacing w:after="0" w:line="30" w:lineRule="exact"/>
        <w:rPr>
          <w:rFonts w:ascii="Arial" w:cs="Arial" w:eastAsia="Arial" w:hAnsi="Arial"/>
          <w:sz w:val="24"/>
          <w:szCs w:val="24"/>
          <w:color w:val="auto"/>
          <w:vertAlign w:val="superscript"/>
        </w:rPr>
      </w:pPr>
    </w:p>
    <w:p>
      <w:pPr>
        <w:ind w:left="600" w:hanging="259"/>
        <w:spacing w:after="0" w:line="206" w:lineRule="auto"/>
        <w:tabs>
          <w:tab w:leader="none" w:pos="60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One-fourth of the shares subject to the option award vest on December 16, 2021, and thereafter one-forty-eighth of the shares subject to the option award vest on each monthly anniversary, subject to continuous service to us. The option award includes an early exercise feature. Dr. Fordyce exercised this option in full in February 2021. This option was conditioned on the cancellation of an option covering 12,945 shares granted to Dr. Fordyce on March 26, 2019 and an option covering 17,260 shares granted to Dr. Fordyce on February 7, 2018.</w:t>
      </w:r>
    </w:p>
    <w:p>
      <w:pPr>
        <w:spacing w:after="0" w:line="30" w:lineRule="exact"/>
        <w:rPr>
          <w:rFonts w:ascii="Arial" w:cs="Arial" w:eastAsia="Arial" w:hAnsi="Arial"/>
          <w:sz w:val="24"/>
          <w:szCs w:val="24"/>
          <w:color w:val="auto"/>
          <w:vertAlign w:val="superscript"/>
        </w:rPr>
      </w:pPr>
    </w:p>
    <w:p>
      <w:pPr>
        <w:ind w:left="600" w:right="180" w:hanging="259"/>
        <w:spacing w:after="0" w:line="182" w:lineRule="auto"/>
        <w:tabs>
          <w:tab w:leader="none" w:pos="60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One-fourth of the shares subject to the option award vest on March 12, 2021, and thereafter one-forty-eighth of the shares subject to the option award vest on each monthly anniversary, subject to continuous service to us.</w:t>
      </w:r>
    </w:p>
    <w:p>
      <w:pPr>
        <w:spacing w:after="0" w:line="29" w:lineRule="exact"/>
        <w:rPr>
          <w:rFonts w:ascii="Arial" w:cs="Arial" w:eastAsia="Arial" w:hAnsi="Arial"/>
          <w:sz w:val="24"/>
          <w:szCs w:val="24"/>
          <w:color w:val="auto"/>
          <w:vertAlign w:val="superscript"/>
        </w:rPr>
      </w:pPr>
    </w:p>
    <w:p>
      <w:pPr>
        <w:ind w:left="600" w:right="280" w:hanging="259"/>
        <w:spacing w:after="0" w:line="182" w:lineRule="auto"/>
        <w:tabs>
          <w:tab w:leader="none" w:pos="60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One-fourth of the shares subject to the option award vest on December 16, 2021, and thereafter one-forty-eighth of the shares subject to the option award vest on each monthly anniversary, subject to continuous service to us.</w:t>
      </w:r>
    </w:p>
    <w:p>
      <w:pPr>
        <w:spacing w:after="0" w:line="29" w:lineRule="exact"/>
        <w:rPr>
          <w:rFonts w:ascii="Arial" w:cs="Arial" w:eastAsia="Arial" w:hAnsi="Arial"/>
          <w:sz w:val="24"/>
          <w:szCs w:val="24"/>
          <w:color w:val="auto"/>
          <w:vertAlign w:val="superscript"/>
        </w:rPr>
      </w:pPr>
    </w:p>
    <w:p>
      <w:pPr>
        <w:ind w:left="600" w:right="60" w:hanging="259"/>
        <w:spacing w:after="0"/>
        <w:tabs>
          <w:tab w:leader="none" w:pos="60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One-fourth of the shares subject to the option award vest on December 16, 2021, and thereafter one-forty-eighth of the shares subject to the option award vest on each monthly anniversary, subject to continuous service to us. The option award includes an early exercise feature. Dr. Curley exercised this option in full in February 2021.</w:t>
      </w:r>
    </w:p>
    <w:p>
      <w:pPr>
        <w:spacing w:after="0" w:line="194" w:lineRule="exact"/>
        <w:rPr>
          <w:sz w:val="20"/>
          <w:szCs w:val="20"/>
          <w:color w:val="auto"/>
        </w:rPr>
      </w:pPr>
    </w:p>
    <w:p>
      <w:pPr>
        <w:ind w:left="160" w:right="620"/>
        <w:spacing w:after="0" w:line="239" w:lineRule="auto"/>
        <w:rPr>
          <w:sz w:val="20"/>
          <w:szCs w:val="20"/>
          <w:color w:val="auto"/>
        </w:rPr>
      </w:pPr>
      <w:r>
        <w:rPr>
          <w:rFonts w:ascii="Arial" w:cs="Arial" w:eastAsia="Arial" w:hAnsi="Arial"/>
          <w:sz w:val="17"/>
          <w:szCs w:val="17"/>
          <w:color w:val="auto"/>
        </w:rPr>
        <w:t>Options held by certain of our named executive officers are eligible for accelerated vesting under specified circumstances. Please see the subsection titled “—Employment Agreements” below for a description of such potential acceleration.</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Emerging Growth Company Status</w:t>
      </w:r>
    </w:p>
    <w:p>
      <w:pPr>
        <w:spacing w:after="0" w:line="91"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We are an “emerging growth company,” as defined in the JOBS Act. As an emerging growth company we will be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Pension Benefits</w:t>
      </w:r>
    </w:p>
    <w:p>
      <w:pPr>
        <w:spacing w:after="0" w:line="77" w:lineRule="exact"/>
        <w:rPr>
          <w:sz w:val="20"/>
          <w:szCs w:val="20"/>
          <w:color w:val="auto"/>
        </w:rPr>
      </w:pPr>
    </w:p>
    <w:p>
      <w:pPr>
        <w:ind w:left="160" w:right="420"/>
        <w:spacing w:after="0" w:line="239" w:lineRule="auto"/>
        <w:rPr>
          <w:sz w:val="20"/>
          <w:szCs w:val="20"/>
          <w:color w:val="auto"/>
        </w:rPr>
      </w:pPr>
      <w:r>
        <w:rPr>
          <w:rFonts w:ascii="Arial" w:cs="Arial" w:eastAsia="Arial" w:hAnsi="Arial"/>
          <w:sz w:val="17"/>
          <w:szCs w:val="17"/>
          <w:color w:val="auto"/>
        </w:rPr>
        <w:t>Our named executive officers did not participate in, or otherwise receive any benefits under, any pension or retirement plan sponsored by us during the fiscal year ended December 31, 2020.</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Nonqualified Deferred Compensation</w:t>
      </w:r>
    </w:p>
    <w:p>
      <w:pPr>
        <w:spacing w:after="0" w:line="77" w:lineRule="exact"/>
        <w:rPr>
          <w:sz w:val="20"/>
          <w:szCs w:val="20"/>
          <w:color w:val="auto"/>
        </w:rPr>
      </w:pPr>
    </w:p>
    <w:p>
      <w:pPr>
        <w:ind w:left="160" w:right="440"/>
        <w:spacing w:after="0" w:line="239" w:lineRule="auto"/>
        <w:rPr>
          <w:sz w:val="20"/>
          <w:szCs w:val="20"/>
          <w:color w:val="auto"/>
        </w:rPr>
      </w:pPr>
      <w:r>
        <w:rPr>
          <w:rFonts w:ascii="Arial" w:cs="Arial" w:eastAsia="Arial" w:hAnsi="Arial"/>
          <w:sz w:val="17"/>
          <w:szCs w:val="17"/>
          <w:color w:val="auto"/>
        </w:rPr>
        <w:t>Our named executive officers did not participate in, or earn any benefits under, a non-qualified deferred compensation plan sponsored by us during the fiscal year ended December 31, 2020.</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Employment, Severance and Change in Control Agreements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Offer Letters</w:t>
      </w:r>
    </w:p>
    <w:p>
      <w:pPr>
        <w:spacing w:after="0" w:line="39" w:lineRule="exact"/>
        <w:rPr>
          <w:sz w:val="20"/>
          <w:szCs w:val="20"/>
          <w:color w:val="auto"/>
        </w:rPr>
      </w:pPr>
    </w:p>
    <w:p>
      <w:pPr>
        <w:ind w:left="160" w:right="200"/>
        <w:spacing w:after="0" w:line="236" w:lineRule="auto"/>
        <w:rPr>
          <w:sz w:val="20"/>
          <w:szCs w:val="20"/>
          <w:color w:val="auto"/>
        </w:rPr>
      </w:pPr>
      <w:r>
        <w:rPr>
          <w:rFonts w:ascii="Arial" w:cs="Arial" w:eastAsia="Arial" w:hAnsi="Arial"/>
          <w:sz w:val="17"/>
          <w:szCs w:val="17"/>
          <w:color w:val="auto"/>
        </w:rPr>
        <w:t>Below are descriptions of our offer letters with our named executive officers. For a discussion of the severance pay and other benefits to be provided in connection with a termination of employment and/or a change in control under the arrangements with our named executive officers, please see the section titled “—Potential Payments and Benefits Upon Termination or Change in Control” below.</w:t>
      </w:r>
    </w:p>
    <w:p>
      <w:pPr>
        <w:spacing w:after="0" w:line="128" w:lineRule="exact"/>
        <w:rPr>
          <w:sz w:val="20"/>
          <w:szCs w:val="20"/>
          <w:color w:val="auto"/>
        </w:rPr>
      </w:pPr>
    </w:p>
    <w:p>
      <w:pPr>
        <w:ind w:left="160" w:right="140"/>
        <w:spacing w:after="0" w:line="235" w:lineRule="auto"/>
        <w:rPr>
          <w:sz w:val="20"/>
          <w:szCs w:val="20"/>
          <w:color w:val="auto"/>
        </w:rPr>
      </w:pPr>
      <w:r>
        <w:rPr>
          <w:rFonts w:ascii="Arial" w:cs="Arial" w:eastAsia="Arial" w:hAnsi="Arial"/>
          <w:sz w:val="17"/>
          <w:szCs w:val="17"/>
          <w:i w:val="1"/>
          <w:iCs w:val="1"/>
          <w:color w:val="auto"/>
        </w:rPr>
        <w:t xml:space="preserve">Dr. Fordyce. </w:t>
      </w:r>
      <w:r>
        <w:rPr>
          <w:rFonts w:ascii="Arial" w:cs="Arial" w:eastAsia="Arial" w:hAnsi="Arial"/>
          <w:sz w:val="17"/>
          <w:szCs w:val="17"/>
          <w:color w:val="auto"/>
        </w:rPr>
        <w:t>In December 2020, we and Dr. Fordyce entered into an offer letter that governs the current terms of Dr. Fordyce’s employment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us. Pursuant to the agreement, Dr. Fordyce is entitled to an initial annual base salary of $400,000, is eligible to receive an annual performance bonus with a target achievement of 40% of his base salary, as determined by our board of directors, and was granted an option exercisable for 1,141,733 shares of our Class A common stock (in addition to shares of our stock that Dr. Fordyce held at the time we entered into his offer letter). In May 2021, we and Dr. Fordyce entered into an amended and restated offer letter, to be effective once the registration statement of which this prospectus forms a part is declared effective, pursuant to which Dr. Fordyce’s annual base salary will increase to $525,000 and his annual performance bonus target achievement will increase to</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060"/>
          </w:cols>
          <w:pgMar w:left="320" w:top="456"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50% of his base salary, as determined by our board of directors. In addition, Dr. Fordyce will be entitled to a stock option covering 110,038 shares of our Class A common stock, at a price per share equal to the initial public offering price, which will vest as follows: one-fourth of the shares subject to the option vest on the effective date of the registration statement of which this prospectus forms a part, and thereafter one-forty-eighth of the shares subject to the option award vest on each monthly anniversary, subject to continuous service to us. Dr. Fordyce is also entitled to certain severance benefits, the terms of which are described below under the section titled “—Potential Payments and Benefits Upon Termination or Change of Control.” Dr. Fordyce’s employment is at will.</w:t>
      </w:r>
    </w:p>
    <w:p>
      <w:pPr>
        <w:spacing w:after="0" w:line="127"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i w:val="1"/>
          <w:iCs w:val="1"/>
          <w:color w:val="auto"/>
        </w:rPr>
        <w:t xml:space="preserve">Dr. Curley. </w:t>
      </w:r>
      <w:r>
        <w:rPr>
          <w:rFonts w:ascii="Arial" w:cs="Arial" w:eastAsia="Arial" w:hAnsi="Arial"/>
          <w:sz w:val="17"/>
          <w:szCs w:val="17"/>
          <w:color w:val="auto"/>
        </w:rPr>
        <w:t>In February 2020, we and Dr. Curley entered into an offer letter, which was amended in September 2020, and that governs the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Dr. Curley’s employment with us. Pursuant to the agreement, Dr. Curley is entitled to an annual base salary of $375,000 (which was decreased to $350,000 in September 2020), is eligible to receive an annual performance bonus with a target achievement of 30% of her base salary, as determined by our board of directors, and was granted an option exercisable for 25,891 shares of our Class A common stock. In May 2021, we and Dr. Curley entered into an amended and restated offer letter, to be effective once the registration statement of which this prospectus forms a part is declared effective, pursuant to which Dr. Curley’s annual base salary will increase to $385,000 and her annual performance bonus target achievement will increase to 40% of her base salary, as determined by our board of directors. In addition, Dr. Curley will be entitled to a stock option covering 108,217 shares of our Class A common stock, at a price per share equal to the initial public offering price, which will vest as follows: one-fourth of the shares subject to the option vest on the effective date of the registration statement of which this prospectus forms a part, and thereafter one-forty-eighth of the shares subject to the option award vest on each monthly anniversary, subject to continuous service to us. Dr. Curley is also entitled to certain severance benefits, the terms of which are described below under the section titled “—Potential Payments and Benefits Upon Termination or Change of Control.” Dr. Curley’s employment is at will.</w:t>
      </w:r>
    </w:p>
    <w:p>
      <w:pPr>
        <w:spacing w:after="0" w:line="130" w:lineRule="exact"/>
        <w:rPr>
          <w:sz w:val="20"/>
          <w:szCs w:val="20"/>
          <w:color w:val="auto"/>
        </w:rPr>
      </w:pPr>
    </w:p>
    <w:p>
      <w:pPr>
        <w:ind w:left="160" w:right="140"/>
        <w:spacing w:after="0"/>
        <w:rPr>
          <w:sz w:val="20"/>
          <w:szCs w:val="20"/>
          <w:color w:val="auto"/>
        </w:rPr>
      </w:pPr>
      <w:r>
        <w:rPr>
          <w:rFonts w:ascii="Arial" w:cs="Arial" w:eastAsia="Arial" w:hAnsi="Arial"/>
          <w:sz w:val="17"/>
          <w:szCs w:val="17"/>
          <w:i w:val="1"/>
          <w:iCs w:val="1"/>
          <w:color w:val="auto"/>
        </w:rPr>
        <w:t xml:space="preserve">Mr. Wolter. </w:t>
      </w:r>
      <w:r>
        <w:rPr>
          <w:rFonts w:ascii="Arial" w:cs="Arial" w:eastAsia="Arial" w:hAnsi="Arial"/>
          <w:sz w:val="17"/>
          <w:szCs w:val="17"/>
          <w:color w:val="auto"/>
        </w:rPr>
        <w:t>In March 2020, we entered into a consulting agreement with FLG Partners, LLC setting forth the terms and conditions of Mr. Wolter’s</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to the Company as our Chief Financial Officer. Pursuant to the consulting agreement, Mr. Wolter receives $400 per hour for his services up to $25,000 a month and no additional compensation. The term of the agreement is indefinite and either party may terminate upon thirty (30) days advance written notice.</w:t>
      </w:r>
    </w:p>
    <w:p>
      <w:pPr>
        <w:spacing w:after="0" w:line="128"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i w:val="1"/>
          <w:iCs w:val="1"/>
          <w:color w:val="auto"/>
        </w:rPr>
        <w:t xml:space="preserve">Dr. Ebens. </w:t>
      </w:r>
      <w:r>
        <w:rPr>
          <w:rFonts w:ascii="Arial" w:cs="Arial" w:eastAsia="Arial" w:hAnsi="Arial"/>
          <w:sz w:val="17"/>
          <w:szCs w:val="17"/>
          <w:color w:val="auto"/>
        </w:rPr>
        <w:t>In July 26, 2018, we and Dr. Ebens entered into an offer letter that governed the terms of Dr. Ebens’ employment with us.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agreement, Dr. Ebens was entitled to an annual base salary of $320,000, was eligible to receive an annual performance bonus with a target achievement of 25% of his base salary, as determined by our board of directors, and was granted an option exercisable for 32,364 shares of our Class A common stock. Dr. Ebens was also entitled to certain severance benefits, and his employment was at will. Dr. Ebens’ employment was terminated as our Chief Scientific Officer effective October 2020 following a shift in our operations from preclinical to clinical development. In August 2020, we entered into a transition and separation agreement with Dr. Ebens. Pursuant to the agreement, we made a lump cash severance payment equal to five months of his base salary and the payment of COBRA premiums through a date no later than February 28, 2021. Dr. Ebens ceased vesting in his outstanding equity awards as of the date of his separation and did not receive any vesting acceleration in connection with his termination. The receipt of severance benefits was conditioned upon the execution of a release of claims in our favor and subject to his compliance with his obligations under the agreement, including those relating to confidentiality, non-disparagement, and return of company property.</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Potential Payments and Benefits Upon Termination or Change of Control</w:t>
      </w:r>
    </w:p>
    <w:p>
      <w:pPr>
        <w:spacing w:after="0" w:line="28"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i w:val="1"/>
          <w:iCs w:val="1"/>
          <w:color w:val="auto"/>
        </w:rPr>
        <w:t xml:space="preserve">Dr. Fordyce. </w:t>
      </w:r>
      <w:r>
        <w:rPr>
          <w:rFonts w:ascii="Arial" w:cs="Arial" w:eastAsia="Arial" w:hAnsi="Arial"/>
          <w:sz w:val="17"/>
          <w:szCs w:val="17"/>
          <w:color w:val="auto"/>
        </w:rPr>
        <w:t>Pursuant to Dr. Fordyce’s amended and restated offer letter effective once the registration statement of which this prospectus forms</w:t>
      </w:r>
      <w:r>
        <w:rPr>
          <w:rFonts w:ascii="Arial" w:cs="Arial" w:eastAsia="Arial" w:hAnsi="Arial"/>
          <w:sz w:val="17"/>
          <w:szCs w:val="17"/>
          <w:i w:val="1"/>
          <w:iCs w:val="1"/>
          <w:color w:val="auto"/>
        </w:rPr>
        <w:t xml:space="preserve"> </w:t>
      </w:r>
      <w:r>
        <w:rPr>
          <w:rFonts w:ascii="Arial" w:cs="Arial" w:eastAsia="Arial" w:hAnsi="Arial"/>
          <w:sz w:val="17"/>
          <w:szCs w:val="17"/>
          <w:color w:val="auto"/>
        </w:rPr>
        <w:t>a part is declared effective, if (a) his employment is terminated without cause (as defined below), and other than as a result of his death or disability, or (b) he resigns for good reason (as defined below), then in addition to any amounts accrued and payable under the terms of our benefit plans through the date of termination, Dr. Fordyce will be entitled to receive severance in the form of 12 months of his then base salary, such amount to be paid in equal installments over a 12-month period after the date of termination, subject to applicable taxes and withholding, as well as up to 12 months of COBRA coverage. These severance benefits are conditioned upon Dr. Fordyce continuing to comply with his obligations under his proprietary information agreement and his delivery of a general release of claims in favor of the company that becomes effective and irrevocable within 21 days of the date of termination. Further, if within the three-month period immediately prior to or 12-month</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080"/>
          </w:cols>
          <w:pgMar w:left="320" w:top="456"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period that immediately follows a change of control (as defined below) Dr. Fordyce’s employment is terminated without cause or for good reason, then (a) 100% of his then-unvested equity grants shall accelerate and become fully vested as of the termination date, (b) the amount of his cash severance and COBRA severance described above shall be increased from 12 months to 18 months and (c) he shall receive additional cash severance in an amount equal to his target annual bonus for the year of such termination, to be paid in a single lump sum within 10 business days after the effective date of his release.</w:t>
      </w:r>
    </w:p>
    <w:p>
      <w:pPr>
        <w:spacing w:after="0" w:line="130" w:lineRule="exact"/>
        <w:rPr>
          <w:sz w:val="20"/>
          <w:szCs w:val="20"/>
          <w:color w:val="auto"/>
        </w:rPr>
      </w:pPr>
    </w:p>
    <w:p>
      <w:pPr>
        <w:ind w:left="160" w:right="100"/>
        <w:spacing w:after="0" w:line="233" w:lineRule="auto"/>
        <w:rPr>
          <w:sz w:val="20"/>
          <w:szCs w:val="20"/>
          <w:color w:val="auto"/>
        </w:rPr>
      </w:pPr>
      <w:r>
        <w:rPr>
          <w:rFonts w:ascii="Arial" w:cs="Arial" w:eastAsia="Arial" w:hAnsi="Arial"/>
          <w:sz w:val="17"/>
          <w:szCs w:val="17"/>
          <w:i w:val="1"/>
          <w:iCs w:val="1"/>
          <w:color w:val="auto"/>
        </w:rPr>
        <w:t xml:space="preserve">Dr. Curley. </w:t>
      </w:r>
      <w:r>
        <w:rPr>
          <w:rFonts w:ascii="Arial" w:cs="Arial" w:eastAsia="Arial" w:hAnsi="Arial"/>
          <w:sz w:val="17"/>
          <w:szCs w:val="17"/>
          <w:color w:val="auto"/>
        </w:rPr>
        <w:t>Pursuant to Dr. Curley’s amended and restated offer letter effective once the registration statement of which this prospectus forms a</w:t>
      </w:r>
      <w:r>
        <w:rPr>
          <w:rFonts w:ascii="Arial" w:cs="Arial" w:eastAsia="Arial" w:hAnsi="Arial"/>
          <w:sz w:val="17"/>
          <w:szCs w:val="17"/>
          <w:i w:val="1"/>
          <w:iCs w:val="1"/>
          <w:color w:val="auto"/>
        </w:rPr>
        <w:t xml:space="preserve"> </w:t>
      </w:r>
      <w:r>
        <w:rPr>
          <w:rFonts w:ascii="Arial" w:cs="Arial" w:eastAsia="Arial" w:hAnsi="Arial"/>
          <w:sz w:val="17"/>
          <w:szCs w:val="17"/>
          <w:color w:val="auto"/>
        </w:rPr>
        <w:t>part is declared effective, if (a) her employment is terminated without cause (as defined below), and other than as a result of her death or disability, or (b) she resigns for good reason (as defined below), then in addition to any amounts accrued and payable under the terms of our benefit plans through the date of termination, Dr. Curley will be entitled to receive severance in the form of nine months of her then base salary, such amount to be paid in equal installments over a nine-month period after the date of termination, subject to applicable taxes and withholding, as well as up to nine months of COBRA coverage. These severance benefits are conditioned upon Dr. Curley continuing to comply with her obligations under her proprietary information agreement and her delivery of a general release of claims in favor of the company that becomes effective and irrevocable within 21 days of the date of termination. Further, if within the three-month period immediately prior to or 12-month period that immediately follows a change of control (as defined below) Dr. Curley’s employment is terminated without cause or for good reason, then (a) 100% of her then-unvested equity grants shall accelerate and become fully vested as of the termination date, (b) the amount of her cash severance and COBRA severance described above shall be increased from nine months to 12 months and (c) she shall receive additional cash severance in an amount equal to her target annual bonus for the year of such termination, to be paid in a single lump sum within 10 business days after the effective date of her release.</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For the purposes of Dr. Fordyce’s and Dr. Curley’s severance benefits, the following definitions apply:</w:t>
      </w:r>
    </w:p>
    <w:p>
      <w:pPr>
        <w:spacing w:after="0" w:line="192" w:lineRule="exact"/>
        <w:rPr>
          <w:sz w:val="20"/>
          <w:szCs w:val="20"/>
          <w:color w:val="auto"/>
        </w:rPr>
      </w:pPr>
    </w:p>
    <w:p>
      <w:pPr>
        <w:ind w:left="1020" w:right="20" w:hanging="425"/>
        <w:spacing w:after="0" w:line="231" w:lineRule="auto"/>
        <w:tabs>
          <w:tab w:leader="none" w:pos="1020" w:val="left"/>
        </w:tabs>
        <w:numPr>
          <w:ilvl w:val="0"/>
          <w:numId w:val="88"/>
        </w:numPr>
        <w:rPr>
          <w:rFonts w:ascii="MS PGothic" w:cs="MS PGothic" w:eastAsia="MS PGothic" w:hAnsi="MS PGothic"/>
          <w:sz w:val="12"/>
          <w:szCs w:val="12"/>
          <w:color w:val="auto"/>
        </w:rPr>
      </w:pPr>
      <w:r>
        <w:rPr>
          <w:rFonts w:ascii="Arial" w:cs="Arial" w:eastAsia="Arial" w:hAnsi="Arial"/>
          <w:sz w:val="17"/>
          <w:szCs w:val="17"/>
          <w:color w:val="auto"/>
        </w:rPr>
        <w:t>“cause” means (a) the officer’s commission or conviction (including a guilty plea or plea of nolo contendere) of any felony or any other crime involving fraud, dishonesty or moral turpitude; (b) officer’s commission or attempted commission of or participation in a fraud or act of dishonesty or misrepresentation against us; (c) willful and material breach of officer’s duties to us; (d) willful damage to any of our property; (e) willful misconduct, or other willful violation of our policy that causes harm; or (f) officer’s material violation of any written and fully executed contract or agreement between us and the officer, including without limitation, material breach of agreements relating to non-solicitation, nondisclosure and/or assignment of inventions, or material breach of any company policy, or of any statutory duty officer owes to us; provided, however, that in the event of subparagraph (f) above, we are required to provide written notice of such alleged violation and breach, and officer will have 30 days from receipt of such notice to cure. For purposes of this definition of Cause, no act, or failure to act, on officer’s part shall be considered “willful” unless it is done, or omitted to be done, by officer intentionally and without reasonable belief that officer’s action or omission was in the best interests of the company.</w:t>
      </w:r>
    </w:p>
    <w:p>
      <w:pPr>
        <w:spacing w:after="0" w:line="31" w:lineRule="exact"/>
        <w:rPr>
          <w:rFonts w:ascii="MS PGothic" w:cs="MS PGothic" w:eastAsia="MS PGothic" w:hAnsi="MS PGothic"/>
          <w:sz w:val="12"/>
          <w:szCs w:val="12"/>
          <w:color w:val="auto"/>
        </w:rPr>
      </w:pPr>
    </w:p>
    <w:p>
      <w:pPr>
        <w:ind w:left="1020" w:right="60" w:hanging="425"/>
        <w:spacing w:after="0" w:line="232" w:lineRule="auto"/>
        <w:tabs>
          <w:tab w:leader="none" w:pos="1020" w:val="left"/>
        </w:tabs>
        <w:numPr>
          <w:ilvl w:val="0"/>
          <w:numId w:val="88"/>
        </w:numPr>
        <w:rPr>
          <w:rFonts w:ascii="MS PGothic" w:cs="MS PGothic" w:eastAsia="MS PGothic" w:hAnsi="MS PGothic"/>
          <w:sz w:val="12"/>
          <w:szCs w:val="12"/>
          <w:color w:val="auto"/>
        </w:rPr>
      </w:pPr>
      <w:r>
        <w:rPr>
          <w:rFonts w:ascii="Arial" w:cs="Arial" w:eastAsia="Arial" w:hAnsi="Arial"/>
          <w:sz w:val="17"/>
          <w:szCs w:val="17"/>
          <w:color w:val="auto"/>
        </w:rPr>
        <w:t>“change of control” means (a)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 majority of the voting power of the surviving entity (or, if the surviving entity is a wholly owned subsidiary, its parent) immediately after such consolidation, merger or reorganization; (b) any transaction or series of related transactions to which the company is a party in which in excess of 50% of our voting power is transferred; provided that the foregoing shall not include any transaction or series of transactions principally for bona fide equity financing purposes in which cash is received by us or our indebtedness is cancelled or converted or a combination thereof; or (c) a sale, lease, exclusive license or other disposition of all or substantially all of our assets.</w:t>
      </w:r>
    </w:p>
    <w:p>
      <w:pPr>
        <w:spacing w:after="0" w:line="26" w:lineRule="exact"/>
        <w:rPr>
          <w:rFonts w:ascii="MS PGothic" w:cs="MS PGothic" w:eastAsia="MS PGothic" w:hAnsi="MS PGothic"/>
          <w:sz w:val="12"/>
          <w:szCs w:val="12"/>
          <w:color w:val="auto"/>
        </w:rPr>
      </w:pPr>
    </w:p>
    <w:p>
      <w:pPr>
        <w:ind w:left="1020" w:right="260" w:hanging="425"/>
        <w:spacing w:after="0" w:line="233" w:lineRule="auto"/>
        <w:tabs>
          <w:tab w:leader="none" w:pos="1020" w:val="left"/>
        </w:tabs>
        <w:numPr>
          <w:ilvl w:val="0"/>
          <w:numId w:val="88"/>
        </w:numPr>
        <w:rPr>
          <w:rFonts w:ascii="MS PGothic" w:cs="MS PGothic" w:eastAsia="MS PGothic" w:hAnsi="MS PGothic"/>
          <w:sz w:val="12"/>
          <w:szCs w:val="12"/>
          <w:color w:val="auto"/>
        </w:rPr>
      </w:pPr>
      <w:r>
        <w:rPr>
          <w:rFonts w:ascii="Arial" w:cs="Arial" w:eastAsia="Arial" w:hAnsi="Arial"/>
          <w:sz w:val="17"/>
          <w:szCs w:val="17"/>
          <w:color w:val="auto"/>
        </w:rPr>
        <w:t>“good reason” means any of the following actions, if taken by us without officer’s prior written consent: (a) a material reduction in officer’s base salary, which we and officer agree is a reduction of at least 10% of officer’s base salary (unless pursuant to a salary reduction program applicable generally to our similarly situated employees); (b) a material reduction in officer’s duties (including responsibilities and/or authorities) (with respect to Dr. Fordyce, as our Chief Executive Officer), provided, however, that a change in job</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080"/>
          </w:cols>
          <w:pgMar w:left="320" w:top="456"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040"/>
        <w:spacing w:after="0" w:line="231" w:lineRule="auto"/>
        <w:rPr>
          <w:sz w:val="20"/>
          <w:szCs w:val="20"/>
          <w:color w:val="auto"/>
        </w:rPr>
      </w:pPr>
      <w:r>
        <w:rPr>
          <w:rFonts w:ascii="Arial" w:cs="Arial" w:eastAsia="Arial" w:hAnsi="Arial"/>
          <w:sz w:val="17"/>
          <w:szCs w:val="17"/>
          <w:color w:val="auto"/>
        </w:rPr>
        <w:t>position (including a change in title) shall not be deemed a “material reduction” in and of itself unless officer’s new duties are materially reduced from the prior duties; (c) relocation of officer’s principal place of employment to a place that increases officer’s one-way commute by more than 50 miles as compared to officer’s then-current principal place of employment immediately prior to such relocation, provided that if officer works remotely during any period in which officer’s regular principal place of business at a company office is closed, then neither officer’s relocation to remote work or back to the office from remote work will be considered a relocation from officer’s principal place of employment for the purposes of this definition; or, with respect to Dr. Fordyce, (d) prior to a change of control, no longer being a member of our board of directors or reporting to our board of directors as Chief Executive Officer. In order to resign for good reason, officer must provide written notice to our board of directors, or with respect to Dr. Curley, our Chief Executive Officer, within 30 days after each occurrence of the event giving rise to good reason setting forth the basis for officer’s resignation, allow us at least 30 days from receipt of such written notice to cure such event, and if such event is not reasonably cured within such period, officer must resign from all positions officer then holds with the company not later than 30 days after the expiration of the cure period.</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Compensation and Benefits</w:t>
      </w:r>
    </w:p>
    <w:p>
      <w:pPr>
        <w:spacing w:after="0" w:line="91" w:lineRule="exact"/>
        <w:rPr>
          <w:sz w:val="20"/>
          <w:szCs w:val="20"/>
          <w:color w:val="auto"/>
        </w:rPr>
      </w:pPr>
    </w:p>
    <w:p>
      <w:pPr>
        <w:ind w:left="160" w:right="180"/>
        <w:spacing w:after="0" w:line="234" w:lineRule="auto"/>
        <w:rPr>
          <w:sz w:val="20"/>
          <w:szCs w:val="20"/>
          <w:color w:val="auto"/>
        </w:rPr>
      </w:pPr>
      <w:r>
        <w:rPr>
          <w:rFonts w:ascii="Arial" w:cs="Arial" w:eastAsia="Arial" w:hAnsi="Arial"/>
          <w:sz w:val="17"/>
          <w:szCs w:val="17"/>
          <w:color w:val="auto"/>
        </w:rPr>
        <w:t>All of our current named executive officers are eligible to participate in our employee benefit plans, including our medical, dental and vision, in each case on the same basis as all of our other employees. We pay the premiums for the medical, disability, accidental death and dismemberment insurance for all of our employees, including our named executive officers. We generally do not provide perquisites or personal benefits to our named executive officers.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Benefit Plans</w:t>
      </w:r>
    </w:p>
    <w:p>
      <w:pPr>
        <w:spacing w:after="0" w:line="77"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options and other equity-based awards helps us to attract, retain and motivate employees, consultants and directors, and encourages them to devote their best efforts to our business and financial success. The principal features of our equity incentive plans and our 401(k) plan are summarized below. These summaries are qualified in their entirety by reference to the actual text of the plans, which, other than the 401(k) plan, are filed as exhibits to the registration statement of which this prospectus is a part.</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2021 Equity Incentive Plan</w:t>
      </w:r>
    </w:p>
    <w:p>
      <w:pPr>
        <w:spacing w:after="0" w:line="52" w:lineRule="exact"/>
        <w:rPr>
          <w:sz w:val="20"/>
          <w:szCs w:val="20"/>
          <w:color w:val="auto"/>
        </w:rPr>
      </w:pPr>
    </w:p>
    <w:p>
      <w:pPr>
        <w:ind w:left="160" w:right="80"/>
        <w:spacing w:after="0" w:line="236" w:lineRule="auto"/>
        <w:rPr>
          <w:sz w:val="20"/>
          <w:szCs w:val="20"/>
          <w:color w:val="auto"/>
        </w:rPr>
      </w:pPr>
      <w:r>
        <w:rPr>
          <w:rFonts w:ascii="Arial" w:cs="Arial" w:eastAsia="Arial" w:hAnsi="Arial"/>
          <w:sz w:val="17"/>
          <w:szCs w:val="17"/>
          <w:color w:val="auto"/>
        </w:rPr>
        <w:t>Our board of directors has adopted, and our stockholders have approved, our 2021 Plan. We expect our 2021 Plan will become effective on the date of the underwriting agreement related to this offering. Once our 2021 Plan becomes effective, no further grants will be made under our 2017 Plan.</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Awards</w:t>
      </w:r>
      <w:r>
        <w:rPr>
          <w:rFonts w:ascii="Arial" w:cs="Arial" w:eastAsia="Arial" w:hAnsi="Arial"/>
          <w:sz w:val="17"/>
          <w:szCs w:val="17"/>
          <w:color w:val="auto"/>
        </w:rPr>
        <w:t>. Our 2021 Plan will provide for the grant of incentive stock options (ISOs) within the meaning of Section 422 of the Internal Revenue Code</w:t>
      </w:r>
      <w:r>
        <w:rPr>
          <w:rFonts w:ascii="Arial" w:cs="Arial" w:eastAsia="Arial" w:hAnsi="Arial"/>
          <w:sz w:val="17"/>
          <w:szCs w:val="17"/>
          <w:i w:val="1"/>
          <w:iCs w:val="1"/>
          <w:color w:val="auto"/>
        </w:rPr>
        <w:t xml:space="preserve"> </w:t>
      </w:r>
      <w:r>
        <w:rPr>
          <w:rFonts w:ascii="Arial" w:cs="Arial" w:eastAsia="Arial" w:hAnsi="Arial"/>
          <w:sz w:val="17"/>
          <w:szCs w:val="17"/>
          <w:color w:val="auto"/>
        </w:rPr>
        <w:t>of 1986, as amended (Code), to our employees and our parent and subsidiary corporations’ employees, and for the grant of nonstatutory stock options (NSOs), stock appreciation rights, restricted stock awards, restricted stock unit awards, performance awards and other forms of awards to our employees, directors and consultants and any of our affiliates’ employees and consultants.</w:t>
      </w:r>
    </w:p>
    <w:p>
      <w:pPr>
        <w:spacing w:after="0" w:line="128" w:lineRule="exact"/>
        <w:rPr>
          <w:sz w:val="20"/>
          <w:szCs w:val="20"/>
          <w:color w:val="auto"/>
        </w:rPr>
      </w:pPr>
    </w:p>
    <w:p>
      <w:pPr>
        <w:ind w:left="160" w:right="60"/>
        <w:spacing w:after="0" w:line="234"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Initially, the maximum number of shares of our Class A common stock that may be issued under our 2021 Plan after it</w:t>
      </w:r>
      <w:r>
        <w:rPr>
          <w:rFonts w:ascii="Arial" w:cs="Arial" w:eastAsia="Arial" w:hAnsi="Arial"/>
          <w:sz w:val="17"/>
          <w:szCs w:val="17"/>
          <w:i w:val="1"/>
          <w:iCs w:val="1"/>
          <w:color w:val="auto"/>
        </w:rPr>
        <w:t xml:space="preserve"> </w:t>
      </w:r>
      <w:r>
        <w:rPr>
          <w:rFonts w:ascii="Arial" w:cs="Arial" w:eastAsia="Arial" w:hAnsi="Arial"/>
          <w:sz w:val="17"/>
          <w:szCs w:val="17"/>
          <w:color w:val="auto"/>
        </w:rPr>
        <w:t>becomes effective will not exceed 4,405,336 shares of our Class A common stock, which is the sum of (i) 2,212,335 new shares, plus (ii) an additional number of shares up to a maximum of 2,193,001 shares, which number consists of shares of our Class A common stock subject to outstanding stock options or other stock awards granted under our 2017 Plan that, on or after our 2021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In addition, the number of shares of our Class A common stock reserved for issuance under our 2021 Plan will automatically increase on January 1</w:t>
      </w:r>
      <w:r>
        <w:rPr>
          <w:rFonts w:ascii="Arial" w:cs="Arial" w:eastAsia="Arial" w:hAnsi="Arial"/>
          <w:sz w:val="14"/>
          <w:szCs w:val="14"/>
          <w:color w:val="auto"/>
        </w:rPr>
        <w:t>st</w:t>
      </w:r>
      <w:r>
        <w:rPr>
          <w:rFonts w:ascii="Arial" w:cs="Arial" w:eastAsia="Arial" w:hAnsi="Arial"/>
          <w:sz w:val="17"/>
          <w:szCs w:val="17"/>
          <w:color w:val="auto"/>
        </w:rPr>
        <w:t xml:space="preserve"> of each year for a period of 10 years, beginning on January 1, 2022 and continuing through January 1, 2031, in an amount equal to (1) 5% of the total number of shares of our Class A common stock outstanding on December 31</w:t>
      </w:r>
      <w:r>
        <w:rPr>
          <w:rFonts w:ascii="Arial" w:cs="Arial" w:eastAsia="Arial" w:hAnsi="Arial"/>
          <w:sz w:val="14"/>
          <w:szCs w:val="14"/>
          <w:color w:val="auto"/>
        </w:rPr>
        <w:t>st</w:t>
      </w:r>
      <w:r>
        <w:rPr>
          <w:rFonts w:ascii="Arial" w:cs="Arial" w:eastAsia="Arial" w:hAnsi="Arial"/>
          <w:sz w:val="17"/>
          <w:szCs w:val="17"/>
          <w:color w:val="auto"/>
        </w:rPr>
        <w:t xml:space="preserve"> of the immediately preceding year, or (2) a lesser number of shares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080"/>
          </w:cols>
          <w:pgMar w:left="320" w:top="456"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120"/>
        <w:spacing w:after="0" w:line="239" w:lineRule="auto"/>
        <w:rPr>
          <w:sz w:val="20"/>
          <w:szCs w:val="20"/>
          <w:color w:val="auto"/>
        </w:rPr>
      </w:pPr>
      <w:r>
        <w:rPr>
          <w:rFonts w:ascii="Arial" w:cs="Arial" w:eastAsia="Arial" w:hAnsi="Arial"/>
          <w:sz w:val="17"/>
          <w:szCs w:val="17"/>
          <w:color w:val="auto"/>
        </w:rPr>
        <w:t>determined by our board of directors no later than the date of any such increase. The maximum number of shares of our Class A common stock that may be issued on the exercise of ISOs under our 2021 Plan will be 13,216,008 shares.</w:t>
      </w:r>
    </w:p>
    <w:p>
      <w:pPr>
        <w:spacing w:after="0" w:line="146" w:lineRule="exact"/>
        <w:rPr>
          <w:sz w:val="20"/>
          <w:szCs w:val="20"/>
          <w:color w:val="auto"/>
        </w:rPr>
      </w:pPr>
    </w:p>
    <w:p>
      <w:pPr>
        <w:ind w:left="160" w:right="100"/>
        <w:spacing w:after="0" w:line="232" w:lineRule="auto"/>
        <w:rPr>
          <w:sz w:val="20"/>
          <w:szCs w:val="20"/>
          <w:color w:val="auto"/>
        </w:rPr>
      </w:pPr>
      <w:r>
        <w:rPr>
          <w:rFonts w:ascii="Arial" w:cs="Arial" w:eastAsia="Arial" w:hAnsi="Arial"/>
          <w:sz w:val="17"/>
          <w:szCs w:val="17"/>
          <w:color w:val="auto"/>
        </w:rPr>
        <w:t>Shares subject to stock awards granted under our 2021 Plan that expire or terminate without being exercised in full or that are paid out in cash rather than in shares will not reduce the number of shares available for issuance under our 2021 Plan. Shares withheld under a stock award to satisfy the exercise, strike or purchase price of a stock award or to satisfy a tax withholding obligation will not reduce the number of shares available for issuance under our 2021 Plan. If any shares of our Class A common stock issued pursuant to a stock award are forfeited back to or repurchased or reacquired by us (i) because of a failure to meet a contingency or condition required for the vesting of such shares; (ii) to satisfy the exercise, strike or purchase price of a stock award; or (iii) to satisfy a tax withholding obligation in connection with a stock award, the shares that are forfeited or repurchased or reacquired will revert to and again become available for issuance under our 2021 Plan.</w:t>
      </w:r>
    </w:p>
    <w:p>
      <w:pPr>
        <w:spacing w:after="0" w:line="130" w:lineRule="exact"/>
        <w:rPr>
          <w:sz w:val="20"/>
          <w:szCs w:val="20"/>
          <w:color w:val="auto"/>
        </w:rPr>
      </w:pPr>
    </w:p>
    <w:p>
      <w:pPr>
        <w:ind w:left="160" w:right="20"/>
        <w:spacing w:after="0" w:line="236"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duly authorized committee of our board of directors, will administer our 2021 Plan.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may delegate to one or more of our officers the authority to (i) designate employees (other than officers) to receive specified stock awards; and (ii) determine the number of shares subject to such stock awards. Under our 2021 Plan, our board of directors will have the authority to determine stock award recipients, the types of stock awards to be granted, grant dates, the number of shares subject to each stock award, the fair market value of our Class A common stock, and the provisions of each stock award, including the period of exercisability and the vesting schedule applicable to a stock award.</w:t>
      </w:r>
    </w:p>
    <w:p>
      <w:pPr>
        <w:spacing w:after="0" w:line="149" w:lineRule="exact"/>
        <w:rPr>
          <w:sz w:val="20"/>
          <w:szCs w:val="20"/>
          <w:color w:val="auto"/>
        </w:rPr>
      </w:pPr>
    </w:p>
    <w:p>
      <w:pPr>
        <w:jc w:val="both"/>
        <w:ind w:left="160" w:right="100"/>
        <w:spacing w:after="0" w:line="234" w:lineRule="auto"/>
        <w:rPr>
          <w:sz w:val="20"/>
          <w:szCs w:val="20"/>
          <w:color w:val="auto"/>
        </w:rPr>
      </w:pPr>
      <w:r>
        <w:rPr>
          <w:rFonts w:ascii="Arial" w:cs="Arial" w:eastAsia="Arial" w:hAnsi="Arial"/>
          <w:sz w:val="17"/>
          <w:szCs w:val="17"/>
          <w:color w:val="auto"/>
        </w:rPr>
        <w:t>Under our 2021 Plan, our board of directors also generally will have the authority to effect, with the consent of any materially adversely affected participant, (i) the reduction of the exercise, purchase, or strike price of any outstanding option or stock appreciation right; (ii) the cancellation of any outstanding option or stock appreciation right and the grant in substitution therefore of other awards, cash, or other consideration; or (iii) any other action that is treated as a repricing under generally accepted accounting principles.</w:t>
      </w:r>
    </w:p>
    <w:p>
      <w:pPr>
        <w:spacing w:after="0" w:line="129" w:lineRule="exact"/>
        <w:rPr>
          <w:sz w:val="20"/>
          <w:szCs w:val="20"/>
          <w:color w:val="auto"/>
        </w:rPr>
      </w:pPr>
    </w:p>
    <w:p>
      <w:pPr>
        <w:ind w:left="160" w:right="60"/>
        <w:spacing w:after="0"/>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ISOs and NSOs are granted under stock option agreements adopted by the administrator. The administrator will determine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for stock options, within the terms and conditions of our 2021 Plan, except the exercise price of a stock option generally will not be less than 100% of the fair market value of our Class A common stock on the date of grant. Options granted under our 2021 Plan will vest at the rate specified in the stock option agreement as will be determined by the administrator.</w:t>
      </w:r>
    </w:p>
    <w:p>
      <w:pPr>
        <w:spacing w:after="0" w:line="146"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The administrator will determine the term of stock options granted under our 2021 Plan, up to a maximum of 10 years. Unless the terms of an optionholder’s stock option agreement, or other written agreement between us and the recipient,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51" w:lineRule="exact"/>
        <w:rPr>
          <w:sz w:val="20"/>
          <w:szCs w:val="20"/>
          <w:color w:val="auto"/>
        </w:rPr>
      </w:pPr>
    </w:p>
    <w:p>
      <w:pPr>
        <w:ind w:left="160" w:right="80"/>
        <w:spacing w:after="0" w:line="234" w:lineRule="auto"/>
        <w:rPr>
          <w:sz w:val="20"/>
          <w:szCs w:val="20"/>
          <w:color w:val="auto"/>
        </w:rPr>
      </w:pPr>
      <w:r>
        <w:rPr>
          <w:rFonts w:ascii="Arial" w:cs="Arial" w:eastAsia="Arial" w:hAnsi="Arial"/>
          <w:sz w:val="17"/>
          <w:szCs w:val="17"/>
          <w:color w:val="auto"/>
        </w:rPr>
        <w:t>Acceptable consideration for the purchase of Class A common stock issued upon the exercise of a stock option will be determined by the administrator and may include (i) cash, check, bank draft or money order; (ii) a broker-assisted cashless exercise; (iii) the tender of shares of our Class A common stock previously owned by the optionholder; (iv) a net exercise of the option if it is an NSO; or (v) other legal consideration approved by the administrator.</w:t>
      </w:r>
    </w:p>
    <w:p>
      <w:pPr>
        <w:spacing w:after="0" w:line="147"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Unless the administrator provides otherwise, options or stock appreciation rights generally are not transferable except by will or the laws of descent and distribution. Subject to approval of the administrator or a duly authorized officer, an option may be transferred pursuant to a domestic relations order, official marital settlement agreement, or other divorce or separation instrument.</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040"/>
          </w:cols>
          <w:pgMar w:left="320" w:top="456" w:right="5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i w:val="1"/>
          <w:iCs w:val="1"/>
          <w:color w:val="auto"/>
        </w:rPr>
        <w:t>Tax Limitations on ISOs</w:t>
      </w:r>
      <w:r>
        <w:rPr>
          <w:rFonts w:ascii="Arial" w:cs="Arial" w:eastAsia="Arial" w:hAnsi="Arial"/>
          <w:sz w:val="17"/>
          <w:szCs w:val="17"/>
          <w:color w:val="auto"/>
        </w:rPr>
        <w:t>. The aggregate fair market value, determined at the time of grant, of our Class A common stock with respect to ISOs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(i) the option exercise price is at least 110% of the fair market value of the stock subject to the option on the date of grant; and (ii) the term of the ISO does not exceed five years from the date of grant.</w:t>
      </w:r>
    </w:p>
    <w:p>
      <w:pPr>
        <w:spacing w:after="0" w:line="131" w:lineRule="exact"/>
        <w:rPr>
          <w:sz w:val="20"/>
          <w:szCs w:val="20"/>
          <w:color w:val="auto"/>
        </w:rPr>
      </w:pPr>
    </w:p>
    <w:p>
      <w:pPr>
        <w:ind w:left="160" w:right="100"/>
        <w:spacing w:after="0" w:line="235"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 awards are granted under restricted stock unit award agreements 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other written agreement between us and the recipient, restricted stock unit awards that have not vested will be forfeited once the participant’s continuous service ends for any reason.</w:t>
      </w:r>
    </w:p>
    <w:p>
      <w:pPr>
        <w:spacing w:after="0" w:line="131"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Restricted stock awards are granted under restricted stock award agreements adopted by the administrator. A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award may be awarded in consideration for cash, check, bank draft or money order, past or future services to us, or any other form of legal consideration that may be acceptable to our board of directors and permissible under applicable law. The administrator will determine the terms and conditions of restricted stock awards, including vesting and forfeiture terms. If a participant’s service relationship with us ends for any reason, we may receive any or all of the shares of Class A common stock held by the participant that have not vested as of the date the participant terminates service with us through a forfeiture condition or a repurchase right.</w:t>
      </w:r>
    </w:p>
    <w:p>
      <w:pPr>
        <w:spacing w:after="0" w:line="131" w:lineRule="exact"/>
        <w:rPr>
          <w:sz w:val="20"/>
          <w:szCs w:val="20"/>
          <w:color w:val="auto"/>
        </w:rPr>
      </w:pPr>
    </w:p>
    <w:p>
      <w:pPr>
        <w:ind w:left="160" w:right="80"/>
        <w:spacing w:after="0" w:line="236"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under stock appreciation right agreements adopted by the administrator.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determine the purchase price or strike price for a stock appreciation right, which generally will not be less than 100% of the fair market value of our Class A common stock on the date of grant. A stock appreciation right granted under our 2021 Plan will vest at the rate specified in the stock appreciation right agreement as will be determined by the administrator. Stock appreciation rights may be settled in cash or shares of our Class A common stock or in any other form of payment as determined by our board of directors and specified in the stock appreciation right agreement.</w:t>
      </w:r>
    </w:p>
    <w:p>
      <w:pPr>
        <w:spacing w:after="0" w:line="149"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The administrator will determine the term of stock appreciation rights granted under our 2021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upon the termination date. In no event may a stock appreciation right be exercised beyond the expiration of its term.</w:t>
      </w:r>
    </w:p>
    <w:p>
      <w:pPr>
        <w:spacing w:after="0" w:line="129" w:lineRule="exact"/>
        <w:rPr>
          <w:sz w:val="20"/>
          <w:szCs w:val="20"/>
          <w:color w:val="auto"/>
        </w:rPr>
      </w:pPr>
    </w:p>
    <w:p>
      <w:pPr>
        <w:ind w:left="160" w:right="80"/>
        <w:spacing w:after="0"/>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Our 2021 Plan will permit the grant of performance awards that may be settled in stock, cash or other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46"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The performance goals may be based on any measure of performance selected by our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060"/>
          </w:cols>
          <w:pgMar w:left="320" w:top="456" w:right="5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of directors at the time the performance award is granted, our board will appropriately make adjustments in the method of calculating the attainment of performance goals as follows: (i) to exclude restructuring or other nonrecurring charges; (ii) to exclude exchange rate effects; (iii) to exclude the effects of changes to generally accepted accounting principles; (iv) to exclude the effects of any statutory adjustments to corporate tax rates; (v) to exclude the effects of items that are “unusual” in nature or occur “infrequently” as determined under generally accepted accounting principles; (vi) to exclude the dilutive effects of acquisitions or joint ventures; (vii) to assume that any business divested by us achieved performance objectives at targeted levels during the balance of a performance period following such divestiture; (viii) to exclude the effect of any change in the outstanding shares of our Class A common stock by reason of any stock dividend or split, stock repurchase, reorganization, recapitalization, merger, consolidation, spin-off, combination or exchange of shares or other similar corporate change, or any distributions to Class A common stockholders other than regular cash dividends; (ix) to exclude the effects of stock based compensation and the award of bonuses under our bonus plans; (x) 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w:t>
      </w:r>
    </w:p>
    <w:p>
      <w:pPr>
        <w:spacing w:after="0" w:line="132" w:lineRule="exact"/>
        <w:rPr>
          <w:sz w:val="20"/>
          <w:szCs w:val="20"/>
          <w:color w:val="auto"/>
        </w:rPr>
      </w:pPr>
    </w:p>
    <w:p>
      <w:pPr>
        <w:jc w:val="both"/>
        <w:ind w:left="160" w:right="400"/>
        <w:spacing w:after="0" w:line="245" w:lineRule="auto"/>
        <w:rPr>
          <w:sz w:val="20"/>
          <w:szCs w:val="20"/>
          <w:color w:val="auto"/>
        </w:rPr>
      </w:pPr>
      <w:r>
        <w:rPr>
          <w:rFonts w:ascii="Arial" w:cs="Arial" w:eastAsia="Arial" w:hAnsi="Arial"/>
          <w:sz w:val="17"/>
          <w:szCs w:val="17"/>
          <w:i w:val="1"/>
          <w:iCs w:val="1"/>
          <w:color w:val="auto"/>
        </w:rPr>
        <w:t>Other Stock Awards</w:t>
      </w:r>
      <w:r>
        <w:rPr>
          <w:rFonts w:ascii="Arial" w:cs="Arial" w:eastAsia="Arial" w:hAnsi="Arial"/>
          <w:sz w:val="17"/>
          <w:szCs w:val="17"/>
          <w:color w:val="auto"/>
        </w:rPr>
        <w:t>. The administrator will be permitted to grant other awards based in whole or in part by reference to our Class A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The administrator will set the number of shares under the stock award (or cash equivalent) and all other terms and conditions of such awards.</w:t>
      </w:r>
    </w:p>
    <w:p>
      <w:pPr>
        <w:spacing w:after="0" w:line="124" w:lineRule="exact"/>
        <w:rPr>
          <w:sz w:val="20"/>
          <w:szCs w:val="20"/>
          <w:color w:val="auto"/>
        </w:rPr>
      </w:pPr>
    </w:p>
    <w:p>
      <w:pPr>
        <w:ind w:left="160" w:right="80"/>
        <w:spacing w:after="0" w:line="245" w:lineRule="auto"/>
        <w:rPr>
          <w:sz w:val="20"/>
          <w:szCs w:val="20"/>
          <w:color w:val="auto"/>
        </w:rPr>
      </w:pPr>
      <w:r>
        <w:rPr>
          <w:rFonts w:ascii="Arial" w:cs="Arial" w:eastAsia="Arial" w:hAnsi="Arial"/>
          <w:sz w:val="17"/>
          <w:szCs w:val="17"/>
          <w:i w:val="1"/>
          <w:iCs w:val="1"/>
          <w:color w:val="auto"/>
        </w:rPr>
        <w:t>Non-Employee Director Compensation Limit</w:t>
      </w:r>
      <w:r>
        <w:rPr>
          <w:rFonts w:ascii="Arial" w:cs="Arial" w:eastAsia="Arial" w:hAnsi="Arial"/>
          <w:sz w:val="17"/>
          <w:szCs w:val="17"/>
          <w:color w:val="auto"/>
        </w:rPr>
        <w:t>. The aggregate value of all compensation granted or paid to any non-employee director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any calendar year, including awards granted and cash fees paid by us to such non-employee director, will not exceed $750,000 in total value, except such amount will increase to $1,000,000 for the first year for newly appointed or elected non-employee directors.</w:t>
      </w:r>
    </w:p>
    <w:p>
      <w:pPr>
        <w:spacing w:after="0" w:line="124" w:lineRule="exact"/>
        <w:rPr>
          <w:sz w:val="20"/>
          <w:szCs w:val="20"/>
          <w:color w:val="auto"/>
        </w:rPr>
      </w:pPr>
    </w:p>
    <w:p>
      <w:pPr>
        <w:ind w:left="160" w:right="20"/>
        <w:spacing w:after="0" w:line="255"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there is a specified type of change in our capital structure, such as a stock split, reverse stock split, or</w:t>
      </w:r>
      <w:r>
        <w:rPr>
          <w:rFonts w:ascii="Arial" w:cs="Arial" w:eastAsia="Arial" w:hAnsi="Arial"/>
          <w:sz w:val="16"/>
          <w:szCs w:val="16"/>
          <w:i w:val="1"/>
          <w:iCs w:val="1"/>
          <w:color w:val="auto"/>
        </w:rPr>
        <w:t xml:space="preserve"> </w:t>
      </w:r>
      <w:r>
        <w:rPr>
          <w:rFonts w:ascii="Arial" w:cs="Arial" w:eastAsia="Arial" w:hAnsi="Arial"/>
          <w:sz w:val="16"/>
          <w:szCs w:val="16"/>
          <w:color w:val="auto"/>
        </w:rPr>
        <w:t>recapitalization, appropriate adjustments will be made to (i) the class and maximum number of shares reserved for issuance under our 2021 Plan,</w:t>
      </w:r>
    </w:p>
    <w:p>
      <w:pPr>
        <w:spacing w:after="0" w:line="1" w:lineRule="exact"/>
        <w:rPr>
          <w:sz w:val="20"/>
          <w:szCs w:val="20"/>
          <w:color w:val="auto"/>
        </w:rPr>
      </w:pPr>
    </w:p>
    <w:p>
      <w:pPr>
        <w:ind w:left="160" w:right="460" w:firstLine="7"/>
        <w:spacing w:after="0" w:line="236" w:lineRule="auto"/>
        <w:tabs>
          <w:tab w:leader="none" w:pos="39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w:t>
      </w:r>
    </w:p>
    <w:p>
      <w:pPr>
        <w:spacing w:after="0" w:line="128"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a corporate transaction (as defined below), unless otherwise provided in a participant’s stock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other written agreement with us or one of our affiliates or unless otherwise expressly provided by the administrator at the time of grant, any stock awards outstanding under our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if the award is not assumed)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49" w:lineRule="exact"/>
        <w:rPr>
          <w:sz w:val="20"/>
          <w:szCs w:val="20"/>
          <w:color w:val="auto"/>
        </w:rPr>
      </w:pPr>
    </w:p>
    <w:p>
      <w:pPr>
        <w:ind w:left="160" w:right="80"/>
        <w:spacing w:after="0" w:line="234" w:lineRule="auto"/>
        <w:rPr>
          <w:sz w:val="20"/>
          <w:szCs w:val="20"/>
          <w:color w:val="auto"/>
        </w:rPr>
      </w:pPr>
      <w:r>
        <w:rPr>
          <w:rFonts w:ascii="Arial" w:cs="Arial" w:eastAsia="Arial" w:hAnsi="Arial"/>
          <w:sz w:val="17"/>
          <w:szCs w:val="17"/>
          <w:color w:val="auto"/>
        </w:rPr>
        <w:t>In the event a stock award will terminate if not exercised prior to the effective time of a corporate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per share exercise price payable</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080"/>
          </w:cols>
          <w:pgMar w:left="320" w:top="456"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160" w:right="580"/>
        <w:spacing w:after="0" w:line="236" w:lineRule="auto"/>
        <w:rPr>
          <w:sz w:val="20"/>
          <w:szCs w:val="20"/>
          <w:color w:val="auto"/>
        </w:rPr>
      </w:pPr>
      <w:r>
        <w:rPr>
          <w:rFonts w:ascii="Arial" w:cs="Arial" w:eastAsia="Arial" w:hAnsi="Arial"/>
          <w:sz w:val="17"/>
          <w:szCs w:val="17"/>
          <w:color w:val="auto"/>
        </w:rPr>
        <w:t>by such holder, if applicable. In addition, any escrow, holdback, earn out or similar provisions in the definitive agreement for the corporate transaction may apply to such payment to the same extent and in the same manner as such provisions apply to the holders of our Class A common stock.</w:t>
      </w:r>
    </w:p>
    <w:p>
      <w:pPr>
        <w:spacing w:after="0" w:line="146"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Under our 2021 Plan, a “corporate transaction” is generally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30" w:lineRule="exact"/>
        <w:rPr>
          <w:sz w:val="20"/>
          <w:szCs w:val="20"/>
          <w:color w:val="auto"/>
        </w:rPr>
      </w:pPr>
    </w:p>
    <w:p>
      <w:pPr>
        <w:ind w:left="160" w:right="20"/>
        <w:spacing w:after="0" w:line="245"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Stock awards granted under our 2021 Plan may be subject to acceleration of vesting and exercisability upon or after a change</w:t>
      </w:r>
      <w:r>
        <w:rPr>
          <w:rFonts w:ascii="Arial" w:cs="Arial" w:eastAsia="Arial" w:hAnsi="Arial"/>
          <w:sz w:val="17"/>
          <w:szCs w:val="17"/>
          <w:i w:val="1"/>
          <w:iCs w:val="1"/>
          <w:color w:val="auto"/>
        </w:rPr>
        <w:t xml:space="preserve"> </w:t>
      </w:r>
      <w:r>
        <w:rPr>
          <w:rFonts w:ascii="Arial" w:cs="Arial" w:eastAsia="Arial" w:hAnsi="Arial"/>
          <w:sz w:val="17"/>
          <w:szCs w:val="17"/>
          <w:color w:val="auto"/>
        </w:rPr>
        <w:t>in control (as defined below) as may be provided in the applicable stock award agreement or in any other written agreement between us or any affiliate and the participant, but in the absence of such provision, no such acceleration will automatically occur.</w:t>
      </w:r>
    </w:p>
    <w:p>
      <w:pPr>
        <w:spacing w:after="0" w:line="142" w:lineRule="exact"/>
        <w:rPr>
          <w:sz w:val="20"/>
          <w:szCs w:val="20"/>
          <w:color w:val="auto"/>
        </w:rPr>
      </w:pPr>
    </w:p>
    <w:p>
      <w:pPr>
        <w:ind w:left="160"/>
        <w:spacing w:after="0" w:line="244" w:lineRule="auto"/>
        <w:rPr>
          <w:sz w:val="20"/>
          <w:szCs w:val="20"/>
          <w:color w:val="auto"/>
        </w:rPr>
      </w:pPr>
      <w:r>
        <w:rPr>
          <w:rFonts w:ascii="Arial" w:cs="Arial" w:eastAsia="Arial" w:hAnsi="Arial"/>
          <w:sz w:val="16"/>
          <w:szCs w:val="16"/>
          <w:color w:val="auto"/>
        </w:rPr>
        <w:t>Under our 2021 Plan, a “change in control” is generally (i) the acquisition by any person or company of more than 50% of the combined voting power of our then outstanding stock; (ii) a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 (iii)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w:t>
      </w:r>
    </w:p>
    <w:p>
      <w:pPr>
        <w:spacing w:after="0" w:line="1" w:lineRule="exact"/>
        <w:rPr>
          <w:sz w:val="20"/>
          <w:szCs w:val="20"/>
          <w:color w:val="auto"/>
        </w:rPr>
      </w:pPr>
    </w:p>
    <w:p>
      <w:pPr>
        <w:ind w:left="160" w:right="100" w:firstLine="7"/>
        <w:spacing w:after="0" w:line="236" w:lineRule="auto"/>
        <w:tabs>
          <w:tab w:leader="none" w:pos="442" w:val="left"/>
        </w:tabs>
        <w:numPr>
          <w:ilvl w:val="0"/>
          <w:numId w:val="90"/>
        </w:numPr>
        <w:rPr>
          <w:rFonts w:ascii="Arial" w:cs="Arial" w:eastAsia="Arial" w:hAnsi="Arial"/>
          <w:sz w:val="17"/>
          <w:szCs w:val="17"/>
          <w:color w:val="auto"/>
        </w:rPr>
      </w:pPr>
      <w:r>
        <w:rPr>
          <w:rFonts w:ascii="Arial" w:cs="Arial" w:eastAsia="Arial" w:hAnsi="Arial"/>
          <w:sz w:val="17"/>
          <w:szCs w:val="17"/>
          <w:color w:val="auto"/>
        </w:rPr>
        <w:t>when a majority 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28" w:lineRule="exact"/>
        <w:rPr>
          <w:sz w:val="20"/>
          <w:szCs w:val="20"/>
          <w:color w:val="auto"/>
        </w:rPr>
      </w:pPr>
    </w:p>
    <w:p>
      <w:pPr>
        <w:ind w:left="160" w:right="60"/>
        <w:spacing w:after="0"/>
        <w:rPr>
          <w:sz w:val="20"/>
          <w:szCs w:val="20"/>
          <w:color w:val="auto"/>
        </w:rPr>
      </w:pPr>
      <w:r>
        <w:rPr>
          <w:rFonts w:ascii="Arial" w:cs="Arial" w:eastAsia="Arial" w:hAnsi="Arial"/>
          <w:sz w:val="17"/>
          <w:szCs w:val="17"/>
          <w:i w:val="1"/>
          <w:iCs w:val="1"/>
          <w:color w:val="auto"/>
        </w:rPr>
        <w:t>Plan Amendment or Termination</w:t>
      </w:r>
      <w:r>
        <w:rPr>
          <w:rFonts w:ascii="Arial" w:cs="Arial" w:eastAsia="Arial" w:hAnsi="Arial"/>
          <w:sz w:val="17"/>
          <w:szCs w:val="17"/>
          <w:color w:val="auto"/>
        </w:rPr>
        <w:t>. Our board of directors has the authority to amend, suspend, or terminate our 2021 Plan at any time,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adopts our 2021 Plan. No stock awards may be granted under our 2021 Plan while it is suspended or after it is terminated.</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2017 Equity Incentive Plan</w:t>
      </w:r>
    </w:p>
    <w:p>
      <w:pPr>
        <w:spacing w:after="0" w:line="39" w:lineRule="exact"/>
        <w:rPr>
          <w:sz w:val="20"/>
          <w:szCs w:val="20"/>
          <w:color w:val="auto"/>
        </w:rPr>
      </w:pPr>
    </w:p>
    <w:p>
      <w:pPr>
        <w:ind w:left="160" w:right="60"/>
        <w:spacing w:after="0" w:line="234" w:lineRule="auto"/>
        <w:rPr>
          <w:sz w:val="20"/>
          <w:szCs w:val="20"/>
          <w:color w:val="auto"/>
        </w:rPr>
      </w:pPr>
      <w:r>
        <w:rPr>
          <w:rFonts w:ascii="Arial" w:cs="Arial" w:eastAsia="Arial" w:hAnsi="Arial"/>
          <w:sz w:val="17"/>
          <w:szCs w:val="17"/>
          <w:color w:val="auto"/>
        </w:rPr>
        <w:t>Our board of directors adopted the 2017 Plan and our stockholders approved the 2017 Plan in February 2017. The 2017 Plan is the successor to and continuation of the PNA Innovations, Inc. 2011 Stock Plan. The 2017 Plan provides for the grant of ISOs, NSOs, stock appreciation rights, restricted stock awards, restricted stock unit awards and other awards to our employees, directors and consultants or our affiliates. ISOs may be granted only to our employees or employees of our affiliates.</w:t>
      </w:r>
    </w:p>
    <w:p>
      <w:pPr>
        <w:spacing w:after="0" w:line="147" w:lineRule="exact"/>
        <w:rPr>
          <w:sz w:val="20"/>
          <w:szCs w:val="20"/>
          <w:color w:val="auto"/>
        </w:rPr>
      </w:pPr>
    </w:p>
    <w:p>
      <w:pPr>
        <w:jc w:val="both"/>
        <w:ind w:left="160" w:right="200"/>
        <w:spacing w:after="0" w:line="236" w:lineRule="auto"/>
        <w:rPr>
          <w:sz w:val="20"/>
          <w:szCs w:val="20"/>
          <w:color w:val="auto"/>
        </w:rPr>
      </w:pPr>
      <w:r>
        <w:rPr>
          <w:rFonts w:ascii="Arial" w:cs="Arial" w:eastAsia="Arial" w:hAnsi="Arial"/>
          <w:sz w:val="17"/>
          <w:szCs w:val="17"/>
          <w:color w:val="auto"/>
        </w:rPr>
        <w:t>The 2017 Plan will be terminated on the date the 2021 Plan becomes effective. However, any outstanding awards granted under the 2017 Plan will remain outstanding, subject to the terms of our 2017 Plan and award agreements, until such outstanding options are exercised or until any awards terminate or expire by their terms.</w:t>
      </w:r>
    </w:p>
    <w:p>
      <w:pPr>
        <w:spacing w:after="0" w:line="128" w:lineRule="exact"/>
        <w:rPr>
          <w:sz w:val="20"/>
          <w:szCs w:val="20"/>
          <w:color w:val="auto"/>
        </w:rPr>
      </w:pPr>
    </w:p>
    <w:p>
      <w:pPr>
        <w:ind w:left="160" w:right="120"/>
        <w:spacing w:after="0" w:line="245"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Upon the effective date of the 2021 Plan, we will no longer grant awards under our 2017 Plan. As of December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to purchase 1,855,507 shares were outstanding, and 1,150,088 shares of Class A common stock remained available for future issuance under our 2017 Plan. The options outstanding as of December 31, 2020 had a weighted-average exercise price of $2.99.</w:t>
      </w:r>
    </w:p>
    <w:p>
      <w:pPr>
        <w:spacing w:after="0" w:line="124" w:lineRule="exact"/>
        <w:rPr>
          <w:sz w:val="20"/>
          <w:szCs w:val="20"/>
          <w:color w:val="auto"/>
        </w:rPr>
      </w:pPr>
    </w:p>
    <w:p>
      <w:pPr>
        <w:ind w:left="160" w:right="260"/>
        <w:spacing w:after="0" w:line="245"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or a duly authorized committee of our board administers our 2017 Plan and the awards granted under it.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has the power to modify outstanding awards under our 2017 Plan. The administrator has the authority to reprice any outstanding option with the consent of any adversely affected participant.</w:t>
      </w:r>
    </w:p>
    <w:p>
      <w:pPr>
        <w:spacing w:after="0" w:line="124" w:lineRule="exact"/>
        <w:rPr>
          <w:sz w:val="20"/>
          <w:szCs w:val="20"/>
          <w:color w:val="auto"/>
        </w:rPr>
      </w:pPr>
    </w:p>
    <w:p>
      <w:pPr>
        <w:ind w:left="160" w:right="380"/>
        <w:spacing w:after="0" w:line="261"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Our 2017 Plan provides that in the event of certain specified significant corporate transactions, as defined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2017 Plan, our board may (1) arrange for the assumption, continuation or</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060"/>
          </w:cols>
          <w:pgMar w:left="320" w:top="456" w:right="5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substitution of an award by a successor corporation, or the acquiring corporation’s parent company; (2) arrange for the assignment of any reacquisition or repurchase rights held by us to a successor corporation, or the acquiring corporation’s parent company; (3) accelerate the vesting, in whole or in part, of the award and provide for its termination prior to the transaction if not exercised prior to the effective time of the corporate transaction; (4) arrange for the lapse, in whole or in part, of any reacquisition or repurchase rights held by us; (5) cancel or arrange for the cancellation of the award prior to the transaction in exchange for a cash payment, if any, determined by the board; or (6) make a payment in such form as determined by the board of directors equal to the excess, if any, of the per share amount (or value of property per share) payable to holders of Class A common stock over the per share exercise price under the applicable award. The administrator is not obligated to treat all awards or portions of awards, even those that are of the same type, in the same manner.</w:t>
      </w:r>
    </w:p>
    <w:p>
      <w:pPr>
        <w:spacing w:after="0" w:line="147" w:lineRule="exact"/>
        <w:rPr>
          <w:sz w:val="20"/>
          <w:szCs w:val="20"/>
          <w:color w:val="auto"/>
        </w:rPr>
      </w:pPr>
    </w:p>
    <w:p>
      <w:pPr>
        <w:ind w:left="160" w:right="120"/>
        <w:spacing w:after="0" w:line="239" w:lineRule="auto"/>
        <w:rPr>
          <w:sz w:val="20"/>
          <w:szCs w:val="20"/>
          <w:color w:val="auto"/>
        </w:rPr>
      </w:pPr>
      <w:r>
        <w:rPr>
          <w:rFonts w:ascii="Arial" w:cs="Arial" w:eastAsia="Arial" w:hAnsi="Arial"/>
          <w:sz w:val="17"/>
          <w:szCs w:val="17"/>
          <w:color w:val="auto"/>
        </w:rPr>
        <w:t>In the event of a change in control, as defined under our 2017 Plan, awards granted under our 2017 Plan will not receive automatic acceleration of vesting and exercisability, although this treatment may be provided for in an award agreement.</w:t>
      </w:r>
    </w:p>
    <w:p>
      <w:pPr>
        <w:spacing w:after="0" w:line="128" w:lineRule="exact"/>
        <w:rPr>
          <w:sz w:val="20"/>
          <w:szCs w:val="20"/>
          <w:color w:val="auto"/>
        </w:rPr>
      </w:pPr>
    </w:p>
    <w:p>
      <w:pPr>
        <w:jc w:val="both"/>
        <w:ind w:left="160" w:right="160"/>
        <w:spacing w:after="0" w:line="245"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Our board may impose limitations on the transferability of ISOs, NSOs and stock appreciation rights as the board will determine.</w:t>
      </w:r>
      <w:r>
        <w:rPr>
          <w:rFonts w:ascii="Arial" w:cs="Arial" w:eastAsia="Arial" w:hAnsi="Arial"/>
          <w:sz w:val="17"/>
          <w:szCs w:val="17"/>
          <w:i w:val="1"/>
          <w:iCs w:val="1"/>
          <w:color w:val="auto"/>
        </w:rPr>
        <w:t xml:space="preserve"> </w:t>
      </w:r>
      <w:r>
        <w:rPr>
          <w:rFonts w:ascii="Arial" w:cs="Arial" w:eastAsia="Arial" w:hAnsi="Arial"/>
          <w:sz w:val="17"/>
          <w:szCs w:val="17"/>
          <w:color w:val="auto"/>
        </w:rPr>
        <w:t>Absent such limitations, a participant may not transfer awards under our 2017 Plan other than by will, the laws of descent and distribution or as otherwise provided under our 2017 Plan.</w:t>
      </w:r>
    </w:p>
    <w:p>
      <w:pPr>
        <w:spacing w:after="0" w:line="124" w:lineRule="exact"/>
        <w:rPr>
          <w:sz w:val="20"/>
          <w:szCs w:val="20"/>
          <w:color w:val="auto"/>
        </w:rPr>
      </w:pPr>
    </w:p>
    <w:p>
      <w:pPr>
        <w:ind w:left="160" w:right="60"/>
        <w:spacing w:after="0" w:line="268"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Our board has the authority to suspend or terminate our 2017 Plan at any time, provided that such action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impair a participant’s rights under such participant’s outstanding award without his or her written consent. As described above, our 2017 Plan will be terminated upon the effective date of the 2021 Plan and no future awards will be granted under the 2017 Plan following such termination.</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Our board of directors has adopted, and our stockholders have approved, our 2021 Employee Stock Purchase Plan (ESPP). Our ESPP will</w:t>
      </w:r>
    </w:p>
    <w:p>
      <w:pPr>
        <w:ind w:left="160"/>
        <w:spacing w:after="0" w:line="229" w:lineRule="auto"/>
        <w:rPr>
          <w:sz w:val="20"/>
          <w:szCs w:val="20"/>
          <w:color w:val="auto"/>
        </w:rPr>
      </w:pPr>
      <w:r>
        <w:rPr>
          <w:rFonts w:ascii="Arial" w:cs="Arial" w:eastAsia="Arial" w:hAnsi="Arial"/>
          <w:sz w:val="17"/>
          <w:szCs w:val="17"/>
          <w:color w:val="auto"/>
        </w:rPr>
        <w:t>become effective immediately prior to and contingent upon the date of the underwriting agreement related to this offering. The purpose of our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ESPP will be to secure the services of new employees, to retain the services of existing employees, and to provide incentives for such individuals</w:t>
      </w:r>
    </w:p>
    <w:p>
      <w:pPr>
        <w:ind w:left="160"/>
        <w:spacing w:after="0" w:line="233" w:lineRule="auto"/>
        <w:rPr>
          <w:sz w:val="20"/>
          <w:szCs w:val="20"/>
          <w:color w:val="auto"/>
        </w:rPr>
      </w:pPr>
      <w:r>
        <w:rPr>
          <w:rFonts w:ascii="Arial" w:cs="Arial" w:eastAsia="Arial" w:hAnsi="Arial"/>
          <w:sz w:val="17"/>
          <w:szCs w:val="17"/>
          <w:color w:val="auto"/>
        </w:rPr>
        <w:t>to exert maximum efforts toward our success and that of our affiliates. Our ESPP will include two components. One component will be designed</w:t>
      </w:r>
    </w:p>
    <w:p>
      <w:pPr>
        <w:ind w:left="160"/>
        <w:spacing w:after="0" w:line="230" w:lineRule="auto"/>
        <w:rPr>
          <w:sz w:val="20"/>
          <w:szCs w:val="20"/>
          <w:color w:val="auto"/>
        </w:rPr>
      </w:pPr>
      <w:r>
        <w:rPr>
          <w:rFonts w:ascii="Arial" w:cs="Arial" w:eastAsia="Arial" w:hAnsi="Arial"/>
          <w:sz w:val="17"/>
          <w:szCs w:val="17"/>
          <w:color w:val="auto"/>
        </w:rPr>
        <w:t>to allow eligible U.S. employees to purchase our Class A common stock in a manner that may qualify for favorable tax treatment under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423 of the Code. The other component will permit the grant of purchase rights that do not qualify for such favorable tax treatment in order</w:t>
      </w:r>
    </w:p>
    <w:p>
      <w:pPr>
        <w:ind w:left="160"/>
        <w:spacing w:after="0" w:line="233" w:lineRule="auto"/>
        <w:rPr>
          <w:sz w:val="20"/>
          <w:szCs w:val="20"/>
          <w:color w:val="auto"/>
        </w:rPr>
      </w:pPr>
      <w:r>
        <w:rPr>
          <w:rFonts w:ascii="Arial" w:cs="Arial" w:eastAsia="Arial" w:hAnsi="Arial"/>
          <w:sz w:val="17"/>
          <w:szCs w:val="17"/>
          <w:color w:val="auto"/>
        </w:rPr>
        <w:t>to allow deviations necessary to permit participation by eligible employees who are foreign nationals or employed outside of the U.S. while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complying with applicable foreign laws.</w:t>
      </w:r>
    </w:p>
    <w:p>
      <w:pPr>
        <w:spacing w:after="0" w:line="134"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Following this offering, our ESPP will authorize the issuance of 220,251 shares of our Class A common stock under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rights granted to our employees or to employees of any of our designated affiliates. The number of shares of our Class A common stock reserved for issuance will automatically increase on January 1</w:t>
      </w:r>
      <w:r>
        <w:rPr>
          <w:rFonts w:ascii="Arial" w:cs="Arial" w:eastAsia="Arial" w:hAnsi="Arial"/>
          <w:sz w:val="14"/>
          <w:szCs w:val="14"/>
          <w:color w:val="auto"/>
        </w:rPr>
        <w:t>st</w:t>
      </w:r>
      <w:r>
        <w:rPr>
          <w:rFonts w:ascii="Arial" w:cs="Arial" w:eastAsia="Arial" w:hAnsi="Arial"/>
          <w:sz w:val="17"/>
          <w:szCs w:val="17"/>
          <w:color w:val="auto"/>
        </w:rPr>
        <w:t xml:space="preserve"> of each year for a period of 10 years, beginning on January 1, 2022 and continuing through January 1 , 2031, by the lesser of (i) 1% of the total number of shares of our Class A common stock outstanding on December 31 of the immediately preceding year; and (ii) 440,502 shares, except before the date of any such increase, our board of directors may determine that such increase will be less than the amount set forth in clauses (i) and (ii).</w:t>
      </w:r>
    </w:p>
    <w:p>
      <w:pPr>
        <w:spacing w:after="0" w:line="131"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will administer our ESPP and may delegate its authority to administer our ESPP to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Our ESPP will be implemented through a series of offerings under which eligible employees are granted purchase rights to purchase shares of our Class A common stock on specified dates during such offerings. Under our ESPP, our board of directors will be permitted to specify offerings with durations of not more than 27 months and to specify shorter purchase periods within each offering. Each offering will have one or more purchase dates on which shares of our Class A common stock will be purchased for employees participating in the offering. Our ESPP will provide that an offering may be terminated under certain circumstances.</w:t>
      </w:r>
    </w:p>
    <w:p>
      <w:pPr>
        <w:spacing w:after="0" w:line="131" w:lineRule="exact"/>
        <w:rPr>
          <w:sz w:val="20"/>
          <w:szCs w:val="20"/>
          <w:color w:val="auto"/>
        </w:rPr>
      </w:pPr>
    </w:p>
    <w:p>
      <w:pPr>
        <w:ind w:left="160" w:right="240"/>
        <w:spacing w:after="0"/>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Generally, all regular employees, including executive officers, employed by us or by any of our designated affiliates,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to participate in our ESPP and to contribute, normally through payroll deductions, up to a maximum percentage of their earnings (as defined in our ESPP) for the purchase of our Class A common stock under our ESPP. Unless otherwise determined by our board of directors, Class A common stock will</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040"/>
          </w:cols>
          <w:pgMar w:left="320" w:top="456" w:right="5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20"/>
        <w:spacing w:after="0" w:line="236" w:lineRule="auto"/>
        <w:rPr>
          <w:sz w:val="20"/>
          <w:szCs w:val="20"/>
          <w:color w:val="auto"/>
        </w:rPr>
      </w:pPr>
      <w:r>
        <w:rPr>
          <w:rFonts w:ascii="Arial" w:cs="Arial" w:eastAsia="Arial" w:hAnsi="Arial"/>
          <w:sz w:val="17"/>
          <w:szCs w:val="17"/>
          <w:color w:val="auto"/>
        </w:rPr>
        <w:t>be purchased for the accounts of employees participating in our ESPP at a price per share equal to the lesser of (i) 85% of the fair market value of a share of our Class A common stock on the first day of an offering; or (ii) 85% of the fair market value of a share of our Class A common stock on the date of purchase.</w:t>
      </w:r>
    </w:p>
    <w:p>
      <w:pPr>
        <w:spacing w:after="0" w:line="128" w:lineRule="exact"/>
        <w:rPr>
          <w:sz w:val="20"/>
          <w:szCs w:val="20"/>
          <w:color w:val="auto"/>
        </w:rPr>
      </w:pPr>
    </w:p>
    <w:p>
      <w:pPr>
        <w:ind w:left="160"/>
        <w:spacing w:after="0" w:line="235"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our ESPP, as determined by</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(i) being customarily employed for more than 20 hours per week; (ii) being customarily employed for more than five months per calendar year; or (iii) continuous employment with us or one of our affiliates for a period of time (not to exceed two years). No employee will be permitted to purchase shares under our ESPP at a rate in excess of $25,000 worth of our Class A common stock (based on the fair market value per share of our Class A common stock at the beginning of an offering) for each calendar year such a purchase right is outstanding. Finally, no employee will be eligible for the grant of any purchase rights under our ESPP if immediately after such rights are granted, such employee has voting power over 5% or more of our outstanding capital stock measured by vote or value under Section 424(d) of the Code.</w:t>
      </w:r>
    </w:p>
    <w:p>
      <w:pPr>
        <w:spacing w:after="0" w:line="131" w:lineRule="exact"/>
        <w:rPr>
          <w:sz w:val="20"/>
          <w:szCs w:val="20"/>
          <w:color w:val="auto"/>
        </w:rPr>
      </w:pPr>
    </w:p>
    <w:p>
      <w:pPr>
        <w:ind w:left="160"/>
        <w:spacing w:after="0" w:line="235"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Our ESPP will provide that in the event there occurs a change in our capital structure through such actions as a</w:t>
      </w:r>
      <w:r>
        <w:rPr>
          <w:rFonts w:ascii="Arial" w:cs="Arial" w:eastAsia="Arial" w:hAnsi="Arial"/>
          <w:sz w:val="17"/>
          <w:szCs w:val="17"/>
          <w:i w:val="1"/>
          <w:iCs w:val="1"/>
          <w:color w:val="auto"/>
        </w:rPr>
        <w:t xml:space="preserve"> </w:t>
      </w:r>
      <w:r>
        <w:rPr>
          <w:rFonts w:ascii="Arial" w:cs="Arial" w:eastAsia="Arial" w:hAnsi="Arial"/>
          <w:sz w:val="17"/>
          <w:szCs w:val="17"/>
          <w:color w:val="auto"/>
        </w:rPr>
        <w:t>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our board of directors will make appropriate adjustments to: (i) the class(es) and maximum number of shares reserved under our ESPP; (ii) the class(es) and maximum number of shares by which the share reserve may increase automatically each year; (iii) the class(es) and number of shares subject to, and purchase price applicable to, outstanding offerings and purchase rights; and (iv) the class(es) and number of shares that are subject to purchase limits under ongoing offerings.</w:t>
      </w:r>
    </w:p>
    <w:p>
      <w:pPr>
        <w:spacing w:after="0" w:line="131" w:lineRule="exact"/>
        <w:rPr>
          <w:sz w:val="20"/>
          <w:szCs w:val="20"/>
          <w:color w:val="auto"/>
        </w:rPr>
      </w:pPr>
    </w:p>
    <w:p>
      <w:pPr>
        <w:ind w:left="160"/>
        <w:spacing w:after="0" w:line="238"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Our ESPP will provide that in the event of a corporate transaction (as defined below), any then-outstanding rights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our stock under our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Class A common stock within 10 business days before such corporate transaction, and such purchase rights will terminate immediately after such purchase.</w:t>
      </w:r>
    </w:p>
    <w:p>
      <w:pPr>
        <w:spacing w:after="0" w:line="145"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Under our ESPP, a “corporate transaction” is generally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30" w:lineRule="exact"/>
        <w:rPr>
          <w:sz w:val="20"/>
          <w:szCs w:val="20"/>
          <w:color w:val="auto"/>
        </w:rPr>
      </w:pPr>
    </w:p>
    <w:p>
      <w:pPr>
        <w:ind w:left="160" w:right="120"/>
        <w:spacing w:after="0" w:line="245" w:lineRule="auto"/>
        <w:rPr>
          <w:sz w:val="20"/>
          <w:szCs w:val="20"/>
          <w:color w:val="auto"/>
        </w:rPr>
      </w:pPr>
      <w:r>
        <w:rPr>
          <w:rFonts w:ascii="Arial" w:cs="Arial" w:eastAsia="Arial" w:hAnsi="Arial"/>
          <w:sz w:val="17"/>
          <w:szCs w:val="17"/>
          <w:i w:val="1"/>
          <w:iCs w:val="1"/>
          <w:color w:val="auto"/>
        </w:rPr>
        <w:t>Amendment or Termination</w:t>
      </w:r>
      <w:r>
        <w:rPr>
          <w:rFonts w:ascii="Arial" w:cs="Arial" w:eastAsia="Arial" w:hAnsi="Arial"/>
          <w:sz w:val="17"/>
          <w:szCs w:val="17"/>
          <w:color w:val="auto"/>
        </w:rPr>
        <w:t>. Our board of directors will have the authority to amend or terminate our ESPP, except in certain circumstances such</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or termination may not materially impair any outstanding purchase rights without the holder’s consent. We will obtain stockholder approval of any amendment to our ESPP as required by applicable law or listing requirements.</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401(k) Plan</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We maintain a 401(k) plan that provides eligible U.S. employees with an opportunity to save for retirement on a tax advantaged basis. Eligible</w:t>
      </w:r>
    </w:p>
    <w:p>
      <w:pPr>
        <w:ind w:left="160"/>
        <w:spacing w:after="0" w:line="229" w:lineRule="auto"/>
        <w:rPr>
          <w:sz w:val="20"/>
          <w:szCs w:val="20"/>
          <w:color w:val="auto"/>
        </w:rPr>
      </w:pPr>
      <w:r>
        <w:rPr>
          <w:rFonts w:ascii="Arial" w:cs="Arial" w:eastAsia="Arial" w:hAnsi="Arial"/>
          <w:sz w:val="17"/>
          <w:szCs w:val="17"/>
          <w:color w:val="auto"/>
        </w:rPr>
        <w:t>employees are able to defer eligible compensation up to certain Code limits, which are updated annually. We have the ability to make matching</w:t>
      </w:r>
    </w:p>
    <w:p>
      <w:pPr>
        <w:ind w:left="160"/>
        <w:spacing w:after="0" w:line="230" w:lineRule="auto"/>
        <w:rPr>
          <w:sz w:val="20"/>
          <w:szCs w:val="20"/>
          <w:color w:val="auto"/>
        </w:rPr>
      </w:pPr>
      <w:r>
        <w:rPr>
          <w:rFonts w:ascii="Arial" w:cs="Arial" w:eastAsia="Arial" w:hAnsi="Arial"/>
          <w:sz w:val="17"/>
          <w:szCs w:val="17"/>
          <w:color w:val="auto"/>
        </w:rPr>
        <w:t>and discretionary contributions to the 401(k) plan. Currently, we do not make matching contributions or discretionary contributions to the 401(k)</w:t>
      </w:r>
    </w:p>
    <w:p>
      <w:pPr>
        <w:ind w:left="160"/>
        <w:spacing w:after="0" w:line="230" w:lineRule="auto"/>
        <w:rPr>
          <w:sz w:val="20"/>
          <w:szCs w:val="20"/>
          <w:color w:val="auto"/>
        </w:rPr>
      </w:pPr>
      <w:r>
        <w:rPr>
          <w:rFonts w:ascii="Arial" w:cs="Arial" w:eastAsia="Arial" w:hAnsi="Arial"/>
          <w:sz w:val="17"/>
          <w:szCs w:val="17"/>
          <w:color w:val="auto"/>
        </w:rPr>
        <w:t>plan. The 401(k) plan is intended to be qualified under Section 401(a) of the Code, with the related trust intended to be tax exempt under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501(a) of the Code. As a tax-qualified retirement plan, contributions to the 401(k) plan are deductible by us when made, and contributions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and earnings on those amounts are not generally taxable to the employees until withdrawn or distributed from the 401(k) plan.</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91" w:lineRule="exact"/>
        <w:rPr>
          <w:sz w:val="20"/>
          <w:szCs w:val="20"/>
          <w:color w:val="auto"/>
        </w:rPr>
      </w:pPr>
    </w:p>
    <w:p>
      <w:pPr>
        <w:ind w:left="160" w:right="540"/>
        <w:spacing w:after="0" w:line="239" w:lineRule="auto"/>
        <w:rPr>
          <w:sz w:val="20"/>
          <w:szCs w:val="20"/>
          <w:color w:val="auto"/>
        </w:rPr>
      </w:pPr>
      <w:r>
        <w:rPr>
          <w:rFonts w:ascii="Arial" w:cs="Arial" w:eastAsia="Arial" w:hAnsi="Arial"/>
          <w:sz w:val="17"/>
          <w:szCs w:val="17"/>
          <w:color w:val="auto"/>
        </w:rPr>
        <w:t>Our amended and restated certificate of incorporation, which will become effective immediately after the closing of this offering, will contain provisions that limit the liability of our current and former directors for monetary damages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060"/>
          </w:cols>
          <w:pgMar w:left="320" w:top="456" w:right="5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340"/>
        <w:spacing w:after="0" w:line="239" w:lineRule="auto"/>
        <w:rPr>
          <w:sz w:val="20"/>
          <w:szCs w:val="20"/>
          <w:color w:val="auto"/>
        </w:rPr>
      </w:pPr>
      <w:r>
        <w:rPr>
          <w:rFonts w:ascii="Arial" w:cs="Arial" w:eastAsia="Arial" w:hAnsi="Arial"/>
          <w:sz w:val="17"/>
          <w:szCs w:val="17"/>
          <w:color w:val="auto"/>
        </w:rPr>
        <w:t>to the fullest extent permitted by Delaware law. Delaware law provides that directors of a corporation will not be personally liable for monetary damages for any breach of fiduciary duties as directors, except liability for:</w:t>
      </w:r>
    </w:p>
    <w:p>
      <w:pPr>
        <w:spacing w:after="0" w:line="186" w:lineRule="exact"/>
        <w:rPr>
          <w:sz w:val="20"/>
          <w:szCs w:val="20"/>
          <w:color w:val="auto"/>
        </w:rPr>
      </w:pPr>
    </w:p>
    <w:p>
      <w:pPr>
        <w:ind w:left="1020" w:hanging="425"/>
        <w:spacing w:after="0"/>
        <w:tabs>
          <w:tab w:leader="none" w:pos="1020" w:val="left"/>
        </w:tabs>
        <w:numPr>
          <w:ilvl w:val="0"/>
          <w:numId w:val="91"/>
        </w:numPr>
        <w:rPr>
          <w:rFonts w:ascii="MS PGothic" w:cs="MS PGothic" w:eastAsia="MS PGothic" w:hAnsi="MS PGothic"/>
          <w:sz w:val="12"/>
          <w:szCs w:val="12"/>
          <w:color w:val="auto"/>
        </w:rPr>
      </w:pPr>
      <w:r>
        <w:rPr>
          <w:rFonts w:ascii="Arial" w:cs="Arial" w:eastAsia="Arial" w:hAnsi="Arial"/>
          <w:sz w:val="17"/>
          <w:szCs w:val="17"/>
          <w:color w:val="auto"/>
        </w:rPr>
        <w:t>any breach of the director’s duty of loyalty to the corporation or its stockholders;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91"/>
        </w:numPr>
        <w:rPr>
          <w:rFonts w:ascii="MS PGothic" w:cs="MS PGothic" w:eastAsia="MS PGothic" w:hAnsi="MS PGothic"/>
          <w:sz w:val="12"/>
          <w:szCs w:val="12"/>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91"/>
        </w:numPr>
        <w:rPr>
          <w:rFonts w:ascii="MS PGothic" w:cs="MS PGothic" w:eastAsia="MS PGothic" w:hAnsi="MS PGothic"/>
          <w:sz w:val="12"/>
          <w:szCs w:val="12"/>
          <w:color w:val="auto"/>
        </w:rPr>
      </w:pPr>
      <w:r>
        <w:rPr>
          <w:rFonts w:ascii="Arial" w:cs="Arial" w:eastAsia="Arial" w:hAnsi="Arial"/>
          <w:sz w:val="17"/>
          <w:szCs w:val="17"/>
          <w:color w:val="auto"/>
        </w:rPr>
        <w:t>unlawful payments of dividends or unlawful stock repurchases or redemptions; or</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91"/>
        </w:numPr>
        <w:rPr>
          <w:rFonts w:ascii="MS PGothic" w:cs="MS PGothic" w:eastAsia="MS PGothic" w:hAnsi="MS PGothic"/>
          <w:sz w:val="12"/>
          <w:szCs w:val="12"/>
          <w:color w:val="auto"/>
        </w:rPr>
      </w:pPr>
      <w:r>
        <w:rPr>
          <w:rFonts w:ascii="Arial" w:cs="Arial" w:eastAsia="Arial" w:hAnsi="Arial"/>
          <w:sz w:val="17"/>
          <w:szCs w:val="17"/>
          <w:color w:val="auto"/>
        </w:rPr>
        <w:t>any transaction from which the director derived an improper personal benefit.</w:t>
      </w:r>
    </w:p>
    <w:p>
      <w:pPr>
        <w:spacing w:after="0" w:line="152" w:lineRule="exact"/>
        <w:rPr>
          <w:sz w:val="20"/>
          <w:szCs w:val="20"/>
          <w:color w:val="auto"/>
        </w:rPr>
      </w:pPr>
    </w:p>
    <w:p>
      <w:pPr>
        <w:ind w:left="160" w:right="20"/>
        <w:spacing w:after="0" w:line="239" w:lineRule="auto"/>
        <w:rPr>
          <w:sz w:val="20"/>
          <w:szCs w:val="20"/>
          <w:color w:val="auto"/>
        </w:rPr>
      </w:pPr>
      <w:r>
        <w:rPr>
          <w:rFonts w:ascii="Arial" w:cs="Arial" w:eastAsia="Arial" w:hAnsi="Arial"/>
          <w:sz w:val="17"/>
          <w:szCs w:val="17"/>
          <w:color w:val="auto"/>
        </w:rPr>
        <w:t>Such limitation of liability does not apply to liabilities arising under federal securities laws and does not affect the availability of equitable remedies such as injunctive relief or rescission.</w:t>
      </w:r>
    </w:p>
    <w:p>
      <w:pPr>
        <w:spacing w:after="0" w:line="146" w:lineRule="exact"/>
        <w:rPr>
          <w:sz w:val="20"/>
          <w:szCs w:val="20"/>
          <w:color w:val="auto"/>
        </w:rPr>
      </w:pPr>
    </w:p>
    <w:p>
      <w:pPr>
        <w:ind w:left="160" w:right="140"/>
        <w:spacing w:after="0" w:line="232" w:lineRule="auto"/>
        <w:rPr>
          <w:sz w:val="20"/>
          <w:szCs w:val="20"/>
          <w:color w:val="auto"/>
        </w:rPr>
      </w:pPr>
      <w:r>
        <w:rPr>
          <w:rFonts w:ascii="Arial" w:cs="Arial" w:eastAsia="Arial" w:hAnsi="Arial"/>
          <w:sz w:val="17"/>
          <w:szCs w:val="17"/>
          <w:color w:val="auto"/>
        </w:rPr>
        <w:t>Our amended and restated certificate of incorporation will authorize us to indemnify our directors, officers, employees and other agents to the fullest extent permitted by Delaware law. Our amended and restated bylaws will provide that we are required to indemnify our directors and officers to the fullest extent permitted by Delaware law and may indemnify our other employees and agents. Our amended and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w:t>
      </w:r>
    </w:p>
    <w:p>
      <w:pPr>
        <w:spacing w:after="0" w:line="145" w:lineRule="exact"/>
        <w:rPr>
          <w:sz w:val="20"/>
          <w:szCs w:val="20"/>
          <w:color w:val="auto"/>
        </w:rPr>
      </w:pPr>
    </w:p>
    <w:p>
      <w:pPr>
        <w:ind w:left="160" w:right="300"/>
        <w:spacing w:after="0" w:line="236" w:lineRule="auto"/>
        <w:rPr>
          <w:sz w:val="20"/>
          <w:szCs w:val="20"/>
          <w:color w:val="auto"/>
        </w:rPr>
      </w:pPr>
      <w:r>
        <w:rPr>
          <w:rFonts w:ascii="Arial" w:cs="Arial" w:eastAsia="Arial" w:hAnsi="Arial"/>
          <w:sz w:val="17"/>
          <w:szCs w:val="17"/>
          <w:color w:val="auto"/>
        </w:rPr>
        <w:t>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46"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48" w:lineRule="exact"/>
        <w:rPr>
          <w:sz w:val="20"/>
          <w:szCs w:val="20"/>
          <w:color w:val="auto"/>
        </w:rPr>
      </w:pPr>
    </w:p>
    <w:p>
      <w:pPr>
        <w:ind w:left="160" w:right="140"/>
        <w:spacing w:after="0" w:line="236" w:lineRule="auto"/>
        <w:rPr>
          <w:sz w:val="20"/>
          <w:szCs w:val="20"/>
          <w:color w:val="auto"/>
        </w:rPr>
      </w:pPr>
      <w:r>
        <w:rPr>
          <w:rFonts w:ascii="Arial" w:cs="Arial" w:eastAsia="Arial" w:hAnsi="Arial"/>
          <w:sz w:val="17"/>
          <w:szCs w:val="17"/>
          <w:color w:val="auto"/>
        </w:rPr>
        <w:t>Insofar as indemnification for liabilities arising under the Securities Act of 1933, as amended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10b5-1 Plans</w:t>
      </w:r>
    </w:p>
    <w:p>
      <w:pPr>
        <w:spacing w:after="0" w:line="91" w:lineRule="exact"/>
        <w:rPr>
          <w:sz w:val="20"/>
          <w:szCs w:val="20"/>
          <w:color w:val="auto"/>
        </w:rPr>
      </w:pPr>
    </w:p>
    <w:p>
      <w:pPr>
        <w:jc w:val="both"/>
        <w:ind w:left="160" w:right="20"/>
        <w:spacing w:after="0" w:line="232" w:lineRule="auto"/>
        <w:rPr>
          <w:sz w:val="20"/>
          <w:szCs w:val="20"/>
          <w:color w:val="auto"/>
        </w:rPr>
      </w:pPr>
      <w:r>
        <w:rPr>
          <w:rFonts w:ascii="Arial" w:cs="Arial" w:eastAsia="Arial" w:hAnsi="Arial"/>
          <w:sz w:val="17"/>
          <w:szCs w:val="17"/>
          <w:color w:val="auto"/>
        </w:rPr>
        <w:t>Our directors, officers and key consultant may adopt written plans, known as Rule 10b5-1 plans, in which they will contract with a broker to buy or sell shares of our Class A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 During the first 180 days from this offering, the sale of any shares under such plan would be subject to the lock-up agreement that the director or officer has entered into with the underwriters.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060"/>
          </w:cols>
          <w:pgMar w:left="320" w:top="456" w:right="5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331" w:lineRule="exact"/>
        <w:rPr>
          <w:sz w:val="20"/>
          <w:szCs w:val="20"/>
          <w:color w:val="auto"/>
        </w:rPr>
      </w:pPr>
    </w:p>
    <w:p>
      <w:pPr>
        <w:ind w:left="160" w:right="420"/>
        <w:spacing w:after="0" w:line="239" w:lineRule="auto"/>
        <w:rPr>
          <w:sz w:val="20"/>
          <w:szCs w:val="20"/>
          <w:color w:val="auto"/>
        </w:rPr>
      </w:pPr>
      <w:r>
        <w:rPr>
          <w:rFonts w:ascii="Arial" w:cs="Arial" w:eastAsia="Arial" w:hAnsi="Arial"/>
          <w:sz w:val="17"/>
          <w:szCs w:val="17"/>
          <w:color w:val="auto"/>
        </w:rPr>
        <w:t>Other than compensation arrangements for our directors and executive officers, which are described elsewhere in this prospectus, below we describe transactions since January 1, 2018 and each currently proposed transaction in which:</w:t>
      </w:r>
    </w:p>
    <w:p>
      <w:pPr>
        <w:spacing w:after="0" w:line="186" w:lineRule="exact"/>
        <w:rPr>
          <w:sz w:val="20"/>
          <w:szCs w:val="20"/>
          <w:color w:val="auto"/>
        </w:rPr>
      </w:pPr>
    </w:p>
    <w:p>
      <w:pPr>
        <w:ind w:left="1020" w:hanging="425"/>
        <w:spacing w:after="0"/>
        <w:tabs>
          <w:tab w:leader="none" w:pos="1020" w:val="left"/>
        </w:tabs>
        <w:numPr>
          <w:ilvl w:val="0"/>
          <w:numId w:val="92"/>
        </w:numPr>
        <w:rPr>
          <w:rFonts w:ascii="MS PGothic" w:cs="MS PGothic" w:eastAsia="MS PGothic" w:hAnsi="MS PGothic"/>
          <w:sz w:val="12"/>
          <w:szCs w:val="12"/>
          <w:color w:val="auto"/>
        </w:rPr>
      </w:pPr>
      <w:r>
        <w:rPr>
          <w:rFonts w:ascii="Arial" w:cs="Arial" w:eastAsia="Arial" w:hAnsi="Arial"/>
          <w:sz w:val="17"/>
          <w:szCs w:val="17"/>
          <w:color w:val="auto"/>
        </w:rPr>
        <w:t>the amounts involved exceeded or will exceed $120,000; and</w:t>
      </w:r>
    </w:p>
    <w:p>
      <w:pPr>
        <w:spacing w:after="0" w:line="31" w:lineRule="exact"/>
        <w:rPr>
          <w:rFonts w:ascii="MS PGothic" w:cs="MS PGothic" w:eastAsia="MS PGothic" w:hAnsi="MS PGothic"/>
          <w:sz w:val="12"/>
          <w:szCs w:val="12"/>
          <w:color w:val="auto"/>
        </w:rPr>
      </w:pPr>
    </w:p>
    <w:p>
      <w:pPr>
        <w:ind w:left="1020" w:right="200" w:hanging="425"/>
        <w:spacing w:after="0" w:line="269" w:lineRule="auto"/>
        <w:tabs>
          <w:tab w:leader="none" w:pos="1020" w:val="left"/>
        </w:tabs>
        <w:numPr>
          <w:ilvl w:val="0"/>
          <w:numId w:val="92"/>
        </w:numPr>
        <w:rPr>
          <w:rFonts w:ascii="MS PGothic" w:cs="MS PGothic" w:eastAsia="MS PGothic" w:hAnsi="MS PGothic"/>
          <w:sz w:val="12"/>
          <w:szCs w:val="12"/>
          <w:color w:val="auto"/>
        </w:rPr>
      </w:pPr>
      <w:r>
        <w:rPr>
          <w:rFonts w:ascii="Arial" w:cs="Arial" w:eastAsia="Arial" w:hAnsi="Arial"/>
          <w:sz w:val="16"/>
          <w:szCs w:val="16"/>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2020 Convertible Promissory Note Financing</w:t>
      </w:r>
    </w:p>
    <w:p>
      <w:pPr>
        <w:spacing w:after="0" w:line="91"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From March 2020 to May 2020, we issued and sold convertible promissory notes (2020 Notes) in the aggregate principal amount of approximately $5.6 million. The 2020 Notes accrued interest at a rate of 4% per annum. The aggregate principal amount and interest on the then-outstanding 2020 Notes converted into shares of our Series C convertible preferred stock (Series C preferred stock) in October 2020 in connection with our Series C convertible preferred stock financing (Series C preferred stock financing).</w:t>
      </w:r>
    </w:p>
    <w:p>
      <w:pPr>
        <w:spacing w:after="0" w:line="147" w:lineRule="exact"/>
        <w:rPr>
          <w:sz w:val="20"/>
          <w:szCs w:val="20"/>
          <w:color w:val="auto"/>
        </w:rPr>
      </w:pPr>
    </w:p>
    <w:p>
      <w:pPr>
        <w:ind w:left="160" w:right="100"/>
        <w:spacing w:after="0" w:line="239" w:lineRule="auto"/>
        <w:rPr>
          <w:sz w:val="20"/>
          <w:szCs w:val="20"/>
          <w:color w:val="auto"/>
        </w:rPr>
      </w:pPr>
      <w:r>
        <w:rPr>
          <w:rFonts w:ascii="Arial" w:cs="Arial" w:eastAsia="Arial" w:hAnsi="Arial"/>
          <w:sz w:val="17"/>
          <w:szCs w:val="17"/>
          <w:color w:val="auto"/>
        </w:rPr>
        <w:t>The following table sets forth the principal amount and accrued interest of 2020 Notes purchased by holders of more than 5% of our capital stock and entities affiliated with our executive officers and members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PARTICIPANTS </w:t>
            </w:r>
            <w:r>
              <w:rPr>
                <w:rFonts w:ascii="Arial" w:cs="Arial" w:eastAsia="Arial" w:hAnsi="Arial"/>
                <w:sz w:val="24"/>
                <w:szCs w:val="24"/>
                <w:b w:val="1"/>
                <w:bCs w:val="1"/>
                <w:color w:val="auto"/>
                <w:vertAlign w:val="superscript"/>
              </w:rPr>
              <w:t>(1)</w:t>
            </w:r>
          </w:p>
        </w:tc>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PRINCIPAL AMOUNT AND INTEREST OF</w:t>
            </w:r>
          </w:p>
        </w:tc>
        <w:tc>
          <w:tcPr>
            <w:tcW w:w="0" w:type="dxa"/>
            <w:vAlign w:val="bottom"/>
          </w:tcPr>
          <w:p>
            <w:pPr>
              <w:spacing w:after="0"/>
              <w:rPr>
                <w:sz w:val="1"/>
                <w:szCs w:val="1"/>
                <w:color w:val="auto"/>
              </w:rPr>
            </w:pPr>
          </w:p>
        </w:tc>
      </w:tr>
      <w:tr>
        <w:trPr>
          <w:trHeight w:val="160"/>
        </w:trPr>
        <w:tc>
          <w:tcPr>
            <w:tcW w:w="812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2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2020 NOTES</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20" w:type="dxa"/>
            <w:vAlign w:val="bottom"/>
            <w:gridSpan w:val="2"/>
            <w:shd w:val="clear" w:color="auto" w:fill="CCEEFF"/>
          </w:tcPr>
          <w:p>
            <w:pPr>
              <w:spacing w:after="0" w:line="174" w:lineRule="exact"/>
              <w:rPr>
                <w:sz w:val="20"/>
                <w:szCs w:val="20"/>
                <w:color w:val="auto"/>
              </w:rPr>
            </w:pPr>
            <w:r>
              <w:rPr>
                <w:rFonts w:ascii="Arial" w:cs="Arial" w:eastAsia="Arial" w:hAnsi="Arial"/>
                <w:sz w:val="17"/>
                <w:szCs w:val="17"/>
                <w:color w:val="auto"/>
              </w:rPr>
              <w:t xml:space="preserve">KPCB Holdings, Inc. </w:t>
            </w:r>
            <w:r>
              <w:rPr>
                <w:rFonts w:ascii="Arial" w:cs="Arial" w:eastAsia="Arial" w:hAnsi="Arial"/>
                <w:sz w:val="14"/>
                <w:szCs w:val="14"/>
                <w:color w:val="auto"/>
              </w:rPr>
              <w:t>(2)</w:t>
            </w:r>
          </w:p>
        </w:tc>
        <w:tc>
          <w:tcPr>
            <w:tcW w:w="520" w:type="dxa"/>
            <w:vAlign w:val="bottom"/>
            <w:shd w:val="clear" w:color="auto" w:fill="CCEEFF"/>
          </w:tcPr>
          <w:p>
            <w:pPr>
              <w:spacing w:after="0" w:line="174" w:lineRule="exact"/>
              <w:rPr>
                <w:sz w:val="20"/>
                <w:szCs w:val="20"/>
                <w:color w:val="auto"/>
              </w:rPr>
            </w:pPr>
            <w:r>
              <w:rPr>
                <w:rFonts w:ascii="Arial" w:cs="Arial" w:eastAsia="Arial" w:hAnsi="Arial"/>
                <w:sz w:val="17"/>
                <w:szCs w:val="17"/>
                <w:color w:val="auto"/>
              </w:rPr>
              <w:t>$</w:t>
            </w:r>
          </w:p>
        </w:tc>
        <w:tc>
          <w:tcPr>
            <w:tcW w:w="2220" w:type="dxa"/>
            <w:vAlign w:val="bottom"/>
            <w:shd w:val="clear" w:color="auto" w:fill="CCEEFF"/>
          </w:tcPr>
          <w:p>
            <w:pPr>
              <w:jc w:val="right"/>
              <w:spacing w:after="0" w:line="174" w:lineRule="exact"/>
              <w:rPr>
                <w:sz w:val="20"/>
                <w:szCs w:val="20"/>
                <w:color w:val="auto"/>
              </w:rPr>
            </w:pPr>
            <w:r>
              <w:rPr>
                <w:rFonts w:ascii="Arial" w:cs="Arial" w:eastAsia="Arial" w:hAnsi="Arial"/>
                <w:sz w:val="17"/>
                <w:szCs w:val="17"/>
                <w:color w:val="auto"/>
              </w:rPr>
              <w:t>3,073,314.91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12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GV 2019, L.P. </w:t>
            </w:r>
            <w:r>
              <w:rPr>
                <w:rFonts w:ascii="Arial" w:cs="Arial" w:eastAsia="Arial" w:hAnsi="Arial"/>
                <w:sz w:val="14"/>
                <w:szCs w:val="14"/>
                <w:color w:val="auto"/>
              </w:rPr>
              <w:t>(3)</w:t>
            </w:r>
          </w:p>
        </w:tc>
        <w:tc>
          <w:tcPr>
            <w:tcW w:w="520" w:type="dxa"/>
            <w:vAlign w:val="bottom"/>
          </w:tcPr>
          <w:p>
            <w:pPr>
              <w:spacing w:after="0" w:line="187" w:lineRule="exact"/>
              <w:rPr>
                <w:sz w:val="20"/>
                <w:szCs w:val="20"/>
                <w:color w:val="auto"/>
              </w:rPr>
            </w:pPr>
            <w:r>
              <w:rPr>
                <w:rFonts w:ascii="Arial" w:cs="Arial" w:eastAsia="Arial" w:hAnsi="Arial"/>
                <w:sz w:val="17"/>
                <w:szCs w:val="17"/>
                <w:color w:val="auto"/>
              </w:rPr>
              <w:t>$</w:t>
            </w:r>
          </w:p>
        </w:tc>
        <w:tc>
          <w:tcPr>
            <w:tcW w:w="228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2,048,876.44</w:t>
            </w:r>
          </w:p>
        </w:tc>
        <w:tc>
          <w:tcPr>
            <w:tcW w:w="0" w:type="dxa"/>
            <w:vAlign w:val="bottom"/>
          </w:tcPr>
          <w:p>
            <w:pPr>
              <w:spacing w:after="0"/>
              <w:rPr>
                <w:sz w:val="1"/>
                <w:szCs w:val="1"/>
                <w:color w:val="auto"/>
              </w:rPr>
            </w:pPr>
          </w:p>
        </w:tc>
      </w:tr>
      <w:tr>
        <w:trPr>
          <w:trHeight w:val="187"/>
        </w:trPr>
        <w:tc>
          <w:tcPr>
            <w:tcW w:w="81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Andrew K. Cheng, as Trustee of the Andrew Cheng 2010 Trust UA 10-26-2010 </w:t>
            </w:r>
            <w:r>
              <w:rPr>
                <w:rFonts w:ascii="Arial" w:cs="Arial" w:eastAsia="Arial" w:hAnsi="Arial"/>
                <w:sz w:val="14"/>
                <w:szCs w:val="14"/>
                <w:color w:val="auto"/>
              </w:rPr>
              <w:t>(4)</w:t>
            </w:r>
          </w:p>
        </w:tc>
        <w:tc>
          <w:tcPr>
            <w:tcW w:w="5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228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101,928.43</w:t>
            </w:r>
          </w:p>
        </w:tc>
        <w:tc>
          <w:tcPr>
            <w:tcW w:w="0" w:type="dxa"/>
            <w:vAlign w:val="bottom"/>
          </w:tcPr>
          <w:p>
            <w:pPr>
              <w:spacing w:after="0"/>
              <w:rPr>
                <w:sz w:val="1"/>
                <w:szCs w:val="1"/>
                <w:color w:val="auto"/>
              </w:rPr>
            </w:pPr>
          </w:p>
        </w:tc>
      </w:tr>
      <w:tr>
        <w:trPr>
          <w:trHeight w:val="187"/>
        </w:trPr>
        <w:tc>
          <w:tcPr>
            <w:tcW w:w="812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James W. Fordyce, as Trustee of the James W. Fordyce 2005 Revocable Trust </w:t>
            </w:r>
            <w:r>
              <w:rPr>
                <w:rFonts w:ascii="Arial" w:cs="Arial" w:eastAsia="Arial" w:hAnsi="Arial"/>
                <w:sz w:val="14"/>
                <w:szCs w:val="14"/>
                <w:color w:val="auto"/>
              </w:rPr>
              <w:t>(5)</w:t>
            </w:r>
          </w:p>
        </w:tc>
        <w:tc>
          <w:tcPr>
            <w:tcW w:w="520" w:type="dxa"/>
            <w:vAlign w:val="bottom"/>
          </w:tcPr>
          <w:p>
            <w:pPr>
              <w:spacing w:after="0" w:line="187" w:lineRule="exact"/>
              <w:rPr>
                <w:sz w:val="20"/>
                <w:szCs w:val="20"/>
                <w:color w:val="auto"/>
              </w:rPr>
            </w:pPr>
            <w:r>
              <w:rPr>
                <w:rFonts w:ascii="Arial" w:cs="Arial" w:eastAsia="Arial" w:hAnsi="Arial"/>
                <w:sz w:val="17"/>
                <w:szCs w:val="17"/>
                <w:color w:val="auto"/>
              </w:rPr>
              <w:t>$</w:t>
            </w:r>
          </w:p>
        </w:tc>
        <w:tc>
          <w:tcPr>
            <w:tcW w:w="228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102,081.84</w:t>
            </w:r>
          </w:p>
        </w:tc>
        <w:tc>
          <w:tcPr>
            <w:tcW w:w="0" w:type="dxa"/>
            <w:vAlign w:val="bottom"/>
          </w:tcPr>
          <w:p>
            <w:pPr>
              <w:spacing w:after="0"/>
              <w:rPr>
                <w:sz w:val="1"/>
                <w:szCs w:val="1"/>
                <w:color w:val="auto"/>
              </w:rPr>
            </w:pPr>
          </w:p>
        </w:tc>
      </w:tr>
      <w:tr>
        <w:trPr>
          <w:trHeight w:val="187"/>
        </w:trPr>
        <w:tc>
          <w:tcPr>
            <w:tcW w:w="81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Walton, Mitchell &amp; Co., Inc. </w:t>
            </w:r>
            <w:r>
              <w:rPr>
                <w:rFonts w:ascii="Arial" w:cs="Arial" w:eastAsia="Arial" w:hAnsi="Arial"/>
                <w:sz w:val="14"/>
                <w:szCs w:val="14"/>
                <w:color w:val="auto"/>
              </w:rPr>
              <w:t>(6)</w:t>
            </w:r>
          </w:p>
        </w:tc>
        <w:tc>
          <w:tcPr>
            <w:tcW w:w="5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228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102,060.21</w:t>
            </w:r>
          </w:p>
        </w:tc>
        <w:tc>
          <w:tcPr>
            <w:tcW w:w="0" w:type="dxa"/>
            <w:vAlign w:val="bottom"/>
          </w:tcPr>
          <w:p>
            <w:pPr>
              <w:spacing w:after="0"/>
              <w:rPr>
                <w:sz w:val="1"/>
                <w:szCs w:val="1"/>
                <w:color w:val="auto"/>
              </w:rPr>
            </w:pPr>
          </w:p>
        </w:tc>
      </w:tr>
      <w:tr>
        <w:trPr>
          <w:trHeight w:val="181"/>
        </w:trPr>
        <w:tc>
          <w:tcPr>
            <w:tcW w:w="8120" w:type="dxa"/>
            <w:vAlign w:val="bottom"/>
            <w:gridSpan w:val="2"/>
          </w:tcPr>
          <w:p>
            <w:pPr>
              <w:spacing w:after="0" w:line="181" w:lineRule="exact"/>
              <w:rPr>
                <w:sz w:val="20"/>
                <w:szCs w:val="20"/>
                <w:color w:val="auto"/>
              </w:rPr>
            </w:pPr>
            <w:r>
              <w:rPr>
                <w:rFonts w:ascii="Arial" w:cs="Arial" w:eastAsia="Arial" w:hAnsi="Arial"/>
                <w:sz w:val="17"/>
                <w:szCs w:val="17"/>
                <w:color w:val="auto"/>
              </w:rPr>
              <w:t>BNY Mellon N.A., as Trustee of the Trust U/D/T William L. Mellon DTD 6/29/35 for</w:t>
            </w:r>
          </w:p>
        </w:tc>
        <w:tc>
          <w:tcPr>
            <w:tcW w:w="5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20" w:type="dxa"/>
            <w:vAlign w:val="bottom"/>
            <w:gridSpan w:val="2"/>
          </w:tcPr>
          <w:p>
            <w:pPr>
              <w:ind w:left="260"/>
              <w:spacing w:after="0"/>
              <w:rPr>
                <w:sz w:val="20"/>
                <w:szCs w:val="20"/>
                <w:color w:val="auto"/>
              </w:rPr>
            </w:pPr>
            <w:r>
              <w:rPr>
                <w:rFonts w:ascii="Arial" w:cs="Arial" w:eastAsia="Arial" w:hAnsi="Arial"/>
                <w:sz w:val="17"/>
                <w:szCs w:val="17"/>
                <w:color w:val="auto"/>
              </w:rPr>
              <w:t xml:space="preserve">James M. Walton </w:t>
            </w:r>
            <w:r>
              <w:rPr>
                <w:rFonts w:ascii="Arial" w:cs="Arial" w:eastAsia="Arial" w:hAnsi="Arial"/>
                <w:sz w:val="14"/>
                <w:szCs w:val="14"/>
                <w:color w:val="auto"/>
              </w:rPr>
              <w:t>(7)</w:t>
            </w:r>
          </w:p>
        </w:tc>
        <w:tc>
          <w:tcPr>
            <w:tcW w:w="520" w:type="dxa"/>
            <w:vAlign w:val="bottom"/>
          </w:tcPr>
          <w:p>
            <w:pPr>
              <w:spacing w:after="0"/>
              <w:rPr>
                <w:sz w:val="20"/>
                <w:szCs w:val="20"/>
                <w:color w:val="auto"/>
              </w:rPr>
            </w:pPr>
            <w:r>
              <w:rPr>
                <w:rFonts w:ascii="Arial" w:cs="Arial" w:eastAsia="Arial" w:hAnsi="Arial"/>
                <w:sz w:val="17"/>
                <w:szCs w:val="17"/>
                <w:color w:val="auto"/>
              </w:rPr>
              <w:t>$</w:t>
            </w:r>
          </w:p>
        </w:tc>
        <w:tc>
          <w:tcPr>
            <w:tcW w:w="2280" w:type="dxa"/>
            <w:vAlign w:val="bottom"/>
            <w:gridSpan w:val="2"/>
          </w:tcPr>
          <w:p>
            <w:pPr>
              <w:jc w:val="right"/>
              <w:ind w:right="60"/>
              <w:spacing w:after="0"/>
              <w:rPr>
                <w:sz w:val="20"/>
                <w:szCs w:val="20"/>
                <w:color w:val="auto"/>
              </w:rPr>
            </w:pPr>
            <w:r>
              <w:rPr>
                <w:rFonts w:ascii="Arial" w:cs="Arial" w:eastAsia="Arial" w:hAnsi="Arial"/>
                <w:sz w:val="17"/>
                <w:szCs w:val="17"/>
                <w:color w:val="auto"/>
              </w:rPr>
              <w:t>10,182.74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7" w:lineRule="exact"/>
        <w:rPr>
          <w:sz w:val="20"/>
          <w:szCs w:val="20"/>
          <w:color w:val="auto"/>
        </w:rPr>
      </w:pPr>
    </w:p>
    <w:p>
      <w:pPr>
        <w:ind w:left="600" w:hanging="299"/>
        <w:spacing w:after="0"/>
        <w:tabs>
          <w:tab w:leader="none" w:pos="60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Additional details regarding these stockholders and their equity holdings are included in this prospectus under the caption “Principal Stockholders.”</w:t>
      </w:r>
    </w:p>
    <w:p>
      <w:pPr>
        <w:spacing w:after="0" w:line="29" w:lineRule="exact"/>
        <w:rPr>
          <w:rFonts w:ascii="Arial" w:cs="Arial" w:eastAsia="Arial" w:hAnsi="Arial"/>
          <w:sz w:val="24"/>
          <w:szCs w:val="24"/>
          <w:color w:val="auto"/>
          <w:vertAlign w:val="superscript"/>
        </w:rPr>
      </w:pPr>
    </w:p>
    <w:p>
      <w:pPr>
        <w:ind w:left="600" w:hanging="299"/>
        <w:spacing w:after="0" w:line="187" w:lineRule="auto"/>
        <w:tabs>
          <w:tab w:leader="none" w:pos="600" w:val="left"/>
        </w:tabs>
        <w:numPr>
          <w:ilvl w:val="0"/>
          <w:numId w:val="93"/>
        </w:numPr>
        <w:rPr>
          <w:rFonts w:ascii="Arial" w:cs="Arial" w:eastAsia="Arial" w:hAnsi="Arial"/>
          <w:sz w:val="19"/>
          <w:szCs w:val="19"/>
          <w:color w:val="auto"/>
          <w:vertAlign w:val="superscript"/>
        </w:rPr>
      </w:pPr>
      <w:r>
        <w:rPr>
          <w:rFonts w:ascii="Arial" w:cs="Arial" w:eastAsia="Arial" w:hAnsi="Arial"/>
          <w:sz w:val="12"/>
          <w:szCs w:val="12"/>
          <w:color w:val="auto"/>
        </w:rPr>
        <w:t>Beth Seidenberg, M.D., a member of our board of directors, is a partner of KPCB Holdings, Inc.</w:t>
      </w:r>
    </w:p>
    <w:p>
      <w:pPr>
        <w:spacing w:after="0" w:line="70" w:lineRule="exact"/>
        <w:rPr>
          <w:rFonts w:ascii="Arial" w:cs="Arial" w:eastAsia="Arial" w:hAnsi="Arial"/>
          <w:sz w:val="19"/>
          <w:szCs w:val="19"/>
          <w:color w:val="auto"/>
          <w:vertAlign w:val="superscript"/>
        </w:rPr>
      </w:pPr>
    </w:p>
    <w:p>
      <w:pPr>
        <w:ind w:left="600" w:hanging="299"/>
        <w:spacing w:after="0" w:line="187" w:lineRule="auto"/>
        <w:tabs>
          <w:tab w:leader="none" w:pos="600" w:val="left"/>
        </w:tabs>
        <w:numPr>
          <w:ilvl w:val="0"/>
          <w:numId w:val="93"/>
        </w:numPr>
        <w:rPr>
          <w:rFonts w:ascii="Arial" w:cs="Arial" w:eastAsia="Arial" w:hAnsi="Arial"/>
          <w:sz w:val="19"/>
          <w:szCs w:val="19"/>
          <w:color w:val="auto"/>
          <w:vertAlign w:val="superscript"/>
        </w:rPr>
      </w:pPr>
      <w:r>
        <w:rPr>
          <w:rFonts w:ascii="Arial" w:cs="Arial" w:eastAsia="Arial" w:hAnsi="Arial"/>
          <w:sz w:val="12"/>
          <w:szCs w:val="12"/>
          <w:color w:val="auto"/>
        </w:rPr>
        <w:t>Krishna Yeshwant, M.D., a member of our board of directors until October 2020, is a managing partner of GV 2019, L.P.</w:t>
      </w:r>
    </w:p>
    <w:p>
      <w:pPr>
        <w:spacing w:after="0" w:line="30" w:lineRule="exact"/>
        <w:rPr>
          <w:rFonts w:ascii="Arial" w:cs="Arial" w:eastAsia="Arial" w:hAnsi="Arial"/>
          <w:sz w:val="19"/>
          <w:szCs w:val="19"/>
          <w:color w:val="auto"/>
          <w:vertAlign w:val="superscript"/>
        </w:rPr>
      </w:pPr>
    </w:p>
    <w:p>
      <w:pPr>
        <w:ind w:left="600" w:hanging="299"/>
        <w:spacing w:after="0" w:line="187" w:lineRule="auto"/>
        <w:tabs>
          <w:tab w:leader="none" w:pos="600" w:val="left"/>
        </w:tabs>
        <w:numPr>
          <w:ilvl w:val="0"/>
          <w:numId w:val="93"/>
        </w:numPr>
        <w:rPr>
          <w:rFonts w:ascii="Arial" w:cs="Arial" w:eastAsia="Arial" w:hAnsi="Arial"/>
          <w:sz w:val="19"/>
          <w:szCs w:val="19"/>
          <w:color w:val="auto"/>
          <w:vertAlign w:val="superscript"/>
        </w:rPr>
      </w:pPr>
      <w:r>
        <w:rPr>
          <w:rFonts w:ascii="Arial" w:cs="Arial" w:eastAsia="Arial" w:hAnsi="Arial"/>
          <w:sz w:val="12"/>
          <w:szCs w:val="12"/>
          <w:color w:val="auto"/>
        </w:rPr>
        <w:t>Dr. Cheng is a member of our board of directors.</w:t>
      </w:r>
    </w:p>
    <w:p>
      <w:pPr>
        <w:spacing w:after="0" w:line="30" w:lineRule="exact"/>
        <w:rPr>
          <w:rFonts w:ascii="Arial" w:cs="Arial" w:eastAsia="Arial" w:hAnsi="Arial"/>
          <w:sz w:val="19"/>
          <w:szCs w:val="19"/>
          <w:color w:val="auto"/>
          <w:vertAlign w:val="superscript"/>
        </w:rPr>
      </w:pPr>
    </w:p>
    <w:p>
      <w:pPr>
        <w:ind w:left="600" w:hanging="299"/>
        <w:spacing w:after="0" w:line="187" w:lineRule="auto"/>
        <w:tabs>
          <w:tab w:leader="none" w:pos="600" w:val="left"/>
        </w:tabs>
        <w:numPr>
          <w:ilvl w:val="0"/>
          <w:numId w:val="93"/>
        </w:numPr>
        <w:rPr>
          <w:rFonts w:ascii="Arial" w:cs="Arial" w:eastAsia="Arial" w:hAnsi="Arial"/>
          <w:sz w:val="19"/>
          <w:szCs w:val="19"/>
          <w:color w:val="auto"/>
          <w:vertAlign w:val="superscript"/>
        </w:rPr>
      </w:pPr>
      <w:r>
        <w:rPr>
          <w:rFonts w:ascii="Arial" w:cs="Arial" w:eastAsia="Arial" w:hAnsi="Arial"/>
          <w:sz w:val="12"/>
          <w:szCs w:val="12"/>
          <w:color w:val="auto"/>
        </w:rPr>
        <w:t>Mr. Fordyce is an immediate family member of Dr. Fordyce, our Chief Executive Officer and a member of our board of directors.</w:t>
      </w:r>
    </w:p>
    <w:p>
      <w:pPr>
        <w:spacing w:after="0" w:line="30" w:lineRule="exact"/>
        <w:rPr>
          <w:rFonts w:ascii="Arial" w:cs="Arial" w:eastAsia="Arial" w:hAnsi="Arial"/>
          <w:sz w:val="19"/>
          <w:szCs w:val="19"/>
          <w:color w:val="auto"/>
          <w:vertAlign w:val="superscript"/>
        </w:rPr>
      </w:pPr>
    </w:p>
    <w:p>
      <w:pPr>
        <w:ind w:left="600" w:hanging="299"/>
        <w:spacing w:after="0" w:line="187" w:lineRule="auto"/>
        <w:tabs>
          <w:tab w:leader="none" w:pos="600" w:val="left"/>
        </w:tabs>
        <w:numPr>
          <w:ilvl w:val="0"/>
          <w:numId w:val="93"/>
        </w:numPr>
        <w:rPr>
          <w:rFonts w:ascii="Arial" w:cs="Arial" w:eastAsia="Arial" w:hAnsi="Arial"/>
          <w:sz w:val="19"/>
          <w:szCs w:val="19"/>
          <w:color w:val="auto"/>
          <w:vertAlign w:val="superscript"/>
        </w:rPr>
      </w:pPr>
      <w:r>
        <w:rPr>
          <w:rFonts w:ascii="Arial" w:cs="Arial" w:eastAsia="Arial" w:hAnsi="Arial"/>
          <w:sz w:val="12"/>
          <w:szCs w:val="12"/>
          <w:color w:val="auto"/>
        </w:rPr>
        <w:t>Mr. Walton, a member of our board of directors until October 2020, is affiliated with Walton, Mitchell &amp; Co., Inc.</w:t>
      </w:r>
    </w:p>
    <w:p>
      <w:pPr>
        <w:spacing w:after="0" w:line="30" w:lineRule="exact"/>
        <w:rPr>
          <w:rFonts w:ascii="Arial" w:cs="Arial" w:eastAsia="Arial" w:hAnsi="Arial"/>
          <w:sz w:val="19"/>
          <w:szCs w:val="19"/>
          <w:color w:val="auto"/>
          <w:vertAlign w:val="superscript"/>
        </w:rPr>
      </w:pPr>
    </w:p>
    <w:p>
      <w:pPr>
        <w:ind w:left="600" w:right="100" w:hanging="299"/>
        <w:spacing w:after="0" w:line="182" w:lineRule="auto"/>
        <w:tabs>
          <w:tab w:leader="none" w:pos="60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Mr. Walton, a member of our board of directors until October 2020, is affiliated with BNY Mellon N.A., as Trustee of the Trust U/D/T William L. Mellon DTD 6/29/35 for James M. Walton.</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Series C Preferred Stock Financing</w:t>
      </w:r>
    </w:p>
    <w:p>
      <w:pPr>
        <w:spacing w:after="0" w:line="77" w:lineRule="exact"/>
        <w:rPr>
          <w:sz w:val="20"/>
          <w:szCs w:val="20"/>
          <w:color w:val="auto"/>
        </w:rPr>
      </w:pPr>
    </w:p>
    <w:p>
      <w:pPr>
        <w:jc w:val="both"/>
        <w:ind w:left="160" w:right="100"/>
        <w:spacing w:after="0" w:line="236" w:lineRule="auto"/>
        <w:rPr>
          <w:sz w:val="20"/>
          <w:szCs w:val="20"/>
          <w:color w:val="auto"/>
        </w:rPr>
      </w:pPr>
      <w:r>
        <w:rPr>
          <w:rFonts w:ascii="Arial" w:cs="Arial" w:eastAsia="Arial" w:hAnsi="Arial"/>
          <w:sz w:val="17"/>
          <w:szCs w:val="17"/>
          <w:color w:val="auto"/>
        </w:rPr>
        <w:t>In October 2020, we (1) issued and sold an aggregate of 168,756,599 shares of our Series C preferred stock at a purchase price of $0.5918 per share, and (2) issued an aggregate of 11,404,246 shares of our Series C preferred stock upon conversion of the aggregate principal amount and interest on the then-outstanding 2020 Notes.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080"/>
          </w:cols>
          <w:pgMar w:left="320" w:top="456"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500"/>
        <w:spacing w:after="0" w:line="239" w:lineRule="auto"/>
        <w:rPr>
          <w:sz w:val="20"/>
          <w:szCs w:val="20"/>
          <w:color w:val="auto"/>
        </w:rPr>
      </w:pPr>
      <w:r>
        <w:rPr>
          <w:rFonts w:ascii="Arial" w:cs="Arial" w:eastAsia="Arial" w:hAnsi="Arial"/>
          <w:sz w:val="17"/>
          <w:szCs w:val="17"/>
          <w:color w:val="auto"/>
        </w:rPr>
        <w:t>The following table summarizes the shares of our Series C preferred stock held by holders of more than 5% of our capital stock and entities affiliated with our executive officers and members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 OF SERIES C</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9"/>
              </w:rPr>
              <w:t>AGGREGATE</w:t>
            </w:r>
          </w:p>
        </w:tc>
        <w:tc>
          <w:tcPr>
            <w:tcW w:w="1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5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SHARES OF SERIES C</w:t>
            </w:r>
          </w:p>
        </w:tc>
        <w:tc>
          <w:tcPr>
            <w:tcW w:w="100" w:type="dxa"/>
            <w:vAlign w:val="bottom"/>
          </w:tcPr>
          <w:p>
            <w:pPr>
              <w:spacing w:after="0"/>
              <w:rPr>
                <w:sz w:val="13"/>
                <w:szCs w:val="13"/>
                <w:color w:val="auto"/>
              </w:rPr>
            </w:pPr>
          </w:p>
        </w:tc>
        <w:tc>
          <w:tcPr>
            <w:tcW w:w="16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CASH</w:t>
            </w:r>
          </w:p>
        </w:tc>
        <w:tc>
          <w:tcPr>
            <w:tcW w:w="1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ISSUED UPON</w:t>
            </w:r>
          </w:p>
        </w:tc>
        <w:tc>
          <w:tcPr>
            <w:tcW w:w="0" w:type="dxa"/>
            <w:vAlign w:val="bottom"/>
          </w:tcPr>
          <w:p>
            <w:pPr>
              <w:spacing w:after="0"/>
              <w:rPr>
                <w:sz w:val="1"/>
                <w:szCs w:val="1"/>
                <w:color w:val="auto"/>
              </w:rPr>
            </w:pPr>
          </w:p>
        </w:tc>
      </w:tr>
      <w:tr>
        <w:trPr>
          <w:trHeight w:val="160"/>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PARTICIPANTS </w:t>
            </w:r>
            <w:r>
              <w:rPr>
                <w:rFonts w:ascii="Arial" w:cs="Arial" w:eastAsia="Arial" w:hAnsi="Arial"/>
                <w:sz w:val="24"/>
                <w:szCs w:val="24"/>
                <w:b w:val="1"/>
                <w:bCs w:val="1"/>
                <w:color w:val="auto"/>
                <w:vertAlign w:val="superscript"/>
              </w:rPr>
              <w:t>(1)</w:t>
            </w:r>
          </w:p>
        </w:tc>
        <w:tc>
          <w:tcPr>
            <w:tcW w:w="25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3"/>
                <w:szCs w:val="13"/>
                <w:color w:val="auto"/>
              </w:rPr>
            </w:pPr>
          </w:p>
        </w:tc>
        <w:tc>
          <w:tcPr>
            <w:tcW w:w="16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PURCHASE</w:t>
            </w:r>
          </w:p>
        </w:tc>
        <w:tc>
          <w:tcPr>
            <w:tcW w:w="1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CONVERSION OF</w:t>
            </w:r>
          </w:p>
        </w:tc>
        <w:tc>
          <w:tcPr>
            <w:tcW w:w="0" w:type="dxa"/>
            <w:vAlign w:val="bottom"/>
          </w:tcPr>
          <w:p>
            <w:pPr>
              <w:spacing w:after="0"/>
              <w:rPr>
                <w:sz w:val="1"/>
                <w:szCs w:val="1"/>
                <w:color w:val="auto"/>
              </w:rPr>
            </w:pPr>
          </w:p>
        </w:tc>
      </w:tr>
      <w:tr>
        <w:trPr>
          <w:trHeight w:val="160"/>
        </w:trPr>
        <w:tc>
          <w:tcPr>
            <w:tcW w:w="5020" w:type="dxa"/>
            <w:vAlign w:val="bottom"/>
            <w:gridSpan w:val="2"/>
            <w:vMerge w:val="continue"/>
          </w:tcPr>
          <w:p>
            <w:pPr>
              <w:spacing w:after="0"/>
              <w:rPr>
                <w:sz w:val="13"/>
                <w:szCs w:val="13"/>
                <w:color w:val="auto"/>
              </w:rPr>
            </w:pPr>
          </w:p>
        </w:tc>
        <w:tc>
          <w:tcPr>
            <w:tcW w:w="25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PURCHASED FOR CASH (#)</w:t>
            </w:r>
          </w:p>
        </w:tc>
        <w:tc>
          <w:tcPr>
            <w:tcW w:w="100" w:type="dxa"/>
            <w:vAlign w:val="bottom"/>
          </w:tcPr>
          <w:p>
            <w:pPr>
              <w:spacing w:after="0"/>
              <w:rPr>
                <w:sz w:val="13"/>
                <w:szCs w:val="13"/>
                <w:color w:val="auto"/>
              </w:rPr>
            </w:pPr>
          </w:p>
        </w:tc>
        <w:tc>
          <w:tcPr>
            <w:tcW w:w="16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PRICE</w:t>
            </w:r>
          </w:p>
        </w:tc>
        <w:tc>
          <w:tcPr>
            <w:tcW w:w="1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2020 NOTES (#)</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020" w:type="dxa"/>
            <w:vAlign w:val="bottom"/>
            <w:gridSpan w:val="2"/>
            <w:shd w:val="clear" w:color="auto" w:fill="CCEEFF"/>
          </w:tcPr>
          <w:p>
            <w:pPr>
              <w:spacing w:after="0" w:line="174" w:lineRule="exact"/>
              <w:rPr>
                <w:sz w:val="20"/>
                <w:szCs w:val="20"/>
                <w:color w:val="auto"/>
              </w:rPr>
            </w:pPr>
            <w:r>
              <w:rPr>
                <w:rFonts w:ascii="Arial" w:cs="Arial" w:eastAsia="Arial" w:hAnsi="Arial"/>
                <w:sz w:val="17"/>
                <w:szCs w:val="17"/>
                <w:color w:val="auto"/>
              </w:rPr>
              <w:t xml:space="preserve">Abingworth Bioventures 8 LP </w:t>
            </w:r>
            <w:r>
              <w:rPr>
                <w:rFonts w:ascii="Arial" w:cs="Arial" w:eastAsia="Arial" w:hAnsi="Arial"/>
                <w:sz w:val="14"/>
                <w:szCs w:val="14"/>
                <w:color w:val="auto"/>
              </w:rPr>
              <w:t>(2)</w:t>
            </w:r>
          </w:p>
        </w:tc>
        <w:tc>
          <w:tcPr>
            <w:tcW w:w="1920" w:type="dxa"/>
            <w:vAlign w:val="bottom"/>
            <w:shd w:val="clear" w:color="auto" w:fill="CCEEFF"/>
          </w:tcPr>
          <w:p>
            <w:pPr>
              <w:jc w:val="right"/>
              <w:spacing w:after="0" w:line="174" w:lineRule="exact"/>
              <w:rPr>
                <w:sz w:val="20"/>
                <w:szCs w:val="20"/>
                <w:color w:val="auto"/>
              </w:rPr>
            </w:pPr>
            <w:r>
              <w:rPr>
                <w:rFonts w:ascii="Arial" w:cs="Arial" w:eastAsia="Arial" w:hAnsi="Arial"/>
                <w:sz w:val="17"/>
                <w:szCs w:val="17"/>
                <w:color w:val="auto"/>
              </w:rPr>
              <w:t>25,346,400</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4" w:lineRule="exact"/>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line="174" w:lineRule="exact"/>
              <w:rPr>
                <w:sz w:val="20"/>
                <w:szCs w:val="20"/>
                <w:color w:val="auto"/>
              </w:rPr>
            </w:pPr>
            <w:r>
              <w:rPr>
                <w:rFonts w:ascii="Arial" w:cs="Arial" w:eastAsia="Arial" w:hAnsi="Arial"/>
                <w:sz w:val="17"/>
                <w:szCs w:val="17"/>
                <w:color w:val="auto"/>
                <w:w w:val="97"/>
              </w:rPr>
              <w:t>14,999,999.52</w:t>
            </w:r>
          </w:p>
        </w:tc>
        <w:tc>
          <w:tcPr>
            <w:tcW w:w="6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7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2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Entities affiliated with Fidelity </w:t>
            </w:r>
            <w:r>
              <w:rPr>
                <w:rFonts w:ascii="Arial" w:cs="Arial" w:eastAsia="Arial" w:hAnsi="Arial"/>
                <w:sz w:val="14"/>
                <w:szCs w:val="14"/>
                <w:color w:val="auto"/>
              </w:rPr>
              <w:t>(3)</w:t>
            </w:r>
          </w:p>
        </w:tc>
        <w:tc>
          <w:tcPr>
            <w:tcW w:w="2520" w:type="dxa"/>
            <w:vAlign w:val="bottom"/>
            <w:gridSpan w:val="2"/>
          </w:tcPr>
          <w:p>
            <w:pPr>
              <w:jc w:val="right"/>
              <w:ind w:right="600"/>
              <w:spacing w:after="0" w:line="187" w:lineRule="exact"/>
              <w:rPr>
                <w:sz w:val="20"/>
                <w:szCs w:val="20"/>
                <w:color w:val="auto"/>
              </w:rPr>
            </w:pPr>
            <w:r>
              <w:rPr>
                <w:rFonts w:ascii="Arial" w:cs="Arial" w:eastAsia="Arial" w:hAnsi="Arial"/>
                <w:sz w:val="17"/>
                <w:szCs w:val="17"/>
                <w:color w:val="auto"/>
              </w:rPr>
              <w:t>25,346,400</w:t>
            </w: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600"/>
              <w:spacing w:after="0" w:line="187" w:lineRule="exact"/>
              <w:rPr>
                <w:sz w:val="20"/>
                <w:szCs w:val="20"/>
                <w:color w:val="auto"/>
              </w:rPr>
            </w:pPr>
            <w:r>
              <w:rPr>
                <w:rFonts w:ascii="Arial" w:cs="Arial" w:eastAsia="Arial" w:hAnsi="Arial"/>
                <w:sz w:val="17"/>
                <w:szCs w:val="17"/>
                <w:color w:val="auto"/>
                <w:w w:val="97"/>
              </w:rPr>
              <w:t>14,999,999.52</w:t>
            </w:r>
          </w:p>
        </w:tc>
        <w:tc>
          <w:tcPr>
            <w:tcW w:w="16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50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Longitude Venture Partners IV, L.P. </w:t>
            </w:r>
            <w:r>
              <w:rPr>
                <w:rFonts w:ascii="Arial" w:cs="Arial" w:eastAsia="Arial" w:hAnsi="Arial"/>
                <w:sz w:val="14"/>
                <w:szCs w:val="14"/>
                <w:color w:val="auto"/>
              </w:rPr>
              <w:t>(4)</w:t>
            </w:r>
          </w:p>
        </w:tc>
        <w:tc>
          <w:tcPr>
            <w:tcW w:w="252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25,346,400</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w w:val="97"/>
              </w:rPr>
              <w:t>14,999,999.52</w:t>
            </w:r>
          </w:p>
        </w:tc>
        <w:tc>
          <w:tcPr>
            <w:tcW w:w="16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502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Sofinnova Venture Partners X, L.P. </w:t>
            </w:r>
            <w:r>
              <w:rPr>
                <w:rFonts w:ascii="Arial" w:cs="Arial" w:eastAsia="Arial" w:hAnsi="Arial"/>
                <w:sz w:val="14"/>
                <w:szCs w:val="14"/>
                <w:color w:val="auto"/>
              </w:rPr>
              <w:t>(5)</w:t>
            </w:r>
          </w:p>
        </w:tc>
        <w:tc>
          <w:tcPr>
            <w:tcW w:w="2520" w:type="dxa"/>
            <w:vAlign w:val="bottom"/>
            <w:gridSpan w:val="2"/>
          </w:tcPr>
          <w:p>
            <w:pPr>
              <w:jc w:val="right"/>
              <w:ind w:right="600"/>
              <w:spacing w:after="0" w:line="187" w:lineRule="exact"/>
              <w:rPr>
                <w:sz w:val="20"/>
                <w:szCs w:val="20"/>
                <w:color w:val="auto"/>
              </w:rPr>
            </w:pPr>
            <w:r>
              <w:rPr>
                <w:rFonts w:ascii="Arial" w:cs="Arial" w:eastAsia="Arial" w:hAnsi="Arial"/>
                <w:sz w:val="17"/>
                <w:szCs w:val="17"/>
                <w:color w:val="auto"/>
              </w:rPr>
              <w:t>25,346,400</w:t>
            </w: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600"/>
              <w:spacing w:after="0" w:line="187" w:lineRule="exact"/>
              <w:rPr>
                <w:sz w:val="20"/>
                <w:szCs w:val="20"/>
                <w:color w:val="auto"/>
              </w:rPr>
            </w:pPr>
            <w:r>
              <w:rPr>
                <w:rFonts w:ascii="Arial" w:cs="Arial" w:eastAsia="Arial" w:hAnsi="Arial"/>
                <w:sz w:val="17"/>
                <w:szCs w:val="17"/>
                <w:color w:val="auto"/>
                <w:w w:val="97"/>
              </w:rPr>
              <w:t>14,999,999.52</w:t>
            </w:r>
          </w:p>
        </w:tc>
        <w:tc>
          <w:tcPr>
            <w:tcW w:w="16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50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Ares Trading S.A. </w:t>
            </w:r>
            <w:r>
              <w:rPr>
                <w:rFonts w:ascii="Arial" w:cs="Arial" w:eastAsia="Arial" w:hAnsi="Arial"/>
                <w:sz w:val="14"/>
                <w:szCs w:val="14"/>
                <w:color w:val="auto"/>
              </w:rPr>
              <w:t>(6)</w:t>
            </w:r>
          </w:p>
        </w:tc>
        <w:tc>
          <w:tcPr>
            <w:tcW w:w="252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22,171,553</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 xml:space="preserve">0 </w:t>
            </w:r>
            <w:r>
              <w:rPr>
                <w:rFonts w:ascii="Arial" w:cs="Arial" w:eastAsia="Arial" w:hAnsi="Arial"/>
                <w:sz w:val="14"/>
                <w:szCs w:val="14"/>
                <w:color w:val="auto"/>
              </w:rPr>
              <w:t>(14)</w:t>
            </w:r>
          </w:p>
        </w:tc>
        <w:tc>
          <w:tcPr>
            <w:tcW w:w="16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502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Citadel Multi-Strategy Equities Master Fund Ltd. </w:t>
            </w:r>
            <w:r>
              <w:rPr>
                <w:rFonts w:ascii="Arial" w:cs="Arial" w:eastAsia="Arial" w:hAnsi="Arial"/>
                <w:sz w:val="14"/>
                <w:szCs w:val="14"/>
                <w:color w:val="auto"/>
              </w:rPr>
              <w:t>(7)</w:t>
            </w:r>
          </w:p>
        </w:tc>
        <w:tc>
          <w:tcPr>
            <w:tcW w:w="2520" w:type="dxa"/>
            <w:vAlign w:val="bottom"/>
            <w:gridSpan w:val="2"/>
          </w:tcPr>
          <w:p>
            <w:pPr>
              <w:jc w:val="right"/>
              <w:ind w:right="600"/>
              <w:spacing w:after="0" w:line="187" w:lineRule="exact"/>
              <w:rPr>
                <w:sz w:val="20"/>
                <w:szCs w:val="20"/>
                <w:color w:val="auto"/>
              </w:rPr>
            </w:pPr>
            <w:r>
              <w:rPr>
                <w:rFonts w:ascii="Arial" w:cs="Arial" w:eastAsia="Arial" w:hAnsi="Arial"/>
                <w:sz w:val="17"/>
                <w:szCs w:val="17"/>
                <w:color w:val="auto"/>
              </w:rPr>
              <w:t>16,897,600</w:t>
            </w: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600"/>
              <w:spacing w:after="0" w:line="187" w:lineRule="exact"/>
              <w:rPr>
                <w:sz w:val="20"/>
                <w:szCs w:val="20"/>
                <w:color w:val="auto"/>
              </w:rPr>
            </w:pPr>
            <w:r>
              <w:rPr>
                <w:rFonts w:ascii="Arial" w:cs="Arial" w:eastAsia="Arial" w:hAnsi="Arial"/>
                <w:sz w:val="17"/>
                <w:szCs w:val="17"/>
                <w:color w:val="auto"/>
              </w:rPr>
              <w:t>9,999,999.68</w:t>
            </w:r>
          </w:p>
        </w:tc>
        <w:tc>
          <w:tcPr>
            <w:tcW w:w="16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50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GV 2019, L.P. </w:t>
            </w:r>
            <w:r>
              <w:rPr>
                <w:rFonts w:ascii="Arial" w:cs="Arial" w:eastAsia="Arial" w:hAnsi="Arial"/>
                <w:sz w:val="14"/>
                <w:szCs w:val="14"/>
                <w:color w:val="auto"/>
              </w:rPr>
              <w:t>(8)</w:t>
            </w:r>
          </w:p>
        </w:tc>
        <w:tc>
          <w:tcPr>
            <w:tcW w:w="252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3,379,520</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1,999,999.94</w:t>
            </w:r>
          </w:p>
        </w:tc>
        <w:tc>
          <w:tcPr>
            <w:tcW w:w="16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4,073,313</w:t>
            </w:r>
          </w:p>
        </w:tc>
        <w:tc>
          <w:tcPr>
            <w:tcW w:w="0" w:type="dxa"/>
            <w:vAlign w:val="bottom"/>
          </w:tcPr>
          <w:p>
            <w:pPr>
              <w:spacing w:after="0"/>
              <w:rPr>
                <w:sz w:val="1"/>
                <w:szCs w:val="1"/>
                <w:color w:val="auto"/>
              </w:rPr>
            </w:pPr>
          </w:p>
        </w:tc>
      </w:tr>
      <w:tr>
        <w:trPr>
          <w:trHeight w:val="187"/>
        </w:trPr>
        <w:tc>
          <w:tcPr>
            <w:tcW w:w="502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KPCB Holdings, Inc., as nominee </w:t>
            </w:r>
            <w:r>
              <w:rPr>
                <w:rFonts w:ascii="Arial" w:cs="Arial" w:eastAsia="Arial" w:hAnsi="Arial"/>
                <w:sz w:val="14"/>
                <w:szCs w:val="14"/>
                <w:color w:val="auto"/>
              </w:rPr>
              <w:t>(9)</w:t>
            </w:r>
          </w:p>
        </w:tc>
        <w:tc>
          <w:tcPr>
            <w:tcW w:w="2520" w:type="dxa"/>
            <w:vAlign w:val="bottom"/>
            <w:gridSpan w:val="2"/>
          </w:tcPr>
          <w:p>
            <w:pPr>
              <w:jc w:val="right"/>
              <w:ind w:right="600"/>
              <w:spacing w:after="0" w:line="187" w:lineRule="exact"/>
              <w:rPr>
                <w:sz w:val="20"/>
                <w:szCs w:val="20"/>
                <w:color w:val="auto"/>
              </w:rPr>
            </w:pPr>
            <w:r>
              <w:rPr>
                <w:rFonts w:ascii="Arial" w:cs="Arial" w:eastAsia="Arial" w:hAnsi="Arial"/>
                <w:sz w:val="17"/>
                <w:szCs w:val="17"/>
                <w:color w:val="auto"/>
              </w:rPr>
              <w:t>3,379,520</w:t>
            </w: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600"/>
              <w:spacing w:after="0" w:line="187" w:lineRule="exact"/>
              <w:rPr>
                <w:sz w:val="20"/>
                <w:szCs w:val="20"/>
                <w:color w:val="auto"/>
              </w:rPr>
            </w:pPr>
            <w:r>
              <w:rPr>
                <w:rFonts w:ascii="Arial" w:cs="Arial" w:eastAsia="Arial" w:hAnsi="Arial"/>
                <w:sz w:val="17"/>
                <w:szCs w:val="17"/>
                <w:color w:val="auto"/>
              </w:rPr>
              <w:t>1,999,999.94</w:t>
            </w:r>
          </w:p>
        </w:tc>
        <w:tc>
          <w:tcPr>
            <w:tcW w:w="16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6,109,970</w:t>
            </w:r>
          </w:p>
        </w:tc>
        <w:tc>
          <w:tcPr>
            <w:tcW w:w="0" w:type="dxa"/>
            <w:vAlign w:val="bottom"/>
          </w:tcPr>
          <w:p>
            <w:pPr>
              <w:spacing w:after="0"/>
              <w:rPr>
                <w:sz w:val="1"/>
                <w:szCs w:val="1"/>
                <w:color w:val="auto"/>
              </w:rPr>
            </w:pPr>
          </w:p>
        </w:tc>
      </w:tr>
      <w:tr>
        <w:trPr>
          <w:trHeight w:val="181"/>
        </w:trPr>
        <w:tc>
          <w:tcPr>
            <w:tcW w:w="5020" w:type="dxa"/>
            <w:vAlign w:val="bottom"/>
            <w:gridSpan w:val="2"/>
            <w:shd w:val="clear" w:color="auto" w:fill="CCEEFF"/>
          </w:tcPr>
          <w:p>
            <w:pPr>
              <w:spacing w:after="0" w:line="181" w:lineRule="exact"/>
              <w:rPr>
                <w:sz w:val="20"/>
                <w:szCs w:val="20"/>
                <w:color w:val="auto"/>
              </w:rPr>
            </w:pPr>
            <w:r>
              <w:rPr>
                <w:rFonts w:ascii="Arial" w:cs="Arial" w:eastAsia="Arial" w:hAnsi="Arial"/>
                <w:sz w:val="17"/>
                <w:szCs w:val="17"/>
                <w:color w:val="auto"/>
              </w:rPr>
              <w:t>Andrew K. Cheng, as Trustee of the Andrew Cheng 2010</w:t>
            </w:r>
          </w:p>
        </w:tc>
        <w:tc>
          <w:tcPr>
            <w:tcW w:w="1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020" w:type="dxa"/>
            <w:vAlign w:val="bottom"/>
            <w:gridSpan w:val="2"/>
            <w:shd w:val="clear" w:color="auto" w:fill="CCEEFF"/>
          </w:tcPr>
          <w:p>
            <w:pPr>
              <w:ind w:left="260"/>
              <w:spacing w:after="0" w:line="194" w:lineRule="exact"/>
              <w:rPr>
                <w:sz w:val="20"/>
                <w:szCs w:val="20"/>
                <w:color w:val="auto"/>
              </w:rPr>
            </w:pPr>
            <w:r>
              <w:rPr>
                <w:rFonts w:ascii="Arial" w:cs="Arial" w:eastAsia="Arial" w:hAnsi="Arial"/>
                <w:sz w:val="17"/>
                <w:szCs w:val="17"/>
                <w:color w:val="auto"/>
              </w:rPr>
              <w:t xml:space="preserve">Trust UA 10-26-2010 </w:t>
            </w:r>
            <w:r>
              <w:rPr>
                <w:rFonts w:ascii="Arial" w:cs="Arial" w:eastAsia="Arial" w:hAnsi="Arial"/>
                <w:sz w:val="14"/>
                <w:szCs w:val="14"/>
                <w:color w:val="auto"/>
              </w:rPr>
              <w:t>(10)</w:t>
            </w:r>
          </w:p>
        </w:tc>
        <w:tc>
          <w:tcPr>
            <w:tcW w:w="2520" w:type="dxa"/>
            <w:vAlign w:val="bottom"/>
            <w:gridSpan w:val="2"/>
            <w:shd w:val="clear" w:color="auto" w:fill="CCEEFF"/>
          </w:tcPr>
          <w:p>
            <w:pPr>
              <w:jc w:val="right"/>
              <w:ind w:right="6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600"/>
              <w:spacing w:after="0" w:line="194" w:lineRule="exact"/>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202,641</w:t>
            </w:r>
          </w:p>
        </w:tc>
        <w:tc>
          <w:tcPr>
            <w:tcW w:w="0" w:type="dxa"/>
            <w:vAlign w:val="bottom"/>
          </w:tcPr>
          <w:p>
            <w:pPr>
              <w:spacing w:after="0"/>
              <w:rPr>
                <w:sz w:val="1"/>
                <w:szCs w:val="1"/>
                <w:color w:val="auto"/>
              </w:rPr>
            </w:pPr>
          </w:p>
        </w:tc>
      </w:tr>
      <w:tr>
        <w:trPr>
          <w:trHeight w:val="181"/>
        </w:trPr>
        <w:tc>
          <w:tcPr>
            <w:tcW w:w="5020" w:type="dxa"/>
            <w:vAlign w:val="bottom"/>
            <w:gridSpan w:val="2"/>
          </w:tcPr>
          <w:p>
            <w:pPr>
              <w:spacing w:after="0" w:line="181" w:lineRule="exact"/>
              <w:rPr>
                <w:sz w:val="20"/>
                <w:szCs w:val="20"/>
                <w:color w:val="auto"/>
              </w:rPr>
            </w:pPr>
            <w:r>
              <w:rPr>
                <w:rFonts w:ascii="Arial" w:cs="Arial" w:eastAsia="Arial" w:hAnsi="Arial"/>
                <w:sz w:val="17"/>
                <w:szCs w:val="17"/>
                <w:color w:val="auto"/>
              </w:rPr>
              <w:t>James W. Fordyce, as Trustee of the James W. Fordyce</w:t>
            </w:r>
          </w:p>
        </w:tc>
        <w:tc>
          <w:tcPr>
            <w:tcW w:w="1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020" w:type="dxa"/>
            <w:vAlign w:val="bottom"/>
            <w:gridSpan w:val="2"/>
          </w:tcPr>
          <w:p>
            <w:pPr>
              <w:ind w:left="260"/>
              <w:spacing w:after="0" w:line="194" w:lineRule="exact"/>
              <w:rPr>
                <w:sz w:val="20"/>
                <w:szCs w:val="20"/>
                <w:color w:val="auto"/>
              </w:rPr>
            </w:pPr>
            <w:r>
              <w:rPr>
                <w:rFonts w:ascii="Arial" w:cs="Arial" w:eastAsia="Arial" w:hAnsi="Arial"/>
                <w:sz w:val="17"/>
                <w:szCs w:val="17"/>
                <w:color w:val="auto"/>
              </w:rPr>
              <w:t xml:space="preserve">2005 Revocable Trust </w:t>
            </w:r>
            <w:r>
              <w:rPr>
                <w:rFonts w:ascii="Arial" w:cs="Arial" w:eastAsia="Arial" w:hAnsi="Arial"/>
                <w:sz w:val="14"/>
                <w:szCs w:val="14"/>
                <w:color w:val="auto"/>
              </w:rPr>
              <w:t>(11)</w:t>
            </w:r>
          </w:p>
        </w:tc>
        <w:tc>
          <w:tcPr>
            <w:tcW w:w="2520" w:type="dxa"/>
            <w:vAlign w:val="bottom"/>
            <w:gridSpan w:val="2"/>
          </w:tcPr>
          <w:p>
            <w:pPr>
              <w:jc w:val="right"/>
              <w:ind w:right="600"/>
              <w:spacing w:after="0" w:line="194" w:lineRule="exact"/>
              <w:rPr>
                <w:sz w:val="20"/>
                <w:szCs w:val="20"/>
                <w:color w:val="auto"/>
              </w:rPr>
            </w:pPr>
            <w:r>
              <w:rPr>
                <w:rFonts w:ascii="Arial" w:cs="Arial" w:eastAsia="Arial" w:hAnsi="Arial"/>
                <w:sz w:val="17"/>
                <w:szCs w:val="17"/>
                <w:color w:val="auto"/>
              </w:rPr>
              <w:t>253,464</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600"/>
              <w:spacing w:after="0" w:line="194" w:lineRule="exact"/>
              <w:rPr>
                <w:sz w:val="20"/>
                <w:szCs w:val="20"/>
                <w:color w:val="auto"/>
              </w:rPr>
            </w:pPr>
            <w:r>
              <w:rPr>
                <w:rFonts w:ascii="Arial" w:cs="Arial" w:eastAsia="Arial" w:hAnsi="Arial"/>
                <w:sz w:val="17"/>
                <w:szCs w:val="17"/>
                <w:color w:val="auto"/>
              </w:rPr>
              <w:t>150,000</w:t>
            </w:r>
          </w:p>
        </w:tc>
        <w:tc>
          <w:tcPr>
            <w:tcW w:w="16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202,946</w:t>
            </w:r>
          </w:p>
        </w:tc>
        <w:tc>
          <w:tcPr>
            <w:tcW w:w="0" w:type="dxa"/>
            <w:vAlign w:val="bottom"/>
          </w:tcPr>
          <w:p>
            <w:pPr>
              <w:spacing w:after="0"/>
              <w:rPr>
                <w:sz w:val="1"/>
                <w:szCs w:val="1"/>
                <w:color w:val="auto"/>
              </w:rPr>
            </w:pPr>
          </w:p>
        </w:tc>
      </w:tr>
      <w:tr>
        <w:trPr>
          <w:trHeight w:val="187"/>
        </w:trPr>
        <w:tc>
          <w:tcPr>
            <w:tcW w:w="50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Walton, Mitchell &amp; Co., Inc. </w:t>
            </w:r>
            <w:r>
              <w:rPr>
                <w:rFonts w:ascii="Arial" w:cs="Arial" w:eastAsia="Arial" w:hAnsi="Arial"/>
                <w:sz w:val="14"/>
                <w:szCs w:val="14"/>
                <w:color w:val="auto"/>
              </w:rPr>
              <w:t>(12)</w:t>
            </w:r>
          </w:p>
        </w:tc>
        <w:tc>
          <w:tcPr>
            <w:tcW w:w="252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84,488</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50,000</w:t>
            </w:r>
          </w:p>
        </w:tc>
        <w:tc>
          <w:tcPr>
            <w:tcW w:w="16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202,903</w:t>
            </w:r>
          </w:p>
        </w:tc>
        <w:tc>
          <w:tcPr>
            <w:tcW w:w="0" w:type="dxa"/>
            <w:vAlign w:val="bottom"/>
          </w:tcPr>
          <w:p>
            <w:pPr>
              <w:spacing w:after="0"/>
              <w:rPr>
                <w:sz w:val="1"/>
                <w:szCs w:val="1"/>
                <w:color w:val="auto"/>
              </w:rPr>
            </w:pPr>
          </w:p>
        </w:tc>
      </w:tr>
      <w:tr>
        <w:trPr>
          <w:trHeight w:val="181"/>
        </w:trPr>
        <w:tc>
          <w:tcPr>
            <w:tcW w:w="5020" w:type="dxa"/>
            <w:vAlign w:val="bottom"/>
            <w:gridSpan w:val="2"/>
          </w:tcPr>
          <w:p>
            <w:pPr>
              <w:spacing w:after="0" w:line="181" w:lineRule="exact"/>
              <w:rPr>
                <w:sz w:val="20"/>
                <w:szCs w:val="20"/>
                <w:color w:val="auto"/>
              </w:rPr>
            </w:pPr>
            <w:r>
              <w:rPr>
                <w:rFonts w:ascii="Arial" w:cs="Arial" w:eastAsia="Arial" w:hAnsi="Arial"/>
                <w:sz w:val="17"/>
                <w:szCs w:val="17"/>
                <w:color w:val="auto"/>
              </w:rPr>
              <w:t>BNY Mellon N.A., as Trustee of the Trust U/D/T William L.</w:t>
            </w:r>
          </w:p>
        </w:tc>
        <w:tc>
          <w:tcPr>
            <w:tcW w:w="1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260"/>
              <w:spacing w:after="0"/>
              <w:rPr>
                <w:sz w:val="20"/>
                <w:szCs w:val="20"/>
                <w:color w:val="auto"/>
              </w:rPr>
            </w:pPr>
            <w:r>
              <w:rPr>
                <w:rFonts w:ascii="Arial" w:cs="Arial" w:eastAsia="Arial" w:hAnsi="Arial"/>
                <w:sz w:val="17"/>
                <w:szCs w:val="17"/>
                <w:color w:val="auto"/>
              </w:rPr>
              <w:t xml:space="preserve">Mellon DTD 6/29/35 for James M. Walton </w:t>
            </w:r>
            <w:r>
              <w:rPr>
                <w:rFonts w:ascii="Arial" w:cs="Arial" w:eastAsia="Arial" w:hAnsi="Arial"/>
                <w:sz w:val="14"/>
                <w:szCs w:val="14"/>
                <w:color w:val="auto"/>
              </w:rPr>
              <w:t>(13)</w:t>
            </w:r>
          </w:p>
        </w:tc>
        <w:tc>
          <w:tcPr>
            <w:tcW w:w="252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20,244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7" w:lineRule="exact"/>
        <w:rPr>
          <w:sz w:val="20"/>
          <w:szCs w:val="20"/>
          <w:color w:val="auto"/>
        </w:rPr>
      </w:pPr>
    </w:p>
    <w:p>
      <w:pPr>
        <w:ind w:left="600" w:hanging="299"/>
        <w:spacing w:after="0"/>
        <w:tabs>
          <w:tab w:leader="none" w:pos="60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Additional details regarding these stockholders and their equity holdings are included in this prospectus under the caption “Principal Stockholders.”</w:t>
      </w:r>
    </w:p>
    <w:p>
      <w:pPr>
        <w:spacing w:after="0" w:line="29" w:lineRule="exact"/>
        <w:rPr>
          <w:rFonts w:ascii="Arial" w:cs="Arial" w:eastAsia="Arial" w:hAnsi="Arial"/>
          <w:sz w:val="24"/>
          <w:szCs w:val="24"/>
          <w:color w:val="auto"/>
          <w:vertAlign w:val="superscript"/>
        </w:rPr>
      </w:pPr>
    </w:p>
    <w:p>
      <w:pPr>
        <w:ind w:left="600" w:right="660" w:hanging="299"/>
        <w:spacing w:after="0" w:line="182" w:lineRule="auto"/>
        <w:tabs>
          <w:tab w:leader="none" w:pos="60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Abingworth Bioventures 8 LP beneficially owns more than 5% of our outstanding capital stock. Kurt von Emster, C.F.A., is a managing partner at Abingworth Bioventures 8 LP and a member of our board of directors.</w:t>
      </w:r>
    </w:p>
    <w:p>
      <w:pPr>
        <w:ind w:left="600" w:hanging="299"/>
        <w:spacing w:after="0" w:line="180" w:lineRule="auto"/>
        <w:tabs>
          <w:tab w:leader="none" w:pos="600" w:val="left"/>
        </w:tabs>
        <w:numPr>
          <w:ilvl w:val="0"/>
          <w:numId w:val="94"/>
        </w:numPr>
        <w:rPr>
          <w:rFonts w:ascii="Arial" w:cs="Arial" w:eastAsia="Arial" w:hAnsi="Arial"/>
          <w:sz w:val="22"/>
          <w:szCs w:val="22"/>
          <w:color w:val="auto"/>
          <w:vertAlign w:val="superscript"/>
        </w:rPr>
      </w:pPr>
      <w:r>
        <w:rPr>
          <w:rFonts w:ascii="Arial" w:cs="Arial" w:eastAsia="Arial" w:hAnsi="Arial"/>
          <w:sz w:val="13"/>
          <w:szCs w:val="13"/>
          <w:color w:val="auto"/>
        </w:rPr>
        <w:t>Consists of (i) 631,285 shares of Series C preferred stock purchased by Fidelity Mt. Vernon Street Trust: Fidelity Series Growth Company Fund, (ii) 3,591,850 shares</w:t>
      </w:r>
    </w:p>
    <w:p>
      <w:pPr>
        <w:ind w:left="600"/>
        <w:spacing w:after="0"/>
        <w:rPr>
          <w:rFonts w:ascii="Arial" w:cs="Arial" w:eastAsia="Arial" w:hAnsi="Arial"/>
          <w:sz w:val="22"/>
          <w:szCs w:val="22"/>
          <w:color w:val="auto"/>
          <w:vertAlign w:val="superscript"/>
        </w:rPr>
      </w:pPr>
      <w:r>
        <w:rPr>
          <w:rFonts w:ascii="Arial" w:cs="Arial" w:eastAsia="Arial" w:hAnsi="Arial"/>
          <w:sz w:val="14"/>
          <w:szCs w:val="14"/>
          <w:color w:val="auto"/>
        </w:rPr>
        <w:t>of Series C preferred stock purchased by Fidelity Mt. Vernon Street Trust: Fidelity Growth Company Fund, (iii) 3,612,515 shares of Series C preferred stock purchased</w:t>
      </w:r>
    </w:p>
    <w:p>
      <w:pPr>
        <w:ind w:left="600"/>
        <w:spacing w:after="0"/>
        <w:rPr>
          <w:rFonts w:ascii="Arial" w:cs="Arial" w:eastAsia="Arial" w:hAnsi="Arial"/>
          <w:sz w:val="22"/>
          <w:szCs w:val="22"/>
          <w:color w:val="auto"/>
          <w:vertAlign w:val="superscript"/>
        </w:rPr>
      </w:pPr>
      <w:r>
        <w:rPr>
          <w:rFonts w:ascii="Arial" w:cs="Arial" w:eastAsia="Arial" w:hAnsi="Arial"/>
          <w:sz w:val="14"/>
          <w:szCs w:val="14"/>
          <w:color w:val="auto"/>
        </w:rPr>
        <w:t>by Fidelity Growth Company Commingled Pool, (iv) 613,150 shares of Series C preferred stock purchased by Fidelity Mt. Vernon Street Trust: Fidelity Growth</w:t>
      </w:r>
    </w:p>
    <w:p>
      <w:pPr>
        <w:ind w:left="600"/>
        <w:spacing w:after="0"/>
        <w:rPr>
          <w:rFonts w:ascii="Arial" w:cs="Arial" w:eastAsia="Arial" w:hAnsi="Arial"/>
          <w:sz w:val="22"/>
          <w:szCs w:val="22"/>
          <w:color w:val="auto"/>
          <w:vertAlign w:val="superscript"/>
        </w:rPr>
      </w:pPr>
      <w:r>
        <w:rPr>
          <w:rFonts w:ascii="Arial" w:cs="Arial" w:eastAsia="Arial" w:hAnsi="Arial"/>
          <w:sz w:val="14"/>
          <w:szCs w:val="14"/>
          <w:color w:val="auto"/>
        </w:rPr>
        <w:t>Company K6 Fund, (v) 8,448,800 shares of Series C preferred stock purchased by Fidelity Select Portfolios: Biotechnology Portfolio, and (vi) 8,448,800 shares of</w:t>
      </w:r>
    </w:p>
    <w:p>
      <w:pPr>
        <w:ind w:left="600" w:right="700"/>
        <w:spacing w:after="0" w:line="254" w:lineRule="auto"/>
        <w:rPr>
          <w:rFonts w:ascii="Arial" w:cs="Arial" w:eastAsia="Arial" w:hAnsi="Arial"/>
          <w:sz w:val="22"/>
          <w:szCs w:val="22"/>
          <w:color w:val="auto"/>
          <w:vertAlign w:val="superscript"/>
        </w:rPr>
      </w:pPr>
      <w:r>
        <w:rPr>
          <w:rFonts w:ascii="Arial" w:cs="Arial" w:eastAsia="Arial" w:hAnsi="Arial"/>
          <w:sz w:val="14"/>
          <w:szCs w:val="14"/>
          <w:color w:val="auto"/>
        </w:rPr>
        <w:t>Series C preferred stock purchased by Fidelity Advisor Series VII: Fidelity Advisor Biotechnology Fund. These entities beneficially own more than 5% of our outstanding capital stock.</w:t>
      </w:r>
    </w:p>
    <w:p>
      <w:pPr>
        <w:spacing w:after="0" w:line="20" w:lineRule="exact"/>
        <w:rPr>
          <w:rFonts w:ascii="Arial" w:cs="Arial" w:eastAsia="Arial" w:hAnsi="Arial"/>
          <w:sz w:val="22"/>
          <w:szCs w:val="22"/>
          <w:color w:val="auto"/>
          <w:vertAlign w:val="superscript"/>
        </w:rPr>
      </w:pPr>
    </w:p>
    <w:p>
      <w:pPr>
        <w:ind w:left="600" w:right="420" w:hanging="299"/>
        <w:spacing w:after="0" w:line="182" w:lineRule="auto"/>
        <w:tabs>
          <w:tab w:leader="none" w:pos="60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Longitude Venture Partners IV, L.P. beneficially owns more than 5% of our outstanding capital stock. Patrick Enright is a managing member of Longitude Capital Partners IV, LLC, the general partner of Longitude Venture Partners IV, L.P. and a member of our board of directors.</w:t>
      </w:r>
    </w:p>
    <w:p>
      <w:pPr>
        <w:spacing w:after="0" w:line="29" w:lineRule="exact"/>
        <w:rPr>
          <w:rFonts w:ascii="Arial" w:cs="Arial" w:eastAsia="Arial" w:hAnsi="Arial"/>
          <w:sz w:val="24"/>
          <w:szCs w:val="24"/>
          <w:color w:val="auto"/>
          <w:vertAlign w:val="superscript"/>
        </w:rPr>
      </w:pPr>
    </w:p>
    <w:p>
      <w:pPr>
        <w:ind w:left="600" w:right="260" w:hanging="299"/>
        <w:spacing w:after="0" w:line="182" w:lineRule="auto"/>
        <w:tabs>
          <w:tab w:leader="none" w:pos="60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Sofinnova Venture Partners X, L.P. beneficially owns more than 5% of our outstanding capital stock. Maha Katabi, Ph.D., is a general partner at Sofinnova Venture Partners X, L.P. and a member of our board of directors.</w:t>
      </w:r>
    </w:p>
    <w:p>
      <w:pPr>
        <w:ind w:left="600" w:hanging="299"/>
        <w:spacing w:after="0" w:line="182" w:lineRule="auto"/>
        <w:tabs>
          <w:tab w:leader="none" w:pos="600" w:val="left"/>
        </w:tabs>
        <w:numPr>
          <w:ilvl w:val="0"/>
          <w:numId w:val="94"/>
        </w:numPr>
        <w:rPr>
          <w:rFonts w:ascii="Arial" w:cs="Arial" w:eastAsia="Arial" w:hAnsi="Arial"/>
          <w:sz w:val="23"/>
          <w:szCs w:val="23"/>
          <w:color w:val="auto"/>
          <w:vertAlign w:val="superscript"/>
        </w:rPr>
      </w:pPr>
      <w:r>
        <w:rPr>
          <w:rFonts w:ascii="Arial" w:cs="Arial" w:eastAsia="Arial" w:hAnsi="Arial"/>
          <w:sz w:val="14"/>
          <w:szCs w:val="14"/>
          <w:color w:val="auto"/>
        </w:rPr>
        <w:t>Ares Trading S.A. beneficially owns more than 5% of our outstanding capital stock.</w:t>
      </w:r>
    </w:p>
    <w:p>
      <w:pPr>
        <w:spacing w:after="0" w:line="29" w:lineRule="exact"/>
        <w:rPr>
          <w:rFonts w:ascii="Arial" w:cs="Arial" w:eastAsia="Arial" w:hAnsi="Arial"/>
          <w:sz w:val="23"/>
          <w:szCs w:val="23"/>
          <w:color w:val="auto"/>
          <w:vertAlign w:val="superscript"/>
        </w:rPr>
      </w:pPr>
    </w:p>
    <w:p>
      <w:pPr>
        <w:ind w:left="600" w:hanging="299"/>
        <w:spacing w:after="0" w:line="187" w:lineRule="auto"/>
        <w:tabs>
          <w:tab w:leader="none" w:pos="600" w:val="left"/>
        </w:tabs>
        <w:numPr>
          <w:ilvl w:val="0"/>
          <w:numId w:val="94"/>
        </w:numPr>
        <w:rPr>
          <w:rFonts w:ascii="Arial" w:cs="Arial" w:eastAsia="Arial" w:hAnsi="Arial"/>
          <w:sz w:val="19"/>
          <w:szCs w:val="19"/>
          <w:color w:val="auto"/>
          <w:vertAlign w:val="superscript"/>
        </w:rPr>
      </w:pPr>
      <w:r>
        <w:rPr>
          <w:rFonts w:ascii="Arial" w:cs="Arial" w:eastAsia="Arial" w:hAnsi="Arial"/>
          <w:sz w:val="12"/>
          <w:szCs w:val="12"/>
          <w:color w:val="auto"/>
        </w:rPr>
        <w:t>Citadel Multi-Strategy Equities Master Fund Ltd. beneficially owns more than 5% of our outstanding capital stock.</w:t>
      </w:r>
    </w:p>
    <w:p>
      <w:pPr>
        <w:spacing w:after="0" w:line="30" w:lineRule="exact"/>
        <w:rPr>
          <w:rFonts w:ascii="Arial" w:cs="Arial" w:eastAsia="Arial" w:hAnsi="Arial"/>
          <w:sz w:val="19"/>
          <w:szCs w:val="19"/>
          <w:color w:val="auto"/>
          <w:vertAlign w:val="superscript"/>
        </w:rPr>
      </w:pPr>
    </w:p>
    <w:p>
      <w:pPr>
        <w:ind w:left="600" w:hanging="259"/>
        <w:spacing w:after="0" w:line="187" w:lineRule="auto"/>
        <w:tabs>
          <w:tab w:leader="none" w:pos="600" w:val="left"/>
        </w:tabs>
        <w:numPr>
          <w:ilvl w:val="1"/>
          <w:numId w:val="94"/>
        </w:numPr>
        <w:rPr>
          <w:rFonts w:ascii="Arial" w:cs="Arial" w:eastAsia="Arial" w:hAnsi="Arial"/>
          <w:sz w:val="19"/>
          <w:szCs w:val="19"/>
          <w:color w:val="auto"/>
          <w:vertAlign w:val="superscript"/>
        </w:rPr>
      </w:pPr>
      <w:r>
        <w:rPr>
          <w:rFonts w:ascii="Arial" w:cs="Arial" w:eastAsia="Arial" w:hAnsi="Arial"/>
          <w:sz w:val="12"/>
          <w:szCs w:val="12"/>
          <w:color w:val="auto"/>
        </w:rPr>
        <w:t>Krishna Yeshwant, M.D., a member of our board of directors until October 2020, is a managing partner of GV 2019, L.P.</w:t>
      </w:r>
    </w:p>
    <w:p>
      <w:pPr>
        <w:ind w:left="600" w:hanging="299"/>
        <w:spacing w:after="0" w:line="182" w:lineRule="auto"/>
        <w:tabs>
          <w:tab w:leader="none" w:pos="600" w:val="left"/>
        </w:tabs>
        <w:numPr>
          <w:ilvl w:val="0"/>
          <w:numId w:val="95"/>
        </w:numPr>
        <w:rPr>
          <w:rFonts w:ascii="Arial" w:cs="Arial" w:eastAsia="Arial" w:hAnsi="Arial"/>
          <w:sz w:val="23"/>
          <w:szCs w:val="23"/>
          <w:color w:val="auto"/>
          <w:vertAlign w:val="superscript"/>
        </w:rPr>
      </w:pPr>
      <w:r>
        <w:rPr>
          <w:rFonts w:ascii="Arial" w:cs="Arial" w:eastAsia="Arial" w:hAnsi="Arial"/>
          <w:sz w:val="14"/>
          <w:szCs w:val="14"/>
          <w:color w:val="auto"/>
        </w:rPr>
        <w:t>Beth Seidenberg, M.D., a member of our board of directors, is a partner of KPCB Holdings, Inc.</w:t>
      </w:r>
    </w:p>
    <w:p>
      <w:pPr>
        <w:spacing w:after="0" w:line="30" w:lineRule="exact"/>
        <w:rPr>
          <w:rFonts w:ascii="Arial" w:cs="Arial" w:eastAsia="Arial" w:hAnsi="Arial"/>
          <w:sz w:val="23"/>
          <w:szCs w:val="23"/>
          <w:color w:val="auto"/>
          <w:vertAlign w:val="superscript"/>
        </w:rPr>
      </w:pPr>
    </w:p>
    <w:p>
      <w:pPr>
        <w:ind w:left="600" w:hanging="366"/>
        <w:spacing w:after="0" w:line="187" w:lineRule="auto"/>
        <w:tabs>
          <w:tab w:leader="none" w:pos="600"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Dr. Cheng is a member of our board of directors.</w:t>
      </w:r>
    </w:p>
    <w:p>
      <w:pPr>
        <w:spacing w:after="0" w:line="30" w:lineRule="exact"/>
        <w:rPr>
          <w:rFonts w:ascii="Arial" w:cs="Arial" w:eastAsia="Arial" w:hAnsi="Arial"/>
          <w:sz w:val="19"/>
          <w:szCs w:val="19"/>
          <w:color w:val="auto"/>
          <w:vertAlign w:val="superscript"/>
        </w:rPr>
      </w:pPr>
    </w:p>
    <w:p>
      <w:pPr>
        <w:ind w:left="600" w:hanging="366"/>
        <w:spacing w:after="0" w:line="187" w:lineRule="auto"/>
        <w:tabs>
          <w:tab w:leader="none" w:pos="600"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Mr. Fordyce is an immediate family member of Dr. Fordyce, our Chief Executive Officer and a member of our board of directors.</w:t>
      </w:r>
    </w:p>
    <w:p>
      <w:pPr>
        <w:spacing w:after="0" w:line="30" w:lineRule="exact"/>
        <w:rPr>
          <w:rFonts w:ascii="Arial" w:cs="Arial" w:eastAsia="Arial" w:hAnsi="Arial"/>
          <w:sz w:val="19"/>
          <w:szCs w:val="19"/>
          <w:color w:val="auto"/>
          <w:vertAlign w:val="superscript"/>
        </w:rPr>
      </w:pPr>
    </w:p>
    <w:p>
      <w:pPr>
        <w:ind w:left="600" w:hanging="366"/>
        <w:spacing w:after="0" w:line="187" w:lineRule="auto"/>
        <w:tabs>
          <w:tab w:leader="none" w:pos="600"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Mr. Walton, a member of our board of directors until October 2020, is affiliated with Walton, Mitchell &amp; Co., Inc.</w:t>
      </w:r>
    </w:p>
    <w:p>
      <w:pPr>
        <w:spacing w:after="0" w:line="30" w:lineRule="exact"/>
        <w:rPr>
          <w:rFonts w:ascii="Arial" w:cs="Arial" w:eastAsia="Arial" w:hAnsi="Arial"/>
          <w:sz w:val="19"/>
          <w:szCs w:val="19"/>
          <w:color w:val="auto"/>
          <w:vertAlign w:val="superscript"/>
        </w:rPr>
      </w:pPr>
    </w:p>
    <w:p>
      <w:pPr>
        <w:ind w:left="600" w:right="100" w:hanging="366"/>
        <w:spacing w:after="0" w:line="182" w:lineRule="auto"/>
        <w:tabs>
          <w:tab w:leader="none" w:pos="60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Mr. Walton, a member of our board of directors until October 2020, is affiliated with BNY Mellon N.A., as Trustee of the Trust U/D/T William L. Mellon DTD 6/29/35 for James M. Walton.</w:t>
      </w:r>
    </w:p>
    <w:p>
      <w:pPr>
        <w:spacing w:after="0" w:line="29" w:lineRule="exact"/>
        <w:rPr>
          <w:rFonts w:ascii="Arial" w:cs="Arial" w:eastAsia="Arial" w:hAnsi="Arial"/>
          <w:sz w:val="24"/>
          <w:szCs w:val="24"/>
          <w:color w:val="auto"/>
          <w:vertAlign w:val="superscript"/>
        </w:rPr>
      </w:pPr>
    </w:p>
    <w:p>
      <w:pPr>
        <w:ind w:left="600" w:right="80" w:hanging="366"/>
        <w:spacing w:after="0" w:line="182" w:lineRule="auto"/>
        <w:tabs>
          <w:tab w:leader="none" w:pos="60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The shares of Series C preferred stock issued to Ares Trading S.A. were partial consideration for the license agreement entered into simultaneously with the sale and issuance of the Series C convertible preferred stock</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080"/>
          </w:cols>
          <w:pgMar w:left="320" w:top="456"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Employment Agreements and Stock Option Grants to Directors and Executive Officers</w:t>
      </w:r>
    </w:p>
    <w:p>
      <w:pPr>
        <w:spacing w:after="0" w:line="91" w:lineRule="exact"/>
        <w:rPr>
          <w:sz w:val="20"/>
          <w:szCs w:val="20"/>
          <w:color w:val="auto"/>
        </w:rPr>
      </w:pPr>
    </w:p>
    <w:p>
      <w:pPr>
        <w:jc w:val="both"/>
        <w:ind w:left="160" w:right="180"/>
        <w:spacing w:after="0" w:line="236" w:lineRule="auto"/>
        <w:rPr>
          <w:sz w:val="20"/>
          <w:szCs w:val="20"/>
          <w:color w:val="auto"/>
        </w:rPr>
      </w:pPr>
      <w:r>
        <w:rPr>
          <w:rFonts w:ascii="Arial" w:cs="Arial" w:eastAsia="Arial" w:hAnsi="Arial"/>
          <w:sz w:val="17"/>
          <w:szCs w:val="17"/>
          <w:color w:val="auto"/>
        </w:rPr>
        <w:t>We have entered into employment agreements with certain of our named executive officers, and granted stock options to our named executive officers and certain of our directors, as more fully described in the sections titled “Executive Compensation” and “Management—Non-Employee Director Compensation.”</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License Agreement</w:t>
      </w:r>
    </w:p>
    <w:p>
      <w:pPr>
        <w:spacing w:after="0" w:line="77"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On October 29, 2020, we entered into an exclusive worldwide license agreement with Ares, an affiliate of Merck KGaA, Darmstadt, Germany. Under this license agreement (Ares Agreement), Ares granted us an exclusive license to certain patents and certain related know-how to research, develop, manufacture, use and commercialize throughout the world therapeutic products containing atacicept or any other compound that is covered by a claim of such patents. In consideration for the rights granted under the Ares Agreement, we issued to Ares an aggregate of 22,171,553 shares of Series C redeemable convertible preferred stock, we paid Ares $25 million upon delivery and initiation of the transfer of specified information and materials and we are obligated to pay Ares certain clinical, regulatory and commercial milestone payments, sublicensing revenue payments and royalty payments on future sales of licensed products. For more information regarding the license agreement see “Business—Exclusive License Agreement with Ares Trading S.A.”</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Consulting Services Agreement with Dr. Kotzin</w:t>
      </w:r>
    </w:p>
    <w:p>
      <w:pPr>
        <w:spacing w:after="0" w:line="77" w:lineRule="exact"/>
        <w:rPr>
          <w:sz w:val="20"/>
          <w:szCs w:val="20"/>
          <w:color w:val="auto"/>
        </w:rPr>
      </w:pPr>
    </w:p>
    <w:p>
      <w:pPr>
        <w:ind w:left="160" w:right="60"/>
        <w:spacing w:after="0" w:line="236" w:lineRule="auto"/>
        <w:rPr>
          <w:sz w:val="20"/>
          <w:szCs w:val="20"/>
          <w:color w:val="auto"/>
        </w:rPr>
      </w:pPr>
      <w:r>
        <w:rPr>
          <w:rFonts w:ascii="Arial" w:cs="Arial" w:eastAsia="Arial" w:hAnsi="Arial"/>
          <w:sz w:val="17"/>
          <w:szCs w:val="17"/>
          <w:color w:val="auto"/>
        </w:rPr>
        <w:t>In February 2021, we entered into a consulting services agreement with BLKotzin, Inc., an entity affiliated with our former director, Brian Kotzin, M.D., pursuant to which Dr. Kotzin provides certain consulting services to us. We pay Dr. Kotzin for his services at a rate of $400 per hour up to a maximum of $40,000 per year.</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Consulting Services Agreement with Dr. Ebens</w:t>
      </w:r>
    </w:p>
    <w:p>
      <w:pPr>
        <w:spacing w:after="0" w:line="91"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In March 2021, we entered into a consulting services agreement with Allen Ebens, Ph.D., our former Chief Scientific Officer, pursuant to which Dr. Ebens provides certain consulting services to us. We pay Dr. Ebens for his services at a rate of $350 per hour up to a maximum of $300,000 per year. In addition, pursuant to the agreement, we granted Dr. Ebens an option covering 38,405 shares of our Class A common stock.</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Investors’ Rights Agreement</w:t>
      </w:r>
    </w:p>
    <w:p>
      <w:pPr>
        <w:spacing w:after="0" w:line="77"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In October 2020, we entered into a Second Amended and Restated Investors’ Rights Agreement (Rights Agreement) with certain holders of more than 5% of our outstanding capital stock, including Abingworth Bioventures 8 LP, Ares Trading S.A., entities affiliated with Fidelity, Citadel Multi-Strategy Equities Master Fund Ltd., GV 2019, L.P., KPCB Holdings, Inc., Longitude Venture Partners IV, L.P. and Sofinnova Venture Partners X, L.P., and including certain affiliates of our directors.</w:t>
      </w:r>
    </w:p>
    <w:p>
      <w:pPr>
        <w:spacing w:after="0" w:line="147"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The Rights Agreement grants to the holders of our outstanding redeemable convertible preferred stock certain rights, including certain registration rights with respect to the registrable securities held by them. See the section titled “Description of Capital Stock—Registration Rights” for additional information. In addition, the Rights Agreement imposes certain affirmative obligations on us, including our obligation to, among other things, (i) grant each holder who holds shares of our redeemable convertible preferred stock with an aggregate original issue price of at least $4.6 million (Major Investors), a right of first offer with respect to future sales of our equity, excluding the shares to be offered and sold in this offering, and grant certain information and inspection rights to such Major Investors. Each of these obligations will terminate in connection with the closing of this offering.</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Voting Agreement</w:t>
      </w:r>
    </w:p>
    <w:p>
      <w:pPr>
        <w:spacing w:after="0" w:line="77"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In October 2020, we entered into the Voting Agreement with certain holders of more than 5% of our outstanding capital stock, including Abingworth Bioventures 8 LP, Ares Trading S.A., entities affiliated with Fidelity, Citadel Multi-Strategy Equities Master Fund Ltd., GV 2019, L.P., KPCB Holdings, Inc., Longitude Venture Partners IV, L.P. and Sofinnova Venture Partners X, L.P., and including certain affiliates of our directors.</w:t>
      </w:r>
    </w:p>
    <w:p>
      <w:pPr>
        <w:spacing w:after="0" w:line="133" w:lineRule="exact"/>
        <w:rPr>
          <w:sz w:val="20"/>
          <w:szCs w:val="20"/>
          <w:color w:val="auto"/>
        </w:rPr>
      </w:pPr>
    </w:p>
    <w:p>
      <w:pPr>
        <w:ind w:left="160" w:right="120"/>
        <w:spacing w:after="0" w:line="239" w:lineRule="auto"/>
        <w:rPr>
          <w:sz w:val="20"/>
          <w:szCs w:val="20"/>
          <w:color w:val="auto"/>
        </w:rPr>
      </w:pPr>
      <w:r>
        <w:rPr>
          <w:rFonts w:ascii="Arial" w:cs="Arial" w:eastAsia="Arial" w:hAnsi="Arial"/>
          <w:sz w:val="17"/>
          <w:szCs w:val="17"/>
          <w:color w:val="auto"/>
        </w:rPr>
        <w:t>Pursuant to the Voting Agreement, each of Abingworth Bioventures 8 LP, Longitude Venture Partners IV, L.P. and Sofinnova Venture Partners X, L.P. has the right to designate one member to be elected to our board of directors.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060"/>
          </w:cols>
          <w:pgMar w:left="320" w:top="456" w:right="5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color w:val="auto"/>
        </w:rPr>
        <w:t>See the section titled “Management—Composition of Our Board of Directors.” The Voting Agreement will terminate by its terms in connection with the closing of this offering and none of our stockholders will have any continuing rights regarding the election or designation of members of our board of directors following this offering.</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91" w:lineRule="exact"/>
        <w:rPr>
          <w:sz w:val="20"/>
          <w:szCs w:val="20"/>
          <w:color w:val="auto"/>
        </w:rPr>
      </w:pPr>
    </w:p>
    <w:p>
      <w:pPr>
        <w:ind w:left="160" w:right="80"/>
        <w:spacing w:after="0" w:line="234" w:lineRule="auto"/>
        <w:rPr>
          <w:sz w:val="20"/>
          <w:szCs w:val="20"/>
          <w:color w:val="auto"/>
        </w:rPr>
      </w:pPr>
      <w:r>
        <w:rPr>
          <w:rFonts w:ascii="Arial" w:cs="Arial" w:eastAsia="Arial" w:hAnsi="Arial"/>
          <w:sz w:val="17"/>
          <w:szCs w:val="17"/>
          <w:color w:val="auto"/>
        </w:rPr>
        <w:t>In October 2020, we entered into a Second Amended and Restated Right of First Refusal and Co-Sale Agreement (Co-Sale Agreement) with certain holders of more than 5% of our outstanding capital stock, including Abingworth Bioventures 8 LP, Ares Trading S.A., entities affiliated with Fidelity, Citadel Multi-Strategy Equities Master Fund Ltd., GV 2019, L.P., KPCB Holdings, Inc., Longitude Venture Partners IV, L.P. and Sofinnova Venture Partners X, L.P., and including certain affiliates of our directors.</w:t>
      </w:r>
    </w:p>
    <w:p>
      <w:pPr>
        <w:spacing w:after="0" w:line="147"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Pursuant to the Co-Sale Agreement, we have a right of first refusal in respect of certain sales of securities by certain holders of our common stock and redeemable convertible preferred stock. To the extent we do not exercise such right in full, the investors party to the Co-Sale Agreement are granted certain rights of first refusal and co-sale in respect of such sale. The Co-Sale Agreement will terminate in connection with the closing of this offering.</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Indemnification Agreements</w:t>
      </w:r>
    </w:p>
    <w:p>
      <w:pPr>
        <w:spacing w:after="0" w:line="77" w:lineRule="exact"/>
        <w:rPr>
          <w:sz w:val="20"/>
          <w:szCs w:val="20"/>
          <w:color w:val="auto"/>
        </w:rPr>
      </w:pPr>
    </w:p>
    <w:p>
      <w:pPr>
        <w:ind w:left="160" w:right="140"/>
        <w:spacing w:after="0" w:line="233" w:lineRule="auto"/>
        <w:rPr>
          <w:sz w:val="20"/>
          <w:szCs w:val="20"/>
          <w:color w:val="auto"/>
        </w:rPr>
      </w:pPr>
      <w:r>
        <w:rPr>
          <w:rFonts w:ascii="Arial" w:cs="Arial" w:eastAsia="Arial" w:hAnsi="Arial"/>
          <w:sz w:val="17"/>
          <w:szCs w:val="17"/>
          <w:color w:val="auto"/>
        </w:rPr>
        <w:t>Our amended and restated certificate of incorporation will contain provisions limiting the liability of directors, and our amended and restated bylaws will provide that we will indemnify each of our directors and officers to the fullest extent permitted under Delaware law. Our amended and restated certificate of incorporation and amended and restated bylaws will also provide our board of directors with discretion to indemnify our employees and other agents when determined appropriate by the board. In addition, we have entered into or intend to enter into an indemnification agreement with each of our directors and executive officers, which will require us to indemnify them. For more information regarding these agreements, see the section titled “Executive Compensation—Limitations on Liability and Indemnification.”</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77"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We have adopted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Directed Share Program</w:t>
      </w:r>
    </w:p>
    <w:p>
      <w:pPr>
        <w:spacing w:after="0" w:line="91"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color w:val="auto"/>
        </w:rPr>
        <w:t>At our request, the underwriters have reserved for sale, at the initial public offering price, up to 3% of the shares of Class A common stock offered hereby to our directors, officers, employees, business associates and related persons through a directed share program. See the section titled “Underwriting—Directed Share Program.”</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080"/>
          </w:cols>
          <w:pgMar w:left="320" w:top="456"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STOCKHOLDERS</w:t>
      </w:r>
    </w:p>
    <w:p>
      <w:pPr>
        <w:spacing w:after="0" w:line="33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sets forth information regarding beneficial ownership of our capital stock as of March 31, 2021 by:</w:t>
      </w:r>
    </w:p>
    <w:p>
      <w:pPr>
        <w:spacing w:after="0" w:line="192" w:lineRule="exact"/>
        <w:rPr>
          <w:sz w:val="20"/>
          <w:szCs w:val="20"/>
          <w:color w:val="auto"/>
        </w:rPr>
      </w:pPr>
    </w:p>
    <w:p>
      <w:pPr>
        <w:ind w:left="1020" w:hanging="425"/>
        <w:spacing w:after="0"/>
        <w:tabs>
          <w:tab w:leader="none" w:pos="1020" w:val="left"/>
        </w:tabs>
        <w:numPr>
          <w:ilvl w:val="0"/>
          <w:numId w:val="96"/>
        </w:numPr>
        <w:rPr>
          <w:rFonts w:ascii="MS PGothic" w:cs="MS PGothic" w:eastAsia="MS PGothic" w:hAnsi="MS PGothic"/>
          <w:sz w:val="12"/>
          <w:szCs w:val="12"/>
          <w:color w:val="auto"/>
        </w:rPr>
      </w:pPr>
      <w:r>
        <w:rPr>
          <w:rFonts w:ascii="Arial" w:cs="Arial" w:eastAsia="Arial" w:hAnsi="Arial"/>
          <w:sz w:val="17"/>
          <w:szCs w:val="17"/>
          <w:color w:val="auto"/>
        </w:rPr>
        <w:t>each person, or group of affiliated persons, known by us to beneficially own more than 5% of our Class A common stock;</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96"/>
        </w:numPr>
        <w:rPr>
          <w:rFonts w:ascii="MS PGothic" w:cs="MS PGothic" w:eastAsia="MS PGothic" w:hAnsi="MS PGothic"/>
          <w:sz w:val="12"/>
          <w:szCs w:val="12"/>
          <w:color w:val="auto"/>
        </w:rPr>
      </w:pPr>
      <w:r>
        <w:rPr>
          <w:rFonts w:ascii="Arial" w:cs="Arial" w:eastAsia="Arial" w:hAnsi="Arial"/>
          <w:sz w:val="17"/>
          <w:szCs w:val="17"/>
          <w:color w:val="auto"/>
        </w:rPr>
        <w:t>each of our directors;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96"/>
        </w:numPr>
        <w:rPr>
          <w:rFonts w:ascii="MS PGothic" w:cs="MS PGothic" w:eastAsia="MS PGothic" w:hAnsi="MS PGothic"/>
          <w:sz w:val="12"/>
          <w:szCs w:val="12"/>
          <w:color w:val="auto"/>
        </w:rPr>
      </w:pPr>
      <w:r>
        <w:rPr>
          <w:rFonts w:ascii="Arial" w:cs="Arial" w:eastAsia="Arial" w:hAnsi="Arial"/>
          <w:sz w:val="17"/>
          <w:szCs w:val="17"/>
          <w:color w:val="auto"/>
        </w:rPr>
        <w:t>each our of named executive officers; and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96"/>
        </w:numPr>
        <w:rPr>
          <w:rFonts w:ascii="MS PGothic" w:cs="MS PGothic" w:eastAsia="MS PGothic" w:hAnsi="MS PGothic"/>
          <w:sz w:val="12"/>
          <w:szCs w:val="12"/>
          <w:color w:val="auto"/>
        </w:rPr>
      </w:pPr>
      <w:r>
        <w:rPr>
          <w:rFonts w:ascii="Arial" w:cs="Arial" w:eastAsia="Arial" w:hAnsi="Arial"/>
          <w:sz w:val="17"/>
          <w:szCs w:val="17"/>
          <w:color w:val="auto"/>
        </w:rPr>
        <w:t>all of our current executive officers and directors as a group.</w:t>
      </w:r>
    </w:p>
    <w:p>
      <w:pPr>
        <w:spacing w:after="0" w:line="152" w:lineRule="exact"/>
        <w:rPr>
          <w:sz w:val="20"/>
          <w:szCs w:val="20"/>
          <w:color w:val="auto"/>
        </w:rPr>
      </w:pPr>
    </w:p>
    <w:p>
      <w:pPr>
        <w:ind w:left="160" w:right="180"/>
        <w:spacing w:after="0" w:line="234" w:lineRule="auto"/>
        <w:rPr>
          <w:sz w:val="20"/>
          <w:szCs w:val="20"/>
          <w:color w:val="auto"/>
        </w:rPr>
      </w:pPr>
      <w:r>
        <w:rPr>
          <w:rFonts w:ascii="Arial" w:cs="Arial" w:eastAsia="Arial" w:hAnsi="Arial"/>
          <w:sz w:val="17"/>
          <w:szCs w:val="17"/>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47" w:lineRule="exact"/>
        <w:rPr>
          <w:sz w:val="20"/>
          <w:szCs w:val="20"/>
          <w:color w:val="auto"/>
        </w:rPr>
      </w:pPr>
    </w:p>
    <w:p>
      <w:pPr>
        <w:ind w:left="160" w:right="160"/>
        <w:spacing w:after="0" w:line="234" w:lineRule="auto"/>
        <w:rPr>
          <w:sz w:val="20"/>
          <w:szCs w:val="20"/>
          <w:color w:val="auto"/>
        </w:rPr>
      </w:pPr>
      <w:r>
        <w:rPr>
          <w:rFonts w:ascii="Arial" w:cs="Arial" w:eastAsia="Arial" w:hAnsi="Arial"/>
          <w:sz w:val="17"/>
          <w:szCs w:val="17"/>
          <w:color w:val="auto"/>
        </w:rPr>
        <w:t>Applicable percentage ownership before the offering is based on 16,242,992 shares of our Class A common stock outstanding and no shares of our Class B common stock deemed to be outstanding as of March 31, 2021, after giving effect to the automatic conversion of all outstanding shares of our redeemable convertible preferred stock into 15,774,013 shares of our Class A common stock in connection with the closing of this offering and including 138,989 shares of our unvested restricted Class A common stock subject to repurchase as of such date.</w:t>
      </w:r>
    </w:p>
    <w:p>
      <w:pPr>
        <w:spacing w:after="0" w:line="147" w:lineRule="exact"/>
        <w:rPr>
          <w:sz w:val="20"/>
          <w:szCs w:val="20"/>
          <w:color w:val="auto"/>
        </w:rPr>
      </w:pPr>
    </w:p>
    <w:p>
      <w:pPr>
        <w:ind w:left="160"/>
        <w:spacing w:after="0" w:line="229" w:lineRule="auto"/>
        <w:rPr>
          <w:sz w:val="20"/>
          <w:szCs w:val="20"/>
          <w:color w:val="auto"/>
        </w:rPr>
      </w:pPr>
      <w:r>
        <w:rPr>
          <w:rFonts w:ascii="Arial" w:cs="Arial" w:eastAsia="Arial" w:hAnsi="Arial"/>
          <w:sz w:val="17"/>
          <w:szCs w:val="17"/>
          <w:color w:val="auto"/>
        </w:rPr>
        <w:t>Applicable percentage ownership after the offering is based on 20,592,992 shares of Class A common stock and Class B common stock assumed to be outstanding immediately after the closing of this offering, after giving effect to the automatic conversion of all outstanding shares of our redeemable convertible preferred stock into 15,774,013 shares of our Class A common stock in connection with the closing of this offering and including 138,989 shares of our unvested restricted Class A common stock subject to repurchase as of such date, and assuming no exercise by the underwriters of their option to purchase additional shares and no purchase of any shares of Class A common stock in this offering by the beneficial owners identified in the table below, including pursuant to our directed share program described in the section titled “Underwriting— Directed Share Program.” In computing the number of shares beneficially owned by a person and the percentage ownership of such person, we deemed to be outstanding all shares subject to options held by the person that are currently exercisable, or exercisable within 60 days of</w:t>
      </w:r>
    </w:p>
    <w:p>
      <w:pPr>
        <w:spacing w:after="0" w:line="6" w:lineRule="exact"/>
        <w:rPr>
          <w:sz w:val="20"/>
          <w:szCs w:val="20"/>
          <w:color w:val="auto"/>
        </w:rPr>
      </w:pPr>
    </w:p>
    <w:p>
      <w:pPr>
        <w:ind w:left="160" w:right="280"/>
        <w:spacing w:after="0" w:line="239" w:lineRule="auto"/>
        <w:rPr>
          <w:sz w:val="20"/>
          <w:szCs w:val="20"/>
          <w:color w:val="auto"/>
        </w:rPr>
      </w:pPr>
      <w:r>
        <w:rPr>
          <w:rFonts w:ascii="Arial" w:cs="Arial" w:eastAsia="Arial" w:hAnsi="Arial"/>
          <w:sz w:val="17"/>
          <w:szCs w:val="17"/>
          <w:color w:val="auto"/>
        </w:rPr>
        <w:t>March 31, 2021. However, except as described above, we did not deem such shares outstanding for the purpose of computing the percentage ownership of any other person.</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080"/>
          </w:cols>
          <w:pgMar w:left="320" w:top="456"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300"/>
        <w:spacing w:after="0" w:line="239" w:lineRule="auto"/>
        <w:rPr>
          <w:sz w:val="20"/>
          <w:szCs w:val="20"/>
          <w:color w:val="auto"/>
        </w:rPr>
      </w:pPr>
      <w:r>
        <w:rPr>
          <w:rFonts w:ascii="Arial" w:cs="Arial" w:eastAsia="Arial" w:hAnsi="Arial"/>
          <w:sz w:val="17"/>
          <w:szCs w:val="17"/>
          <w:color w:val="auto"/>
        </w:rPr>
        <w:t>Unless otherwise indicated, the address for each beneficial owner listed in the table below is c/o Vera Therapeutics, Inc., 170 Harbor Way, 3rd Floor, South San Francisco, California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NUMBER OF</w:t>
            </w:r>
          </w:p>
        </w:tc>
        <w:tc>
          <w:tcPr>
            <w:tcW w:w="22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PERCENTAGE OF</w:t>
            </w:r>
          </w:p>
        </w:tc>
        <w:tc>
          <w:tcPr>
            <w:tcW w:w="19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0"/>
        </w:trPr>
        <w:tc>
          <w:tcPr>
            <w:tcW w:w="4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SHARES</w:t>
            </w:r>
          </w:p>
        </w:tc>
        <w:tc>
          <w:tcPr>
            <w:tcW w:w="22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9"/>
              </w:rPr>
              <w:t>SHARES</w:t>
            </w:r>
          </w:p>
        </w:tc>
        <w:tc>
          <w:tcPr>
            <w:tcW w:w="1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0"/>
        </w:trPr>
        <w:tc>
          <w:tcPr>
            <w:tcW w:w="4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BENEFICIALLY</w:t>
            </w:r>
          </w:p>
        </w:tc>
        <w:tc>
          <w:tcPr>
            <w:tcW w:w="22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BENEFICIALLY</w:t>
            </w:r>
          </w:p>
        </w:tc>
        <w:tc>
          <w:tcPr>
            <w:tcW w:w="19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60"/>
        </w:trPr>
        <w:tc>
          <w:tcPr>
            <w:tcW w:w="4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OWNED BEFORE</w:t>
            </w:r>
          </w:p>
        </w:tc>
        <w:tc>
          <w:tcPr>
            <w:tcW w:w="22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OWNED BEFORE</w:t>
            </w:r>
          </w:p>
        </w:tc>
        <w:tc>
          <w:tcPr>
            <w:tcW w:w="19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OWNED AFTER</w:t>
            </w:r>
          </w:p>
        </w:tc>
        <w:tc>
          <w:tcPr>
            <w:tcW w:w="0" w:type="dxa"/>
            <w:vAlign w:val="bottom"/>
          </w:tcPr>
          <w:p>
            <w:pPr>
              <w:spacing w:after="0"/>
              <w:rPr>
                <w:sz w:val="1"/>
                <w:szCs w:val="1"/>
                <w:color w:val="auto"/>
              </w:rPr>
            </w:pPr>
          </w:p>
        </w:tc>
      </w:tr>
      <w:tr>
        <w:trPr>
          <w:trHeight w:val="174"/>
        </w:trPr>
        <w:tc>
          <w:tcPr>
            <w:tcW w:w="4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THE OFFERING</w:t>
            </w:r>
          </w:p>
        </w:tc>
        <w:tc>
          <w:tcPr>
            <w:tcW w:w="22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THE OFFERING</w:t>
            </w:r>
          </w:p>
        </w:tc>
        <w:tc>
          <w:tcPr>
            <w:tcW w:w="19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THE OFFERING</w:t>
            </w:r>
          </w:p>
        </w:tc>
        <w:tc>
          <w:tcPr>
            <w:tcW w:w="0" w:type="dxa"/>
            <w:vAlign w:val="bottom"/>
          </w:tcPr>
          <w:p>
            <w:pPr>
              <w:spacing w:after="0"/>
              <w:rPr>
                <w:sz w:val="1"/>
                <w:szCs w:val="1"/>
                <w:color w:val="auto"/>
              </w:rPr>
            </w:pPr>
          </w:p>
        </w:tc>
      </w:tr>
      <w:tr>
        <w:trPr>
          <w:trHeight w:val="141"/>
        </w:trPr>
        <w:tc>
          <w:tcPr>
            <w:tcW w:w="4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Borders>
              <w:top w:val="single" w:sz="8" w:color="auto"/>
            </w:tcBorders>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rPr>
              <w:t>CLASS A</w:t>
            </w:r>
          </w:p>
        </w:tc>
        <w:tc>
          <w:tcPr>
            <w:tcW w:w="6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CLASS B</w:t>
            </w:r>
          </w:p>
        </w:tc>
        <w:tc>
          <w:tcPr>
            <w:tcW w:w="380" w:type="dxa"/>
            <w:vAlign w:val="bottom"/>
          </w:tcPr>
          <w:p>
            <w:pPr>
              <w:spacing w:after="0"/>
              <w:rPr>
                <w:sz w:val="12"/>
                <w:szCs w:val="12"/>
                <w:color w:val="auto"/>
              </w:rPr>
            </w:pPr>
          </w:p>
        </w:tc>
        <w:tc>
          <w:tcPr>
            <w:tcW w:w="1180" w:type="dxa"/>
            <w:vAlign w:val="bottom"/>
            <w:tcBorders>
              <w:top w:val="single" w:sz="8" w:color="auto"/>
            </w:tcBorders>
            <w:gridSpan w:val="2"/>
          </w:tcPr>
          <w:p>
            <w:pPr>
              <w:jc w:val="center"/>
              <w:ind w:right="500"/>
              <w:spacing w:after="0" w:line="141" w:lineRule="exact"/>
              <w:rPr>
                <w:sz w:val="20"/>
                <w:szCs w:val="20"/>
                <w:color w:val="auto"/>
              </w:rPr>
            </w:pPr>
            <w:r>
              <w:rPr>
                <w:rFonts w:ascii="Arial" w:cs="Arial" w:eastAsia="Arial" w:hAnsi="Arial"/>
                <w:sz w:val="14"/>
                <w:szCs w:val="14"/>
                <w:b w:val="1"/>
                <w:bCs w:val="1"/>
                <w:color w:val="auto"/>
              </w:rPr>
              <w:t>CLASS A</w:t>
            </w: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CLASS B</w:t>
            </w:r>
          </w:p>
        </w:tc>
        <w:tc>
          <w:tcPr>
            <w:tcW w:w="380" w:type="dxa"/>
            <w:vAlign w:val="bottom"/>
          </w:tcPr>
          <w:p>
            <w:pPr>
              <w:spacing w:after="0"/>
              <w:rPr>
                <w:sz w:val="12"/>
                <w:szCs w:val="12"/>
                <w:color w:val="auto"/>
              </w:rPr>
            </w:pPr>
          </w:p>
        </w:tc>
        <w:tc>
          <w:tcPr>
            <w:tcW w:w="1180" w:type="dxa"/>
            <w:vAlign w:val="bottom"/>
            <w:tcBorders>
              <w:top w:val="single" w:sz="8" w:color="auto"/>
            </w:tcBorders>
            <w:gridSpan w:val="2"/>
          </w:tcPr>
          <w:p>
            <w:pPr>
              <w:jc w:val="center"/>
              <w:ind w:right="520"/>
              <w:spacing w:after="0" w:line="141" w:lineRule="exact"/>
              <w:rPr>
                <w:sz w:val="20"/>
                <w:szCs w:val="20"/>
                <w:color w:val="auto"/>
              </w:rPr>
            </w:pPr>
            <w:r>
              <w:rPr>
                <w:rFonts w:ascii="Arial" w:cs="Arial" w:eastAsia="Arial" w:hAnsi="Arial"/>
                <w:sz w:val="14"/>
                <w:szCs w:val="14"/>
                <w:b w:val="1"/>
                <w:bCs w:val="1"/>
                <w:color w:val="auto"/>
              </w:rPr>
              <w:t>CLASS A</w:t>
            </w:r>
          </w:p>
        </w:tc>
        <w:tc>
          <w:tcPr>
            <w:tcW w:w="6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COMMON</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COMMON</w:t>
            </w: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COMMON</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COMMON</w:t>
            </w: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COMMON</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7"/>
              </w:rPr>
              <w:t>COMMON</w:t>
            </w:r>
          </w:p>
        </w:tc>
        <w:tc>
          <w:tcPr>
            <w:tcW w:w="0" w:type="dxa"/>
            <w:vAlign w:val="bottom"/>
          </w:tcPr>
          <w:p>
            <w:pPr>
              <w:spacing w:after="0"/>
              <w:rPr>
                <w:sz w:val="1"/>
                <w:szCs w:val="1"/>
                <w:color w:val="auto"/>
              </w:rPr>
            </w:pPr>
          </w:p>
        </w:tc>
      </w:tr>
      <w:tr>
        <w:trPr>
          <w:trHeight w:val="174"/>
        </w:trPr>
        <w:tc>
          <w:tcPr>
            <w:tcW w:w="4520" w:type="dxa"/>
            <w:vAlign w:val="bottom"/>
            <w:gridSpan w:val="2"/>
            <w:vMerge w:val="continue"/>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STOCK</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STOCK</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STOCK</w:t>
            </w: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STOCK</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81"/>
        </w:trPr>
        <w:tc>
          <w:tcPr>
            <w:tcW w:w="420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b w:val="1"/>
                <w:bCs w:val="1"/>
                <w:i w:val="1"/>
                <w:iCs w:val="1"/>
                <w:color w:val="auto"/>
              </w:rPr>
              <w:t>5% Stockholders</w:t>
            </w:r>
            <w:r>
              <w:rPr>
                <w:rFonts w:ascii="Arial" w:cs="Arial" w:eastAsia="Arial" w:hAnsi="Arial"/>
                <w:sz w:val="17"/>
                <w:szCs w:val="17"/>
                <w:b w:val="1"/>
                <w:bCs w:val="1"/>
                <w:color w:val="auto"/>
              </w:rPr>
              <w:t>:</w:t>
            </w:r>
          </w:p>
        </w:tc>
        <w:tc>
          <w:tcPr>
            <w:tcW w:w="3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2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Abingworth Bioventures 8 LP </w:t>
            </w:r>
            <w:r>
              <w:rPr>
                <w:rFonts w:ascii="Arial" w:cs="Arial" w:eastAsia="Arial" w:hAnsi="Arial"/>
                <w:sz w:val="14"/>
                <w:szCs w:val="14"/>
                <w:color w:val="auto"/>
              </w:rPr>
              <w:t>(1)</w:t>
            </w:r>
          </w:p>
        </w:tc>
        <w:tc>
          <w:tcPr>
            <w:tcW w:w="1220" w:type="dxa"/>
            <w:vAlign w:val="bottom"/>
            <w:gridSpan w:val="2"/>
          </w:tcPr>
          <w:p>
            <w:pPr>
              <w:jc w:val="right"/>
              <w:ind w:right="400"/>
              <w:spacing w:after="0" w:line="187" w:lineRule="exact"/>
              <w:rPr>
                <w:sz w:val="20"/>
                <w:szCs w:val="20"/>
                <w:color w:val="auto"/>
              </w:rPr>
            </w:pPr>
            <w:r>
              <w:rPr>
                <w:rFonts w:ascii="Arial" w:cs="Arial" w:eastAsia="Arial" w:hAnsi="Arial"/>
                <w:sz w:val="17"/>
                <w:szCs w:val="17"/>
                <w:color w:val="auto"/>
              </w:rPr>
              <w:t>2,187,504</w:t>
            </w:r>
          </w:p>
        </w:tc>
        <w:tc>
          <w:tcPr>
            <w:tcW w:w="104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13.5%</w:t>
            </w:r>
          </w:p>
        </w:tc>
        <w:tc>
          <w:tcPr>
            <w:tcW w:w="106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10.6%</w:t>
            </w:r>
          </w:p>
        </w:tc>
        <w:tc>
          <w:tcPr>
            <w:tcW w:w="7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Entities affiliated with Fidelity </w:t>
            </w:r>
            <w:r>
              <w:rPr>
                <w:rFonts w:ascii="Arial" w:cs="Arial" w:eastAsia="Arial" w:hAnsi="Arial"/>
                <w:sz w:val="14"/>
                <w:szCs w:val="14"/>
                <w:color w:val="auto"/>
              </w:rPr>
              <w:t>(2)</w:t>
            </w:r>
          </w:p>
        </w:tc>
        <w:tc>
          <w:tcPr>
            <w:tcW w:w="122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rPr>
              <w:t>2,187,502</w:t>
            </w:r>
          </w:p>
        </w:tc>
        <w:tc>
          <w:tcPr>
            <w:tcW w:w="104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13.5%</w:t>
            </w:r>
          </w:p>
        </w:tc>
        <w:tc>
          <w:tcPr>
            <w:tcW w:w="106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10.6%</w:t>
            </w:r>
          </w:p>
        </w:tc>
        <w:tc>
          <w:tcPr>
            <w:tcW w:w="7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Longitude Venture Partners IV, L.P. </w:t>
            </w:r>
            <w:r>
              <w:rPr>
                <w:rFonts w:ascii="Arial" w:cs="Arial" w:eastAsia="Arial" w:hAnsi="Arial"/>
                <w:sz w:val="14"/>
                <w:szCs w:val="14"/>
                <w:color w:val="auto"/>
              </w:rPr>
              <w:t>(3)</w:t>
            </w:r>
          </w:p>
        </w:tc>
        <w:tc>
          <w:tcPr>
            <w:tcW w:w="1220" w:type="dxa"/>
            <w:vAlign w:val="bottom"/>
            <w:gridSpan w:val="2"/>
          </w:tcPr>
          <w:p>
            <w:pPr>
              <w:jc w:val="right"/>
              <w:ind w:right="400"/>
              <w:spacing w:after="0" w:line="187" w:lineRule="exact"/>
              <w:rPr>
                <w:sz w:val="20"/>
                <w:szCs w:val="20"/>
                <w:color w:val="auto"/>
              </w:rPr>
            </w:pPr>
            <w:r>
              <w:rPr>
                <w:rFonts w:ascii="Arial" w:cs="Arial" w:eastAsia="Arial" w:hAnsi="Arial"/>
                <w:sz w:val="17"/>
                <w:szCs w:val="17"/>
                <w:color w:val="auto"/>
              </w:rPr>
              <w:t>2,187,504</w:t>
            </w:r>
          </w:p>
        </w:tc>
        <w:tc>
          <w:tcPr>
            <w:tcW w:w="104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13.5%</w:t>
            </w:r>
          </w:p>
        </w:tc>
        <w:tc>
          <w:tcPr>
            <w:tcW w:w="106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10.6%</w:t>
            </w:r>
          </w:p>
        </w:tc>
        <w:tc>
          <w:tcPr>
            <w:tcW w:w="7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Sofinnova Venture Partners X, L.P. </w:t>
            </w:r>
            <w:r>
              <w:rPr>
                <w:rFonts w:ascii="Arial" w:cs="Arial" w:eastAsia="Arial" w:hAnsi="Arial"/>
                <w:sz w:val="14"/>
                <w:szCs w:val="14"/>
                <w:color w:val="auto"/>
              </w:rPr>
              <w:t>(4)</w:t>
            </w:r>
          </w:p>
        </w:tc>
        <w:tc>
          <w:tcPr>
            <w:tcW w:w="122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rPr>
              <w:t>2,187,504</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13.5%</w:t>
            </w:r>
          </w:p>
        </w:tc>
        <w:tc>
          <w:tcPr>
            <w:tcW w:w="106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10.6%</w:t>
            </w:r>
          </w:p>
        </w:tc>
        <w:tc>
          <w:tcPr>
            <w:tcW w:w="7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Ares Trading S.A. </w:t>
            </w:r>
            <w:r>
              <w:rPr>
                <w:rFonts w:ascii="Arial" w:cs="Arial" w:eastAsia="Arial" w:hAnsi="Arial"/>
                <w:sz w:val="14"/>
                <w:szCs w:val="14"/>
                <w:color w:val="auto"/>
              </w:rPr>
              <w:t>(5)</w:t>
            </w:r>
          </w:p>
        </w:tc>
        <w:tc>
          <w:tcPr>
            <w:tcW w:w="1220" w:type="dxa"/>
            <w:vAlign w:val="bottom"/>
            <w:gridSpan w:val="2"/>
          </w:tcPr>
          <w:p>
            <w:pPr>
              <w:jc w:val="right"/>
              <w:ind w:right="400"/>
              <w:spacing w:after="0" w:line="187" w:lineRule="exact"/>
              <w:rPr>
                <w:sz w:val="20"/>
                <w:szCs w:val="20"/>
                <w:color w:val="auto"/>
              </w:rPr>
            </w:pPr>
            <w:r>
              <w:rPr>
                <w:rFonts w:ascii="Arial" w:cs="Arial" w:eastAsia="Arial" w:hAnsi="Arial"/>
                <w:sz w:val="17"/>
                <w:szCs w:val="17"/>
                <w:color w:val="auto"/>
              </w:rPr>
              <w:t>1,913,501</w:t>
            </w:r>
          </w:p>
        </w:tc>
        <w:tc>
          <w:tcPr>
            <w:tcW w:w="104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11.8%</w:t>
            </w:r>
          </w:p>
        </w:tc>
        <w:tc>
          <w:tcPr>
            <w:tcW w:w="106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9.3%</w:t>
            </w:r>
          </w:p>
        </w:tc>
        <w:tc>
          <w:tcPr>
            <w:tcW w:w="7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Citadel Multi-Strategy Equities Master Fund Ltd. </w:t>
            </w:r>
            <w:r>
              <w:rPr>
                <w:rFonts w:ascii="Arial" w:cs="Arial" w:eastAsia="Arial" w:hAnsi="Arial"/>
                <w:sz w:val="14"/>
                <w:szCs w:val="14"/>
                <w:color w:val="auto"/>
              </w:rPr>
              <w:t>(6)</w:t>
            </w:r>
          </w:p>
        </w:tc>
        <w:tc>
          <w:tcPr>
            <w:tcW w:w="122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rPr>
              <w:t>1,458,336</w:t>
            </w:r>
          </w:p>
        </w:tc>
        <w:tc>
          <w:tcPr>
            <w:tcW w:w="104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9.0%</w:t>
            </w:r>
          </w:p>
        </w:tc>
        <w:tc>
          <w:tcPr>
            <w:tcW w:w="106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7.1%</w:t>
            </w:r>
          </w:p>
        </w:tc>
        <w:tc>
          <w:tcPr>
            <w:tcW w:w="7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KPCB Holdings, Inc., as nominee </w:t>
            </w:r>
            <w:r>
              <w:rPr>
                <w:rFonts w:ascii="Arial" w:cs="Arial" w:eastAsia="Arial" w:hAnsi="Arial"/>
                <w:sz w:val="14"/>
                <w:szCs w:val="14"/>
                <w:color w:val="auto"/>
              </w:rPr>
              <w:t>(7)</w:t>
            </w:r>
          </w:p>
        </w:tc>
        <w:tc>
          <w:tcPr>
            <w:tcW w:w="1220" w:type="dxa"/>
            <w:vAlign w:val="bottom"/>
            <w:gridSpan w:val="2"/>
          </w:tcPr>
          <w:p>
            <w:pPr>
              <w:jc w:val="right"/>
              <w:ind w:right="400"/>
              <w:spacing w:after="0" w:line="187" w:lineRule="exact"/>
              <w:rPr>
                <w:sz w:val="20"/>
                <w:szCs w:val="20"/>
                <w:color w:val="auto"/>
              </w:rPr>
            </w:pPr>
            <w:r>
              <w:rPr>
                <w:rFonts w:ascii="Arial" w:cs="Arial" w:eastAsia="Arial" w:hAnsi="Arial"/>
                <w:sz w:val="17"/>
                <w:szCs w:val="17"/>
                <w:color w:val="auto"/>
              </w:rPr>
              <w:t>1,343,152</w:t>
            </w:r>
          </w:p>
        </w:tc>
        <w:tc>
          <w:tcPr>
            <w:tcW w:w="104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8.3%</w:t>
            </w:r>
          </w:p>
        </w:tc>
        <w:tc>
          <w:tcPr>
            <w:tcW w:w="106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6.5%</w:t>
            </w:r>
          </w:p>
        </w:tc>
        <w:tc>
          <w:tcPr>
            <w:tcW w:w="7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Entities affiliated with GV </w:t>
            </w:r>
            <w:r>
              <w:rPr>
                <w:rFonts w:ascii="Arial" w:cs="Arial" w:eastAsia="Arial" w:hAnsi="Arial"/>
                <w:sz w:val="14"/>
                <w:szCs w:val="14"/>
                <w:color w:val="auto"/>
              </w:rPr>
              <w:t>(8)</w:t>
            </w:r>
          </w:p>
        </w:tc>
        <w:tc>
          <w:tcPr>
            <w:tcW w:w="122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rPr>
              <w:t>944,791</w:t>
            </w:r>
          </w:p>
        </w:tc>
        <w:tc>
          <w:tcPr>
            <w:tcW w:w="104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5.8%</w:t>
            </w:r>
          </w:p>
        </w:tc>
        <w:tc>
          <w:tcPr>
            <w:tcW w:w="106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4.6%</w:t>
            </w:r>
          </w:p>
        </w:tc>
        <w:tc>
          <w:tcPr>
            <w:tcW w:w="7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tcPr>
          <w:p>
            <w:pPr>
              <w:spacing w:after="0" w:line="187" w:lineRule="exact"/>
              <w:rPr>
                <w:sz w:val="20"/>
                <w:szCs w:val="20"/>
                <w:color w:val="auto"/>
              </w:rPr>
            </w:pPr>
            <w:r>
              <w:rPr>
                <w:rFonts w:ascii="Arial" w:cs="Arial" w:eastAsia="Arial" w:hAnsi="Arial"/>
                <w:sz w:val="17"/>
                <w:szCs w:val="17"/>
                <w:b w:val="1"/>
                <w:bCs w:val="1"/>
                <w:color w:val="auto"/>
              </w:rPr>
              <w:t>Directors and Named Executive Officers:</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Marshall Fordyce, M.D. </w:t>
            </w:r>
            <w:r>
              <w:rPr>
                <w:rFonts w:ascii="Arial" w:cs="Arial" w:eastAsia="Arial" w:hAnsi="Arial"/>
                <w:sz w:val="14"/>
                <w:szCs w:val="14"/>
                <w:color w:val="auto"/>
              </w:rPr>
              <w:t>(9)</w:t>
            </w:r>
          </w:p>
        </w:tc>
        <w:tc>
          <w:tcPr>
            <w:tcW w:w="122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rPr>
              <w:t>137,916</w:t>
            </w:r>
          </w:p>
        </w:tc>
        <w:tc>
          <w:tcPr>
            <w:tcW w:w="104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500"/>
              <w:spacing w:after="0" w:line="187"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500"/>
              <w:spacing w:after="0" w:line="187"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tcPr>
          <w:p>
            <w:pPr>
              <w:spacing w:after="0" w:line="187" w:lineRule="exact"/>
              <w:rPr>
                <w:sz w:val="20"/>
                <w:szCs w:val="20"/>
                <w:color w:val="auto"/>
              </w:rPr>
            </w:pPr>
            <w:r>
              <w:rPr>
                <w:rFonts w:ascii="Arial" w:cs="Arial" w:eastAsia="Arial" w:hAnsi="Arial"/>
                <w:sz w:val="17"/>
                <w:szCs w:val="17"/>
                <w:color w:val="auto"/>
              </w:rPr>
              <w:t>Jonathan Wolter</w:t>
            </w:r>
          </w:p>
        </w:tc>
        <w:tc>
          <w:tcPr>
            <w:tcW w:w="1220" w:type="dxa"/>
            <w:vAlign w:val="bottom"/>
            <w:gridSpan w:val="2"/>
          </w:tcPr>
          <w:p>
            <w:pPr>
              <w:jc w:val="right"/>
              <w:ind w:right="400"/>
              <w:spacing w:after="0" w:line="187"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500"/>
              <w:spacing w:after="0" w:line="187"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500"/>
              <w:spacing w:after="0" w:line="187" w:lineRule="exact"/>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Joanne Curley, Ph.D. </w:t>
            </w:r>
            <w:r>
              <w:rPr>
                <w:rFonts w:ascii="Arial" w:cs="Arial" w:eastAsia="Arial" w:hAnsi="Arial"/>
                <w:sz w:val="14"/>
                <w:szCs w:val="14"/>
                <w:color w:val="auto"/>
              </w:rPr>
              <w:t>(10)</w:t>
            </w:r>
          </w:p>
        </w:tc>
        <w:tc>
          <w:tcPr>
            <w:tcW w:w="122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rPr>
              <w:t>31,284</w:t>
            </w:r>
          </w:p>
        </w:tc>
        <w:tc>
          <w:tcPr>
            <w:tcW w:w="104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500"/>
              <w:spacing w:after="0" w:line="187"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500"/>
              <w:spacing w:after="0" w:line="187"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Allen Ebens, Ph.D. </w:t>
            </w:r>
            <w:r>
              <w:rPr>
                <w:rFonts w:ascii="Arial" w:cs="Arial" w:eastAsia="Arial" w:hAnsi="Arial"/>
                <w:sz w:val="14"/>
                <w:szCs w:val="14"/>
                <w:color w:val="auto"/>
              </w:rPr>
              <w:t>(11)</w:t>
            </w:r>
          </w:p>
        </w:tc>
        <w:tc>
          <w:tcPr>
            <w:tcW w:w="1220" w:type="dxa"/>
            <w:vAlign w:val="bottom"/>
            <w:gridSpan w:val="2"/>
          </w:tcPr>
          <w:p>
            <w:pPr>
              <w:jc w:val="right"/>
              <w:ind w:right="400"/>
              <w:spacing w:after="0" w:line="187" w:lineRule="exact"/>
              <w:rPr>
                <w:sz w:val="20"/>
                <w:szCs w:val="20"/>
                <w:color w:val="auto"/>
              </w:rPr>
            </w:pPr>
            <w:r>
              <w:rPr>
                <w:rFonts w:ascii="Arial" w:cs="Arial" w:eastAsia="Arial" w:hAnsi="Arial"/>
                <w:sz w:val="17"/>
                <w:szCs w:val="17"/>
                <w:color w:val="auto"/>
              </w:rPr>
              <w:t>25,820</w:t>
            </w:r>
          </w:p>
        </w:tc>
        <w:tc>
          <w:tcPr>
            <w:tcW w:w="104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500"/>
              <w:spacing w:after="0" w:line="187"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500"/>
              <w:spacing w:after="0" w:line="187" w:lineRule="exact"/>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Kurt von Emster, C.F.A. </w:t>
            </w:r>
            <w:r>
              <w:rPr>
                <w:rFonts w:ascii="Arial" w:cs="Arial" w:eastAsia="Arial" w:hAnsi="Arial"/>
                <w:sz w:val="14"/>
                <w:szCs w:val="14"/>
                <w:color w:val="auto"/>
              </w:rPr>
              <w:t>(1)</w:t>
            </w:r>
          </w:p>
        </w:tc>
        <w:tc>
          <w:tcPr>
            <w:tcW w:w="122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rPr>
              <w:t>2,187,504</w:t>
            </w:r>
          </w:p>
        </w:tc>
        <w:tc>
          <w:tcPr>
            <w:tcW w:w="104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13.5%</w:t>
            </w:r>
          </w:p>
        </w:tc>
        <w:tc>
          <w:tcPr>
            <w:tcW w:w="106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10.6%</w:t>
            </w:r>
          </w:p>
        </w:tc>
        <w:tc>
          <w:tcPr>
            <w:tcW w:w="7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Andrew Cheng, M.D., Ph.D. </w:t>
            </w:r>
            <w:r>
              <w:rPr>
                <w:rFonts w:ascii="Arial" w:cs="Arial" w:eastAsia="Arial" w:hAnsi="Arial"/>
                <w:sz w:val="14"/>
                <w:szCs w:val="14"/>
                <w:color w:val="auto"/>
              </w:rPr>
              <w:t>(12)</w:t>
            </w:r>
          </w:p>
        </w:tc>
        <w:tc>
          <w:tcPr>
            <w:tcW w:w="1220" w:type="dxa"/>
            <w:vAlign w:val="bottom"/>
            <w:gridSpan w:val="2"/>
          </w:tcPr>
          <w:p>
            <w:pPr>
              <w:jc w:val="right"/>
              <w:ind w:right="400"/>
              <w:spacing w:after="0" w:line="187" w:lineRule="exact"/>
              <w:rPr>
                <w:sz w:val="20"/>
                <w:szCs w:val="20"/>
                <w:color w:val="auto"/>
              </w:rPr>
            </w:pPr>
            <w:r>
              <w:rPr>
                <w:rFonts w:ascii="Arial" w:cs="Arial" w:eastAsia="Arial" w:hAnsi="Arial"/>
                <w:sz w:val="17"/>
                <w:szCs w:val="17"/>
                <w:color w:val="auto"/>
              </w:rPr>
              <w:t>31,295</w:t>
            </w:r>
          </w:p>
        </w:tc>
        <w:tc>
          <w:tcPr>
            <w:tcW w:w="104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500"/>
              <w:spacing w:after="0" w:line="187"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500"/>
              <w:spacing w:after="0" w:line="187" w:lineRule="exact"/>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Beth Seidenberg, M.D. </w:t>
            </w:r>
            <w:r>
              <w:rPr>
                <w:rFonts w:ascii="Arial" w:cs="Arial" w:eastAsia="Arial" w:hAnsi="Arial"/>
                <w:sz w:val="14"/>
                <w:szCs w:val="14"/>
                <w:color w:val="auto"/>
              </w:rPr>
              <w:t>(7)(13)</w:t>
            </w:r>
          </w:p>
        </w:tc>
        <w:tc>
          <w:tcPr>
            <w:tcW w:w="122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rPr>
              <w:t>1,352,741</w:t>
            </w:r>
          </w:p>
        </w:tc>
        <w:tc>
          <w:tcPr>
            <w:tcW w:w="104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8.3%</w:t>
            </w:r>
          </w:p>
        </w:tc>
        <w:tc>
          <w:tcPr>
            <w:tcW w:w="106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6.6%</w:t>
            </w:r>
          </w:p>
        </w:tc>
        <w:tc>
          <w:tcPr>
            <w:tcW w:w="7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Maha Katabi, Ph.D. </w:t>
            </w:r>
            <w:r>
              <w:rPr>
                <w:rFonts w:ascii="Arial" w:cs="Arial" w:eastAsia="Arial" w:hAnsi="Arial"/>
                <w:sz w:val="14"/>
                <w:szCs w:val="14"/>
                <w:color w:val="auto"/>
              </w:rPr>
              <w:t>(4)</w:t>
            </w:r>
          </w:p>
        </w:tc>
        <w:tc>
          <w:tcPr>
            <w:tcW w:w="1220" w:type="dxa"/>
            <w:vAlign w:val="bottom"/>
            <w:gridSpan w:val="2"/>
          </w:tcPr>
          <w:p>
            <w:pPr>
              <w:jc w:val="right"/>
              <w:ind w:right="400"/>
              <w:spacing w:after="0" w:line="187" w:lineRule="exact"/>
              <w:rPr>
                <w:sz w:val="20"/>
                <w:szCs w:val="20"/>
                <w:color w:val="auto"/>
              </w:rPr>
            </w:pPr>
            <w:r>
              <w:rPr>
                <w:rFonts w:ascii="Arial" w:cs="Arial" w:eastAsia="Arial" w:hAnsi="Arial"/>
                <w:sz w:val="17"/>
                <w:szCs w:val="17"/>
                <w:color w:val="auto"/>
              </w:rPr>
              <w:t>2,187,504</w:t>
            </w:r>
          </w:p>
        </w:tc>
        <w:tc>
          <w:tcPr>
            <w:tcW w:w="104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13.5%</w:t>
            </w:r>
          </w:p>
        </w:tc>
        <w:tc>
          <w:tcPr>
            <w:tcW w:w="106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10.6%</w:t>
            </w:r>
          </w:p>
        </w:tc>
        <w:tc>
          <w:tcPr>
            <w:tcW w:w="7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 xml:space="preserve">Patrick Enright </w:t>
            </w:r>
            <w:r>
              <w:rPr>
                <w:rFonts w:ascii="Arial" w:cs="Arial" w:eastAsia="Arial" w:hAnsi="Arial"/>
                <w:sz w:val="14"/>
                <w:szCs w:val="14"/>
                <w:color w:val="auto"/>
              </w:rPr>
              <w:t>(3)</w:t>
            </w:r>
          </w:p>
        </w:tc>
        <w:tc>
          <w:tcPr>
            <w:tcW w:w="122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rPr>
              <w:t>2,187,504</w:t>
            </w:r>
          </w:p>
        </w:tc>
        <w:tc>
          <w:tcPr>
            <w:tcW w:w="104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13.5%</w:t>
            </w:r>
          </w:p>
        </w:tc>
        <w:tc>
          <w:tcPr>
            <w:tcW w:w="1060" w:type="dxa"/>
            <w:vAlign w:val="bottom"/>
            <w:gridSpan w:val="2"/>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10.6%</w:t>
            </w:r>
          </w:p>
        </w:tc>
        <w:tc>
          <w:tcPr>
            <w:tcW w:w="72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520" w:type="dxa"/>
            <w:vAlign w:val="bottom"/>
            <w:gridSpan w:val="2"/>
          </w:tcPr>
          <w:p>
            <w:pPr>
              <w:spacing w:after="0" w:line="187" w:lineRule="exact"/>
              <w:rPr>
                <w:sz w:val="20"/>
                <w:szCs w:val="20"/>
                <w:color w:val="auto"/>
              </w:rPr>
            </w:pPr>
            <w:r>
              <w:rPr>
                <w:rFonts w:ascii="Arial" w:cs="Arial" w:eastAsia="Arial" w:hAnsi="Arial"/>
                <w:sz w:val="17"/>
                <w:szCs w:val="17"/>
                <w:color w:val="auto"/>
              </w:rPr>
              <w:t xml:space="preserve">Scott Morrison </w:t>
            </w:r>
            <w:r>
              <w:rPr>
                <w:rFonts w:ascii="Arial" w:cs="Arial" w:eastAsia="Arial" w:hAnsi="Arial"/>
                <w:sz w:val="14"/>
                <w:szCs w:val="14"/>
                <w:color w:val="auto"/>
              </w:rPr>
              <w:t>(14)</w:t>
            </w:r>
          </w:p>
        </w:tc>
        <w:tc>
          <w:tcPr>
            <w:tcW w:w="1220" w:type="dxa"/>
            <w:vAlign w:val="bottom"/>
            <w:gridSpan w:val="2"/>
          </w:tcPr>
          <w:p>
            <w:pPr>
              <w:jc w:val="right"/>
              <w:ind w:right="400"/>
              <w:spacing w:after="0" w:line="187" w:lineRule="exact"/>
              <w:rPr>
                <w:sz w:val="20"/>
                <w:szCs w:val="20"/>
                <w:color w:val="auto"/>
              </w:rPr>
            </w:pPr>
            <w:r>
              <w:rPr>
                <w:rFonts w:ascii="Arial" w:cs="Arial" w:eastAsia="Arial" w:hAnsi="Arial"/>
                <w:sz w:val="17"/>
                <w:szCs w:val="17"/>
                <w:color w:val="auto"/>
              </w:rPr>
              <w:t>9,589</w:t>
            </w:r>
          </w:p>
        </w:tc>
        <w:tc>
          <w:tcPr>
            <w:tcW w:w="104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500"/>
              <w:spacing w:after="0" w:line="187"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80"/>
              <w:spacing w:after="0" w:line="187"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500"/>
              <w:spacing w:after="0" w:line="187" w:lineRule="exact"/>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4520" w:type="dxa"/>
            <w:vAlign w:val="bottom"/>
            <w:gridSpan w:val="2"/>
            <w:shd w:val="clear" w:color="auto" w:fill="CCEEFF"/>
          </w:tcPr>
          <w:p>
            <w:pPr>
              <w:spacing w:after="0" w:line="181" w:lineRule="exact"/>
              <w:rPr>
                <w:sz w:val="20"/>
                <w:szCs w:val="20"/>
                <w:color w:val="auto"/>
              </w:rPr>
            </w:pPr>
            <w:r>
              <w:rPr>
                <w:rFonts w:ascii="Arial" w:cs="Arial" w:eastAsia="Arial" w:hAnsi="Arial"/>
                <w:sz w:val="17"/>
                <w:szCs w:val="17"/>
                <w:color w:val="auto"/>
              </w:rPr>
              <w:t>All directors and executive officers as a group</w:t>
            </w: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520" w:type="dxa"/>
            <w:vAlign w:val="bottom"/>
            <w:gridSpan w:val="2"/>
            <w:shd w:val="clear" w:color="auto" w:fill="CCEEFF"/>
          </w:tcPr>
          <w:p>
            <w:pPr>
              <w:ind w:left="260"/>
              <w:spacing w:after="0" w:line="194" w:lineRule="exact"/>
              <w:rPr>
                <w:sz w:val="20"/>
                <w:szCs w:val="20"/>
                <w:color w:val="auto"/>
              </w:rPr>
            </w:pPr>
            <w:r>
              <w:rPr>
                <w:rFonts w:ascii="Arial" w:cs="Arial" w:eastAsia="Arial" w:hAnsi="Arial"/>
                <w:sz w:val="17"/>
                <w:szCs w:val="17"/>
                <w:color w:val="auto"/>
              </w:rPr>
              <w:t xml:space="preserve">(10 persons) </w:t>
            </w:r>
            <w:r>
              <w:rPr>
                <w:rFonts w:ascii="Arial" w:cs="Arial" w:eastAsia="Arial" w:hAnsi="Arial"/>
                <w:sz w:val="14"/>
                <w:szCs w:val="14"/>
                <w:color w:val="auto"/>
              </w:rPr>
              <w:t>(15)</w:t>
            </w:r>
          </w:p>
        </w:tc>
        <w:tc>
          <w:tcPr>
            <w:tcW w:w="1220" w:type="dxa"/>
            <w:vAlign w:val="bottom"/>
            <w:gridSpan w:val="2"/>
            <w:shd w:val="clear" w:color="auto" w:fill="CCEEFF"/>
          </w:tcPr>
          <w:p>
            <w:pPr>
              <w:jc w:val="right"/>
              <w:ind w:right="400"/>
              <w:spacing w:after="0" w:line="194" w:lineRule="exact"/>
              <w:rPr>
                <w:sz w:val="20"/>
                <w:szCs w:val="20"/>
                <w:color w:val="auto"/>
              </w:rPr>
            </w:pPr>
            <w:r>
              <w:rPr>
                <w:rFonts w:ascii="Arial" w:cs="Arial" w:eastAsia="Arial" w:hAnsi="Arial"/>
                <w:sz w:val="17"/>
                <w:szCs w:val="17"/>
                <w:color w:val="auto"/>
              </w:rPr>
              <w:t>8,125,337</w:t>
            </w:r>
          </w:p>
        </w:tc>
        <w:tc>
          <w:tcPr>
            <w:tcW w:w="1040" w:type="dxa"/>
            <w:vAlign w:val="bottom"/>
            <w:gridSpan w:val="2"/>
            <w:shd w:val="clear" w:color="auto" w:fill="CCEEFF"/>
          </w:tcPr>
          <w:p>
            <w:pPr>
              <w:jc w:val="right"/>
              <w:ind w:right="380"/>
              <w:spacing w:after="0" w:line="194"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94" w:lineRule="exact"/>
              <w:rPr>
                <w:sz w:val="20"/>
                <w:szCs w:val="20"/>
                <w:color w:val="auto"/>
              </w:rPr>
            </w:pPr>
            <w:r>
              <w:rPr>
                <w:rFonts w:ascii="Arial" w:cs="Arial" w:eastAsia="Arial" w:hAnsi="Arial"/>
                <w:sz w:val="17"/>
                <w:szCs w:val="17"/>
                <w:color w:val="auto"/>
              </w:rPr>
              <w:t>49.9%</w:t>
            </w:r>
          </w:p>
        </w:tc>
        <w:tc>
          <w:tcPr>
            <w:tcW w:w="1060" w:type="dxa"/>
            <w:vAlign w:val="bottom"/>
            <w:gridSpan w:val="2"/>
            <w:shd w:val="clear" w:color="auto" w:fill="CCEEFF"/>
          </w:tcPr>
          <w:p>
            <w:pPr>
              <w:jc w:val="right"/>
              <w:ind w:right="380"/>
              <w:spacing w:after="0" w:line="194"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94" w:lineRule="exact"/>
              <w:rPr>
                <w:sz w:val="20"/>
                <w:szCs w:val="20"/>
                <w:color w:val="auto"/>
              </w:rPr>
            </w:pPr>
            <w:r>
              <w:rPr>
                <w:rFonts w:ascii="Arial" w:cs="Arial" w:eastAsia="Arial" w:hAnsi="Arial"/>
                <w:sz w:val="17"/>
                <w:szCs w:val="17"/>
                <w:color w:val="auto"/>
              </w:rPr>
              <w:t>39.4%</w:t>
            </w:r>
          </w:p>
        </w:tc>
        <w:tc>
          <w:tcPr>
            <w:tcW w:w="72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297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2" w:lineRule="exact"/>
        <w:rPr>
          <w:sz w:val="20"/>
          <w:szCs w:val="20"/>
          <w:color w:val="auto"/>
        </w:rPr>
      </w:pPr>
    </w:p>
    <w:p>
      <w:pPr>
        <w:ind w:left="600" w:hanging="167"/>
        <w:spacing w:after="0"/>
        <w:tabs>
          <w:tab w:leader="none" w:pos="600" w:val="left"/>
        </w:tabs>
        <w:numPr>
          <w:ilvl w:val="1"/>
          <w:numId w:val="97"/>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39" w:lineRule="exact"/>
        <w:rPr>
          <w:rFonts w:ascii="Arial" w:cs="Arial" w:eastAsia="Arial" w:hAnsi="Arial"/>
          <w:sz w:val="14"/>
          <w:szCs w:val="14"/>
          <w:color w:val="auto"/>
        </w:rPr>
      </w:pPr>
    </w:p>
    <w:p>
      <w:pPr>
        <w:ind w:left="600" w:right="240" w:hanging="299"/>
        <w:spacing w:after="0" w:line="219" w:lineRule="auto"/>
        <w:tabs>
          <w:tab w:leader="none" w:pos="60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Consists of 2,187,504 shares of Class A common stock issuable upon conversion of Series C preferred stock held by Abingworth Bioventures 8, LP (ABV 8). Abingworth Bioventures 8 GP LP (Abingworth GP) serves as the general partner of ABV 8. Abingworth General Partner 8 LLP serves as the general partner of Abingworth GP. ABV 8 (acting by its general partner Abingworth GP, acting by its general partner Abingworth General Partner 8 LLP) has delegated to Abingworth LLP, all investment and dispositive power over the securities held by ABV 8. Mr. Von Emster is a member of the investment committee of Abingworth LLP, which approves investment and voting decisions by a super majority vote, and no individual member has the sole control or voting power over the shares held by ABV 8. Each of ABV 8, Abingworth GP, Abingworth GP 8, and each member of the investment committee disclaims beneficial ownership of the shares held by ABV 8. The address for ABV 8 is Abingworth Bioventures 8 LP c/o Abingworth LLP, 38 Jermyn Street, London, SW1Y 6DN, UK.</w:t>
      </w:r>
    </w:p>
    <w:p>
      <w:pPr>
        <w:spacing w:after="0" w:line="30" w:lineRule="exact"/>
        <w:rPr>
          <w:rFonts w:ascii="Arial" w:cs="Arial" w:eastAsia="Arial" w:hAnsi="Arial"/>
          <w:sz w:val="24"/>
          <w:szCs w:val="24"/>
          <w:color w:val="auto"/>
          <w:vertAlign w:val="superscript"/>
        </w:rPr>
      </w:pPr>
    </w:p>
    <w:p>
      <w:pPr>
        <w:ind w:left="600" w:right="20" w:hanging="299"/>
        <w:spacing w:after="0" w:line="224" w:lineRule="auto"/>
        <w:tabs>
          <w:tab w:leader="none" w:pos="60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Consists of (i) 54,482 shares of Class A common stock issuable upon conversion of Series C preferred stock held by Fidelity Mt. Vernon Street Trust: Fidelity Series Growth Company Fund, (ii) 309,992 shares of Class A common stock issuable upon conversion of Series C preferred stock held by Fidelity Mt. Vernon Street Trust: Fidelity Growth Company Fund, (iii) 311,775 shares of Class A common stock issuable upon conversion of Series C preferred stock held by Fidelity Growth Company Commingled Pool, (iv) 52,917 shares of Class A common stock issuable upon conversion of Series C preferred stock held by Fidelity Mt. Vernon Street Trust: Fidelity Growth Company K6 Fund, (v) 729,168 shares of Class A common stock issuable upon conversion of Series C preferred stock held by Fidelity Select Portfolios: Biotechnology Portfolio, and (vi) 729,168 shares of Class A common stock issuable upon conversion of Series C preferred stock held by Fidelity Advisor Series VII: Fidelity Advisor Biotechnology Fund. These funds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080"/>
          </w:cols>
          <w:pgMar w:left="320" w:top="456"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600" w:right="40"/>
        <w:spacing w:after="0" w:line="241" w:lineRule="auto"/>
        <w:rPr>
          <w:sz w:val="20"/>
          <w:szCs w:val="20"/>
          <w:color w:val="auto"/>
        </w:rPr>
      </w:pPr>
      <w:r>
        <w:rPr>
          <w:rFonts w:ascii="Arial" w:cs="Arial" w:eastAsia="Arial" w:hAnsi="Arial"/>
          <w:sz w:val="14"/>
          <w:szCs w:val="14"/>
          <w:color w:val="auto"/>
        </w:rPr>
        <w:t>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The address of FMR LLC is 245 Summer Street, V13H, Boston, Massachusetts 02110.</w:t>
      </w:r>
    </w:p>
    <w:p>
      <w:pPr>
        <w:spacing w:after="0" w:line="194" w:lineRule="exact"/>
        <w:rPr>
          <w:sz w:val="20"/>
          <w:szCs w:val="20"/>
          <w:color w:val="auto"/>
        </w:rPr>
      </w:pPr>
    </w:p>
    <w:p>
      <w:pPr>
        <w:ind w:left="600" w:right="100" w:hanging="299"/>
        <w:spacing w:after="0" w:line="195" w:lineRule="auto"/>
        <w:tabs>
          <w:tab w:leader="none" w:pos="60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Consists of 2,187,504 shares of Class A common stock issuable upon conversion of Series C preferred stock held by Longitude Venture Partners IV, L.P. (LVP IV). Longitude Capital Partners IV, LLC (LCP IV), is the general partner of LVP IV and may be deemed to have voting and investment power over the shares held by LVP IV. Patrick Enright and Juliet Tammenoms Bakker are managing members of LCP IV and may be deemed to share voting and investment power over the shares held by LVP IV. Each of LCP IV, Ms. Bakker and Mr. Enright disclaims beneficial ownership of such shares except to the extent of their respective pecuniary interests therein. The address for this entity is 2740 Sand Hill Road, 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Floor, Menlo Park, CA 94025.</w:t>
      </w:r>
    </w:p>
    <w:p>
      <w:pPr>
        <w:spacing w:after="0" w:line="1" w:lineRule="exact"/>
        <w:rPr>
          <w:rFonts w:ascii="Arial" w:cs="Arial" w:eastAsia="Arial" w:hAnsi="Arial"/>
          <w:sz w:val="24"/>
          <w:szCs w:val="24"/>
          <w:color w:val="auto"/>
          <w:vertAlign w:val="superscript"/>
        </w:rPr>
      </w:pPr>
    </w:p>
    <w:p>
      <w:pPr>
        <w:ind w:left="600" w:right="140" w:hanging="299"/>
        <w:spacing w:after="0" w:line="206" w:lineRule="auto"/>
        <w:tabs>
          <w:tab w:leader="none" w:pos="60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Consists of 2,187,504 shares of Class A common stock issuable upon conversion of Series C preferred stock held by Sofinnova Venture Partners X, L.P. (SVP X). Sofinnova Management X, L.L.C. (SM X), is the general partner of SVP X. As such, each of James Healy, Maha Katabi and Michael Powell, the managing members of SM X, may be deemed to have shared voting and dispositive power over the shares owned by SVP X. The address for this entity is c/o Sofinnova Investments, 3000 Sand Hill Road, Building 4-Suite 250, Menlo Park, CA 94025.</w:t>
      </w:r>
    </w:p>
    <w:p>
      <w:pPr>
        <w:spacing w:after="0" w:line="30" w:lineRule="exact"/>
        <w:rPr>
          <w:rFonts w:ascii="Arial" w:cs="Arial" w:eastAsia="Arial" w:hAnsi="Arial"/>
          <w:sz w:val="24"/>
          <w:szCs w:val="24"/>
          <w:color w:val="auto"/>
          <w:vertAlign w:val="superscript"/>
        </w:rPr>
      </w:pPr>
    </w:p>
    <w:p>
      <w:pPr>
        <w:ind w:left="600" w:right="120" w:hanging="299"/>
        <w:spacing w:after="0" w:line="182" w:lineRule="auto"/>
        <w:tabs>
          <w:tab w:leader="none" w:pos="60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Consists of 1,913,501 shares of Class A common stock issuable upon conversion of Series C preferred stock held by Ares Trading S.A. The address for this entity is c/o Merck KGaA, Frankfurter Straße 250, 64293 Darmstadt, Germany, Attn: Alliance Management.</w:t>
      </w:r>
    </w:p>
    <w:p>
      <w:pPr>
        <w:spacing w:after="0" w:line="29" w:lineRule="exact"/>
        <w:rPr>
          <w:rFonts w:ascii="Arial" w:cs="Arial" w:eastAsia="Arial" w:hAnsi="Arial"/>
          <w:sz w:val="24"/>
          <w:szCs w:val="24"/>
          <w:color w:val="auto"/>
          <w:vertAlign w:val="superscript"/>
        </w:rPr>
      </w:pPr>
    </w:p>
    <w:p>
      <w:pPr>
        <w:ind w:left="600" w:right="20" w:hanging="299"/>
        <w:spacing w:after="0" w:line="227" w:lineRule="auto"/>
        <w:tabs>
          <w:tab w:leader="none" w:pos="60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Consists of 1,458,336 shares of Class A common stock issuable upon conversion of Series C preferred stock held by Citadel Multi-Strategy Equities Master Fund Ltd. (Citadel). In accordance with the preferred stock purchase agreement between Citadel and the Company and our Fourth Amended and Restated Certificate of Incorporation, the shares of Series C preferred stock owned by Citadel are convertible upon the our initial public offering into a combination of Class A common stock and Class B common stock. The Class A common stock component issued upon the conversion of the Series C preferred stock in connection with our initial public offering cannot exceed 8.49% of the total Class A common stock outstanding (after taking into account any initial public offering allocation to Citadel) with any excess shares issued being issued to Citadel as Class B common stock. The Class B common stock is convertible into Class A common stock in Citadel’s discretion but subject to the limitations described below under “Description of Capital Stock.” Citadel Advisors LLC (Citadel Advisors) is the portfolio manager of Citadel. Citadel Advisors Holdings LP (CAH) is the sole member of Citadel Advisors. Citadel GP LLC (CGP) is the general partner of CAH. Kenneth Griffin owns a controlling interest in CGP. Mr. Griffin, as the owner of a controlling interest in CGP, may be deemed to have shared power to vote or direct the vote of, and/or shared power to dispose or to direct the disposition over, the shares held by Citadel. The foregoing should not be construed as an admission that Mr. Griffin or any of the Citadel related entities is the beneficial owner of any of our securities other than the securities actually owned by such person (if any). The address for this entity is 131 S Dearborn St, 32nd Floor, Chicago, IL 60603.</w:t>
      </w:r>
    </w:p>
    <w:p>
      <w:pPr>
        <w:spacing w:after="0" w:line="29" w:lineRule="exact"/>
        <w:rPr>
          <w:rFonts w:ascii="Arial" w:cs="Arial" w:eastAsia="Arial" w:hAnsi="Arial"/>
          <w:sz w:val="24"/>
          <w:szCs w:val="24"/>
          <w:color w:val="auto"/>
          <w:vertAlign w:val="superscript"/>
        </w:rPr>
      </w:pPr>
    </w:p>
    <w:p>
      <w:pPr>
        <w:ind w:left="600" w:hanging="299"/>
        <w:spacing w:after="0" w:line="219" w:lineRule="auto"/>
        <w:tabs>
          <w:tab w:leader="none" w:pos="60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Consists of (i) 409,620 shares of our Series A preferred stock held by Kleiner Perkins Caufield &amp; Byers XVI, LLC (KPCB XVI) and 14,022 shares held by KPCB XVI Founders Fund, LLC (XVI Founders), (ii) 97,199 shares of our Series B preferred stock held by KPCB XVI and 3,327 shares held by XVI Founders and (iii) 791,876 shares of our Series C Preferred Stock held by KPCB XVI and 27,108 shares held by XVI Founders. All shares are held for convenience in the name of “KPCB Holdings, Inc., as nominee” for the accounts of such individuals and entities. The managing member of KPCB XVI is KPCB XVI Associates, LLC (KPCB XVI Associates). L. John Doerr, Beth Seidenberg, Randy Komisar, Theodore E. Schlein and Wen Hsieh, the managing members of KPCB XVI Associates, exercise shared voting and dispositive control over the shares held by KPCB XVI. The principal business address for all entities and individuals affiliated with Kleiner Perkins Caufield &amp; Byers is c/o Kleiner Perkins Caufield &amp; Byers, LLC, 2750 Sand Hill Road, Menlo Park, CA 94025.</w:t>
      </w:r>
    </w:p>
    <w:p>
      <w:pPr>
        <w:spacing w:after="0" w:line="30" w:lineRule="exact"/>
        <w:rPr>
          <w:rFonts w:ascii="Arial" w:cs="Arial" w:eastAsia="Arial" w:hAnsi="Arial"/>
          <w:sz w:val="24"/>
          <w:szCs w:val="24"/>
          <w:color w:val="auto"/>
          <w:vertAlign w:val="superscript"/>
        </w:rPr>
      </w:pPr>
    </w:p>
    <w:p>
      <w:pPr>
        <w:ind w:left="600" w:right="20" w:hanging="299"/>
        <w:spacing w:after="0"/>
        <w:tabs>
          <w:tab w:leader="none" w:pos="60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Consists of (i) 301,580 shares of Class A common stock issuable upon conversion of Series B convertible preferred stock held by GV 2017, L.P. and (ii) 643,211 shares of Class A common stock issuable upon conversion of Series C preferred stock held by GV 2019, L.P. GV 2017, L.P. is an indirect controlled subsidiary of Alphabet Inc. Alphabet Inc. and certain of its subsidiaries may be deemed to beneficially own the securities held directly by GV 2017, L.P. as a result of this ownership structure. This ownership is described as follows: GV 2017 GP, L.P. (the General Partner of GV 2017, L.P.), GV 2017 GP, L.L.C. (the General Partner of GV 2017 GP, L.P.), Alphabet Holdings LLC (the managing member of GV 2017 GP, L.L.C.), XXVI Holdings Inc. (the managing member of Alphabet Holdings LLC), and Alphabet Inc. (the controlling stockholder of XXVI Holdings Inc.) may each be deemed to have investment power or sole power to vote or dispose of the shares held directly by GV 2017, L.P. GV 2019, L.P. is an indirect controlled subsidiary of Alphabet Inc. Alphabet Inc. and certain of its subsidiaries may be deemed to beneficially own the securities held directly by GV 2019, L.P. as a result of this ownership structure. This ownership is described as follows: GV 2019 GP, L.P. (the General Partner of GV 2019, L.P.), GV 2019 GP, L.L.C. (the General Partner of GV 2019 GP, L.P.), Alphabet Holdings LLC (the managing member of GV 2019 GP, L.L.C.), XXVI Holdings Inc. (the managing member of Alphabet Holdings LLC), and Alphabet Inc. (the controlling stockholder of XXVI Holdings Inc.) may each be deemed to have investment power or sole power to vote or dispose of the shares held directly by GV 2019, L.P. The principal business address of GV 2017, L.P., GV 2017 GP, L.P., GV 2017 GP, L.L.C., GV 2019, L.P., GV 2019 GP, L.P., GV 2019 GP, L.L.C., Alphabet Holdings LLC, XXVI Holdings Inc. and Alphabet Inc. is 1600 Amphitheatre Parkway, Mountain View, CA 94043.</w:t>
      </w:r>
    </w:p>
    <w:p>
      <w:pPr>
        <w:spacing w:after="0" w:line="79" w:lineRule="exact"/>
        <w:rPr>
          <w:rFonts w:ascii="Arial" w:cs="Arial" w:eastAsia="Arial" w:hAnsi="Arial"/>
          <w:sz w:val="24"/>
          <w:szCs w:val="24"/>
          <w:color w:val="auto"/>
          <w:vertAlign w:val="superscript"/>
        </w:rPr>
      </w:pPr>
    </w:p>
    <w:p>
      <w:pPr>
        <w:ind w:left="600" w:right="20" w:hanging="299"/>
        <w:spacing w:after="0" w:line="197" w:lineRule="auto"/>
        <w:tabs>
          <w:tab w:leader="none" w:pos="60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Consists of (i) 99,272 shares of Class A common stock held directly by Dr. Fordyce, (ii) 34,521 shares of unvested restricted Class A common stock subject to repurchase as of March 31, 2021 held by Dr. Fordyce, and (iii) 4,123 shares of Class A common stock subject to options exercisable within 60 days of March 31, 2021 held by Dr. Fordyce (3,607 of which were exercised in April 2021).</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080"/>
          </w:cols>
          <w:pgMar w:left="320" w:top="456"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600" w:right="20" w:hanging="366"/>
        <w:spacing w:after="0" w:line="182" w:lineRule="auto"/>
        <w:tabs>
          <w:tab w:leader="none" w:pos="600" w:val="left"/>
        </w:tabs>
        <w:numPr>
          <w:ilvl w:val="0"/>
          <w:numId w:val="99"/>
        </w:numPr>
        <w:rPr>
          <w:rFonts w:ascii="Arial" w:cs="Arial" w:eastAsia="Arial" w:hAnsi="Arial"/>
          <w:sz w:val="24"/>
          <w:szCs w:val="24"/>
          <w:color w:val="auto"/>
          <w:vertAlign w:val="superscript"/>
        </w:rPr>
      </w:pPr>
      <w:r>
        <w:rPr>
          <w:rFonts w:ascii="Arial" w:cs="Arial" w:eastAsia="Arial" w:hAnsi="Arial"/>
          <w:sz w:val="14"/>
          <w:szCs w:val="14"/>
          <w:color w:val="auto"/>
        </w:rPr>
        <w:t>Consists of (i) 23,733 shares of unvested restricted Class A common stock subject to repurchase as of March 31, 2021 held by Dr. Curley, (ii) 7,551 shares of Class A common stock subject to options exercisable within 60 days of March 31, 2021 held by Dr. Curley.</w:t>
      </w:r>
    </w:p>
    <w:p>
      <w:pPr>
        <w:spacing w:after="0" w:line="29" w:lineRule="exact"/>
        <w:rPr>
          <w:rFonts w:ascii="Arial" w:cs="Arial" w:eastAsia="Arial" w:hAnsi="Arial"/>
          <w:sz w:val="24"/>
          <w:szCs w:val="24"/>
          <w:color w:val="auto"/>
          <w:vertAlign w:val="superscript"/>
        </w:rPr>
      </w:pPr>
    </w:p>
    <w:p>
      <w:pPr>
        <w:ind w:left="600" w:right="80" w:hanging="366"/>
        <w:spacing w:after="0" w:line="182" w:lineRule="auto"/>
        <w:tabs>
          <w:tab w:leader="none" w:pos="600" w:val="left"/>
        </w:tabs>
        <w:numPr>
          <w:ilvl w:val="0"/>
          <w:numId w:val="99"/>
        </w:numPr>
        <w:rPr>
          <w:rFonts w:ascii="Arial" w:cs="Arial" w:eastAsia="Arial" w:hAnsi="Arial"/>
          <w:sz w:val="24"/>
          <w:szCs w:val="24"/>
          <w:color w:val="auto"/>
          <w:vertAlign w:val="superscript"/>
        </w:rPr>
      </w:pPr>
      <w:r>
        <w:rPr>
          <w:rFonts w:ascii="Arial" w:cs="Arial" w:eastAsia="Arial" w:hAnsi="Arial"/>
          <w:sz w:val="14"/>
          <w:szCs w:val="14"/>
          <w:color w:val="auto"/>
        </w:rPr>
        <w:t>Consists of (i) 23,687 shares of Class A common stock held directly by Dr. Ebens, (ii) 2,133 shares of Class A common stock subject to options exercisable within 60 days of March 31, 2021 held by Dr. Ebens. Dr. Ebens’ employment was terminated as our Chief Scientific Officer effective October 2020.</w:t>
      </w:r>
    </w:p>
    <w:p>
      <w:pPr>
        <w:spacing w:after="0" w:line="29" w:lineRule="exact"/>
        <w:rPr>
          <w:rFonts w:ascii="Arial" w:cs="Arial" w:eastAsia="Arial" w:hAnsi="Arial"/>
          <w:sz w:val="24"/>
          <w:szCs w:val="24"/>
          <w:color w:val="auto"/>
          <w:vertAlign w:val="superscript"/>
        </w:rPr>
      </w:pPr>
    </w:p>
    <w:p>
      <w:pPr>
        <w:ind w:left="600" w:hanging="366"/>
        <w:spacing w:after="0" w:line="182" w:lineRule="auto"/>
        <w:tabs>
          <w:tab w:leader="none" w:pos="600" w:val="left"/>
        </w:tabs>
        <w:numPr>
          <w:ilvl w:val="0"/>
          <w:numId w:val="99"/>
        </w:numPr>
        <w:rPr>
          <w:rFonts w:ascii="Arial" w:cs="Arial" w:eastAsia="Arial" w:hAnsi="Arial"/>
          <w:sz w:val="24"/>
          <w:szCs w:val="24"/>
          <w:color w:val="auto"/>
          <w:vertAlign w:val="superscript"/>
        </w:rPr>
      </w:pPr>
      <w:r>
        <w:rPr>
          <w:rFonts w:ascii="Arial" w:cs="Arial" w:eastAsia="Arial" w:hAnsi="Arial"/>
          <w:sz w:val="14"/>
          <w:szCs w:val="14"/>
          <w:color w:val="auto"/>
        </w:rPr>
        <w:t>Consists of (i) 17,488 shares of Class A common stock issuable upon conversion of Series C preferred stock held by Dr. Cheng, as trustee of the Andrew Cheng 2010 Trust UA 10-26-2010 and (ii) 13,807 shares of Class A common stock subject to options exercisable within 60 days of March 31, 2021 held by Dr. Cheng.</w:t>
      </w:r>
    </w:p>
    <w:p>
      <w:pPr>
        <w:ind w:left="600" w:hanging="366"/>
        <w:spacing w:after="0" w:line="182" w:lineRule="auto"/>
        <w:tabs>
          <w:tab w:leader="none" w:pos="600" w:val="left"/>
        </w:tabs>
        <w:numPr>
          <w:ilvl w:val="0"/>
          <w:numId w:val="99"/>
        </w:numPr>
        <w:rPr>
          <w:rFonts w:ascii="Arial" w:cs="Arial" w:eastAsia="Arial" w:hAnsi="Arial"/>
          <w:sz w:val="23"/>
          <w:szCs w:val="23"/>
          <w:color w:val="auto"/>
          <w:vertAlign w:val="superscript"/>
        </w:rPr>
      </w:pPr>
      <w:r>
        <w:rPr>
          <w:rFonts w:ascii="Arial" w:cs="Arial" w:eastAsia="Arial" w:hAnsi="Arial"/>
          <w:sz w:val="14"/>
          <w:szCs w:val="14"/>
          <w:color w:val="auto"/>
        </w:rPr>
        <w:t>Consists of 9,589 shares of Class A common stock subject to options exercisable within 60 days of March 31, 2021 held by Dr. Seidenberg.</w:t>
      </w:r>
    </w:p>
    <w:p>
      <w:pPr>
        <w:spacing w:after="0" w:line="29" w:lineRule="exact"/>
        <w:rPr>
          <w:rFonts w:ascii="Arial" w:cs="Arial" w:eastAsia="Arial" w:hAnsi="Arial"/>
          <w:sz w:val="23"/>
          <w:szCs w:val="23"/>
          <w:color w:val="auto"/>
          <w:vertAlign w:val="superscript"/>
        </w:rPr>
      </w:pPr>
    </w:p>
    <w:p>
      <w:pPr>
        <w:ind w:left="600" w:hanging="366"/>
        <w:spacing w:after="0" w:line="187" w:lineRule="auto"/>
        <w:tabs>
          <w:tab w:leader="none" w:pos="600" w:val="left"/>
        </w:tabs>
        <w:numPr>
          <w:ilvl w:val="0"/>
          <w:numId w:val="99"/>
        </w:numPr>
        <w:rPr>
          <w:rFonts w:ascii="Arial" w:cs="Arial" w:eastAsia="Arial" w:hAnsi="Arial"/>
          <w:sz w:val="19"/>
          <w:szCs w:val="19"/>
          <w:color w:val="auto"/>
          <w:vertAlign w:val="superscript"/>
        </w:rPr>
      </w:pPr>
      <w:r>
        <w:rPr>
          <w:rFonts w:ascii="Arial" w:cs="Arial" w:eastAsia="Arial" w:hAnsi="Arial"/>
          <w:sz w:val="12"/>
          <w:szCs w:val="12"/>
          <w:color w:val="auto"/>
        </w:rPr>
        <w:t>Consists of 9,589 shares of common stock subject to options exercisable within 60 days of March 31, 2021 held by Mr. Morrison.</w:t>
      </w:r>
    </w:p>
    <w:p>
      <w:pPr>
        <w:spacing w:after="0" w:line="30" w:lineRule="exact"/>
        <w:rPr>
          <w:rFonts w:ascii="Arial" w:cs="Arial" w:eastAsia="Arial" w:hAnsi="Arial"/>
          <w:sz w:val="19"/>
          <w:szCs w:val="19"/>
          <w:color w:val="auto"/>
          <w:vertAlign w:val="superscript"/>
        </w:rPr>
      </w:pPr>
    </w:p>
    <w:p>
      <w:pPr>
        <w:ind w:left="600" w:right="540" w:hanging="366"/>
        <w:spacing w:after="0" w:line="182" w:lineRule="auto"/>
        <w:tabs>
          <w:tab w:leader="none" w:pos="600" w:val="left"/>
        </w:tabs>
        <w:numPr>
          <w:ilvl w:val="0"/>
          <w:numId w:val="99"/>
        </w:numPr>
        <w:rPr>
          <w:rFonts w:ascii="Arial" w:cs="Arial" w:eastAsia="Arial" w:hAnsi="Arial"/>
          <w:sz w:val="24"/>
          <w:szCs w:val="24"/>
          <w:color w:val="auto"/>
          <w:vertAlign w:val="superscript"/>
        </w:rPr>
      </w:pPr>
      <w:r>
        <w:rPr>
          <w:rFonts w:ascii="Arial" w:cs="Arial" w:eastAsia="Arial" w:hAnsi="Arial"/>
          <w:sz w:val="14"/>
          <w:szCs w:val="14"/>
          <w:color w:val="auto"/>
        </w:rPr>
        <w:t>Consists of (i) 8,080,678 shares of Class A common stock beneficially owned by our current executive officers and directors, and (ii) 44,659 shares of Class A common stock subject to options exercisable within 60 days of March 31, 2021.</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060"/>
          </w:cols>
          <w:pgMar w:left="320" w:top="456" w:right="5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CAPITAL STOCK</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w:t>
      </w:r>
    </w:p>
    <w:p>
      <w:pPr>
        <w:spacing w:after="0" w:line="91"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which will become effective immediately after the closing of this offering, and the amended and restated bylaws, which will become effective upon the closing of this offering. Copies of these documents have been filed with the SEC as exhibits to our registration statement, of which this prospectus forms a part. The descriptions of the common stock and preferred stock reflect changes to our capital structure that will be in effect upon the closing of this offering.</w:t>
      </w:r>
    </w:p>
    <w:p>
      <w:pPr>
        <w:spacing w:after="0" w:line="145"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Upon filing of our amended and restated certificate of incorporation and the closing of this offering, our authorized capital stock will consist of 500,000,000 shares of Class A common stock, par value $0.001 per share, 14,600,000 shares of Class B common stock, par value $0.001 per share, and 10,000,000 shares of preferred stock, par value $0.001 per share. All of our authorized shares of preferred stock will be undesignated.</w:t>
      </w:r>
    </w:p>
    <w:p>
      <w:pPr>
        <w:spacing w:after="0" w:line="133" w:lineRule="exact"/>
        <w:rPr>
          <w:sz w:val="20"/>
          <w:szCs w:val="20"/>
          <w:color w:val="auto"/>
        </w:rPr>
      </w:pPr>
    </w:p>
    <w:p>
      <w:pPr>
        <w:ind w:left="160" w:right="140"/>
        <w:spacing w:after="0" w:line="233" w:lineRule="auto"/>
        <w:rPr>
          <w:sz w:val="20"/>
          <w:szCs w:val="20"/>
          <w:color w:val="auto"/>
        </w:rPr>
      </w:pPr>
      <w:r>
        <w:rPr>
          <w:rFonts w:ascii="Arial" w:cs="Arial" w:eastAsia="Arial" w:hAnsi="Arial"/>
          <w:sz w:val="17"/>
          <w:szCs w:val="17"/>
          <w:color w:val="auto"/>
        </w:rPr>
        <w:t>As of December 31, 2020, after giving effect to the automatic conversion of all outstanding shares of our redeemable convertible preferred stock into 15,774,014 shares of our Class A common stock in connection with the closing of this offering and including 41,363 shares of our unvested restricted Class A common stock subject to repurchase as of such date, there were 16,129,310 shares of Class A common stock outstanding (which includes no shares of Class B common stock convertible into Class A common stock as described below) and held of record by 63 stockholders.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Common Stock</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Voting Rights and Conversion Rights</w:t>
      </w:r>
    </w:p>
    <w:p>
      <w:pPr>
        <w:spacing w:after="0" w:line="52"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The holders of our Class A common stock are entitled to one vote per share of Class A common stock on any matter that is submitted to a vote of our stockholders and holders of our Class B common stock are not entitled to any votes per share of Class B common stock, including for the election of directors. Additionally, holders of our Class A common stock have no conversion rights, while holders of our Class B common stock shall have the right to convert each share of our Class B common stock into one share of Class A common stock at such holder’s election, provided that as a result of such conversion, such holder would not beneficially own in excess of 9.9% of any class of our securities registered under the Exchange Act, unless otherwise as expressly provided for in our amended and restated certificate of incorporation. However, this ownership limitation may be increased to any other percentage designated by such holder of Class B common stock upon 61 days’ notice to us or decreased at any time. Holders of our Class B common stock are also permitted to make certain transfers of Class B common stock to non-affiliates upon which, such transferred shares could be immediately converted into shares of our Class A common stock.</w:t>
      </w:r>
    </w:p>
    <w:p>
      <w:pPr>
        <w:spacing w:after="0" w:line="145"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Our amended and restated certificate of incorporation does not provide for cumulative voting for the election of directors for our Class A common stock.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our stockholders holding shares of Class A common stock, with the directors in the other classes continuing for the remainder of their respective three-year terms. The affirmative vote of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structure of our board of directors, the size of our board of directors, removal of directors, director liability, vacancies on our board of directors, special meetings, stockholder notices, actions by written consent and exclusive jurisdiction.</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Economic Rights</w:t>
      </w:r>
    </w:p>
    <w:p>
      <w:pPr>
        <w:spacing w:after="0" w:line="52" w:lineRule="exact"/>
        <w:rPr>
          <w:sz w:val="20"/>
          <w:szCs w:val="20"/>
          <w:color w:val="auto"/>
        </w:rPr>
      </w:pPr>
    </w:p>
    <w:p>
      <w:pPr>
        <w:ind w:left="160" w:right="60"/>
        <w:spacing w:after="0" w:line="236" w:lineRule="auto"/>
        <w:rPr>
          <w:sz w:val="20"/>
          <w:szCs w:val="20"/>
          <w:color w:val="auto"/>
        </w:rPr>
      </w:pPr>
      <w:r>
        <w:rPr>
          <w:rFonts w:ascii="Arial" w:cs="Arial" w:eastAsia="Arial" w:hAnsi="Arial"/>
          <w:sz w:val="17"/>
          <w:szCs w:val="17"/>
          <w:color w:val="auto"/>
        </w:rPr>
        <w:t>Except as otherwise expressly provided in our amended and restated certificate of incorporation or required by applicable law, and other than the voting rights and conversion rights stated above, all shares of Class A common stock and Class B common stock will have the same rights and privileges and rank equally, share ratably, and be identical in all respects for all matters, including those described below.</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060"/>
          </w:cols>
          <w:pgMar w:left="320" w:top="456" w:right="5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160" w:right="300"/>
        <w:spacing w:after="0"/>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Subject to preferences that may apply to any shares of preferred stock outstanding at the time, the holders of our Class A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and Class B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further information.</w:t>
      </w:r>
    </w:p>
    <w:p>
      <w:pPr>
        <w:spacing w:after="0" w:line="128" w:lineRule="exact"/>
        <w:rPr>
          <w:sz w:val="20"/>
          <w:szCs w:val="20"/>
          <w:color w:val="auto"/>
        </w:rPr>
      </w:pPr>
    </w:p>
    <w:p>
      <w:pPr>
        <w:jc w:val="both"/>
        <w:ind w:left="160" w:right="20"/>
        <w:spacing w:after="0"/>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On our liquidation, dissolution, or winding-up, the holders of Class A common stock and Class B common stock will be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No Preemptive or Similar Rights</w:t>
      </w:r>
    </w:p>
    <w:p>
      <w:pPr>
        <w:spacing w:after="0" w:line="39" w:lineRule="exact"/>
        <w:rPr>
          <w:sz w:val="20"/>
          <w:szCs w:val="20"/>
          <w:color w:val="auto"/>
        </w:rPr>
      </w:pPr>
    </w:p>
    <w:p>
      <w:pPr>
        <w:ind w:left="160" w:right="500"/>
        <w:spacing w:after="0" w:line="239" w:lineRule="auto"/>
        <w:rPr>
          <w:sz w:val="20"/>
          <w:szCs w:val="20"/>
          <w:color w:val="auto"/>
        </w:rPr>
      </w:pPr>
      <w:r>
        <w:rPr>
          <w:rFonts w:ascii="Arial" w:cs="Arial" w:eastAsia="Arial" w:hAnsi="Arial"/>
          <w:sz w:val="17"/>
          <w:szCs w:val="17"/>
          <w:color w:val="auto"/>
        </w:rPr>
        <w:t>The holders of our shares of Class A common stock and Class B common stock are not entitled to preemptive rights, and are not subject to redemption or sinking fund provisions.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39" w:lineRule="exact"/>
        <w:rPr>
          <w:sz w:val="20"/>
          <w:szCs w:val="20"/>
          <w:color w:val="auto"/>
        </w:rPr>
      </w:pPr>
    </w:p>
    <w:p>
      <w:pPr>
        <w:ind w:left="160" w:right="240"/>
        <w:spacing w:after="0" w:line="239" w:lineRule="auto"/>
        <w:rPr>
          <w:sz w:val="20"/>
          <w:szCs w:val="20"/>
          <w:color w:val="auto"/>
        </w:rPr>
      </w:pPr>
      <w:r>
        <w:rPr>
          <w:rFonts w:ascii="Arial" w:cs="Arial" w:eastAsia="Arial" w:hAnsi="Arial"/>
          <w:sz w:val="17"/>
          <w:szCs w:val="17"/>
          <w:color w:val="auto"/>
        </w:rPr>
        <w:t>In connection with this offering, our legal counsel will opine that the shares of our Class A common stock to be issued under this offering will be fully paid and non-assessable.</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Preferred Stock</w:t>
      </w:r>
    </w:p>
    <w:p>
      <w:pPr>
        <w:spacing w:after="0" w:line="91"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Upon the closing of this offering, all of our currently outstanding shares of redeemable convertible preferred stock will convert into Class A common stock and we will not have any redeemable convertible preferred stock outstanding. Immediately after the closing of this offering, our certificate of incorporation will be amended and restated to delete all references to such shares of redeemable convertible preferred stock. Under the amended and restated certificate of incorporation, our board of directors will have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47" w:lineRule="exact"/>
        <w:rPr>
          <w:sz w:val="20"/>
          <w:szCs w:val="20"/>
          <w:color w:val="auto"/>
        </w:rPr>
      </w:pPr>
    </w:p>
    <w:p>
      <w:pPr>
        <w:jc w:val="both"/>
        <w:ind w:left="160" w:right="40"/>
        <w:spacing w:after="0" w:line="233"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the Class A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Class A common stock and may adversely affect the market price of the Class A common stock and the voting and other rights of the holders of Class A common stock. We have no current plans to issue any shares of preferred stock.</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 Options</w:t>
      </w:r>
    </w:p>
    <w:p>
      <w:pPr>
        <w:spacing w:after="0" w:line="77"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color w:val="auto"/>
        </w:rPr>
        <w:t>As of December 31, 2020, 1,855,507 shares of Class A common stock were issuable upon the exercise of outstanding stock options, at a weighted-average exercise price of $2.99 per share. For additional information regarding terms of our equity incentive plans, see the section titled “Executive Compensation—Equity Benefit Plans.”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77"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Upon the closing of this offering and subject to the lock-up agreements entered into in connection with this offering and federal securities laws, certain holders of shares of our Class A common stock and Class B common stock, including those shares of our Class A common stock and Class B common stock that will be issued upon the conversion of our redeemable convertible preferred stock in connection with this offering, will initially be entitled to certain rights with respect to registration of such shares under the Securities Act. These shares are referred to as registrable securities. The holders of these registrable securities possess registration rights pursuant to the terms of our amended and restated investors’ rights agreement and are described in additional detail below. The registration of shares of our Class A common stock and Class B common stock pursuant to the exercise of the registration rights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1080"/>
          </w:cols>
          <w:pgMar w:left="320" w:top="456"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100"/>
        <w:spacing w:after="0" w:line="236" w:lineRule="auto"/>
        <w:rPr>
          <w:sz w:val="20"/>
          <w:szCs w:val="20"/>
          <w:color w:val="auto"/>
        </w:rPr>
      </w:pPr>
      <w:r>
        <w:rPr>
          <w:rFonts w:ascii="Arial" w:cs="Arial" w:eastAsia="Arial" w:hAnsi="Arial"/>
          <w:sz w:val="17"/>
          <w:szCs w:val="17"/>
          <w:color w:val="auto"/>
        </w:rPr>
        <w:t>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w:t>
      </w:r>
    </w:p>
    <w:p>
      <w:pPr>
        <w:spacing w:after="0" w:line="146" w:lineRule="exact"/>
        <w:rPr>
          <w:sz w:val="20"/>
          <w:szCs w:val="20"/>
          <w:color w:val="auto"/>
        </w:rPr>
      </w:pPr>
    </w:p>
    <w:p>
      <w:pPr>
        <w:jc w:val="both"/>
        <w:ind w:left="160" w:right="240"/>
        <w:spacing w:after="0" w:line="236" w:lineRule="auto"/>
        <w:rPr>
          <w:sz w:val="20"/>
          <w:szCs w:val="20"/>
          <w:color w:val="auto"/>
        </w:rPr>
      </w:pPr>
      <w:r>
        <w:rPr>
          <w:rFonts w:ascii="Arial" w:cs="Arial" w:eastAsia="Arial" w:hAnsi="Arial"/>
          <w:sz w:val="17"/>
          <w:szCs w:val="17"/>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three years after the closing of this offering.</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39" w:lineRule="exact"/>
        <w:rPr>
          <w:sz w:val="20"/>
          <w:szCs w:val="20"/>
          <w:color w:val="auto"/>
        </w:rPr>
      </w:pPr>
    </w:p>
    <w:p>
      <w:pPr>
        <w:ind w:left="160" w:right="80"/>
        <w:spacing w:after="0" w:line="232" w:lineRule="auto"/>
        <w:rPr>
          <w:sz w:val="20"/>
          <w:szCs w:val="20"/>
          <w:color w:val="auto"/>
        </w:rPr>
      </w:pPr>
      <w:r>
        <w:rPr>
          <w:rFonts w:ascii="Arial" w:cs="Arial" w:eastAsia="Arial" w:hAnsi="Arial"/>
          <w:sz w:val="17"/>
          <w:szCs w:val="17"/>
          <w:color w:val="auto"/>
        </w:rPr>
        <w:t>Upon the closing of this offering, holders of an aggregate of 15,774,014 shares of our Class A common stock and Class B common stock will be entitled to certain demand registration rights. At any time beginning 180 days after the closing of this offering, the holders of (i) 40% of these shares issued upon conversion of our Series C redeemable convertible preferred stock, or (ii) a majority of these shares, may request that we register all or a portion of their shares. We are not required to effect more than two registration statements which are declared or ordered effective. With respect to (ii), such request for registration must cover a majority of such shares then outstanding with an anticipated aggregate offering price that would exceed $10 million. With certain exceptions, we are not required to effect the filing of a registration statement during the period starting with the date of the filing of, and ending on a date 180 days following the effective date of the registration statement for this offering.</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39"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In connection with this offering, the holders of an aggregate of 15,774,014 shares of our Class A common stock and Class B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39"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Upon the closing of this offering, holders of an aggregate of 15,774,014 shares of Class A common stock and Class B common stock will be entitled to certain Form S-3 registration rights. Holders of (i) shares issued upon conversion of our Series C redeemable convertible preferred stock with an aggregate original issue price of $500,000, or (ii) 20% of these shares, can make a request that we register their shares on Form S-3 if we are qualified to file a registration statement on Form S-3 and, with respect to (ii), if the reasonably anticipated aggregate net proceeds of the shares offered would equal or exceed $3 million. With respect to (ii), we will not be required to effect more than two registrations on Form S-3 within any 12-month period.</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Anti-Takeover Provisions</w:t>
      </w:r>
    </w:p>
    <w:p>
      <w:pPr>
        <w:spacing w:after="0" w:line="39" w:lineRule="exact"/>
        <w:rPr>
          <w:sz w:val="20"/>
          <w:szCs w:val="20"/>
          <w:color w:val="auto"/>
        </w:rPr>
      </w:pPr>
    </w:p>
    <w:p>
      <w:pPr>
        <w:ind w:left="160" w:right="220"/>
        <w:spacing w:after="0" w:line="233" w:lineRule="auto"/>
        <w:rPr>
          <w:sz w:val="20"/>
          <w:szCs w:val="20"/>
          <w:color w:val="auto"/>
        </w:rPr>
      </w:pPr>
      <w:r>
        <w:rPr>
          <w:rFonts w:ascii="Arial" w:cs="Arial" w:eastAsia="Arial" w:hAnsi="Arial"/>
          <w:sz w:val="17"/>
          <w:szCs w:val="17"/>
          <w:color w:val="auto"/>
        </w:rPr>
        <w:t>The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Certificate of Incorporation and Bylaws to be in Effect in connection with this Offering</w:t>
      </w:r>
    </w:p>
    <w:p>
      <w:pPr>
        <w:spacing w:after="0" w:line="39"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Because our stockholders do not have cumulative voting rights, stockholders holding a majority of the voting power of our shares of Class A common stock will be able to elect all of our directors. Our amended and restated certificate of incorporation, to be effective immediately after the closing of this offering, and our amended and restated bylaws, to be effective upon the closing of this offering, will provide for stockholder actions at a duly called meeting of stockholders or, before the date on which all shares of Class A common stock convert into a single class, by written consent. A special meeting of stockholders may be called by a majority of our board of directors, the chair of our board of directors, or our chief executive officer or president. Our amended and restated bylaws will establish an advance notice procedure for stockholder proposals to be brought before an annual meeting of our stockholders, including proposed nominations of persons for election to our board of directors.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1020"/>
          </w:cols>
          <w:pgMar w:left="320" w:top="456" w:right="5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As described above in “Management—Composition of Our Board of Directors,” in accordance with our amended and restated certificate of incorporation to be filed in connection with this offering, immediately after this offering, our board of directors will be divided into three classes with staggered three-year terms.</w:t>
      </w:r>
    </w:p>
    <w:p>
      <w:pPr>
        <w:spacing w:after="0" w:line="146" w:lineRule="exact"/>
        <w:rPr>
          <w:sz w:val="20"/>
          <w:szCs w:val="20"/>
          <w:color w:val="auto"/>
        </w:rPr>
      </w:pPr>
    </w:p>
    <w:p>
      <w:pPr>
        <w:jc w:val="both"/>
        <w:ind w:left="160" w:right="20"/>
        <w:spacing w:after="0" w:line="234" w:lineRule="auto"/>
        <w:rPr>
          <w:sz w:val="20"/>
          <w:szCs w:val="20"/>
          <w:color w:val="auto"/>
        </w:rPr>
      </w:pPr>
      <w:r>
        <w:rPr>
          <w:rFonts w:ascii="Arial" w:cs="Arial" w:eastAsia="Arial" w:hAnsi="Arial"/>
          <w:sz w:val="17"/>
          <w:szCs w:val="17"/>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47" w:lineRule="exact"/>
        <w:rPr>
          <w:sz w:val="20"/>
          <w:szCs w:val="20"/>
          <w:color w:val="auto"/>
        </w:rPr>
      </w:pPr>
    </w:p>
    <w:p>
      <w:pPr>
        <w:ind w:left="160" w:right="220"/>
        <w:spacing w:after="0" w:line="234" w:lineRule="auto"/>
        <w:rPr>
          <w:sz w:val="20"/>
          <w:szCs w:val="20"/>
          <w:color w:val="auto"/>
        </w:rPr>
      </w:pPr>
      <w:r>
        <w:rPr>
          <w:rFonts w:ascii="Arial" w:cs="Arial" w:eastAsia="Arial" w:hAnsi="Arial"/>
          <w:sz w:val="17"/>
          <w:szCs w:val="17"/>
          <w:color w:val="auto"/>
        </w:rPr>
        <w:t>These provisions are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39"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When we have a class of voting stock that is either listed on a national securities exchange or held of record by more than 2,000 stockholders, we will be subject to Section 203 of the Delaware General Corporation Law (DGCL),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Choice of Forum</w:t>
      </w:r>
    </w:p>
    <w:p>
      <w:pPr>
        <w:spacing w:after="0" w:line="39"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Our amended and restated certificate of incorporation to be effective immediately after the closing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is the sole and exclusive forum for the following claims or causes of action under the Delaware statutory or common law: (i) any derivative claim or cause of action brought on our behalf; (ii) any claim or cause of action for a breach of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DGCL, our amended and restated certificate of incorporation, or our bylaws (as each may be amended from time to time); (iv) any claim or cause of action seeking to interpret, apply, enforce or determine the validity of our amended and restated certificate of incorporation or our amended and restated bylaws (as each may be amended from time to time, including any right, obligation, or remedy thereunder); (v) any claim or cause of action as to which the DGCL confers jurisdiction to the Court of Chancery of the State of Delaware; and (vi) any claim or cause of action against us or any of our current or former directors, officers, or other employees governed by the internal-affairs doctrine, in all cases to the fullest extent permitted by law and subject to the court’s having personal jurisdiction over the indispensable parties named as defendants. This choice of forum provision would not apply to claims or causes of action brought to enforce a duty or liability created by the Securities Act, the Exchange Act or any other claim for which the federal courts have exclusive jurisdiction, or the Securities Act.</w:t>
      </w:r>
    </w:p>
    <w:p>
      <w:pPr>
        <w:spacing w:after="0" w:line="147"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Our amended and restated certificate of incorporation to be effective upon the closing of this offering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Additionally, our amended and restated certificate of incorporation to be effective immediately after the closing of this offering will provide that any person or entity holding, owning or otherwise acquiring any interest in any of our securities shall be deemed to have notice of and consented to these provisions.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1060"/>
          </w:cols>
          <w:pgMar w:left="320" w:top="456" w:right="5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See the section titled “Executive Compensation—Limitations on Liability and Indemnification.”</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Exchange Listing</w:t>
      </w:r>
    </w:p>
    <w:p>
      <w:pPr>
        <w:spacing w:after="0" w:line="77" w:lineRule="exact"/>
        <w:rPr>
          <w:sz w:val="20"/>
          <w:szCs w:val="20"/>
          <w:color w:val="auto"/>
        </w:rPr>
      </w:pPr>
    </w:p>
    <w:p>
      <w:pPr>
        <w:ind w:left="160" w:right="120"/>
        <w:spacing w:after="0" w:line="239" w:lineRule="auto"/>
        <w:rPr>
          <w:sz w:val="20"/>
          <w:szCs w:val="20"/>
          <w:color w:val="auto"/>
        </w:rPr>
      </w:pPr>
      <w:r>
        <w:rPr>
          <w:rFonts w:ascii="Arial" w:cs="Arial" w:eastAsia="Arial" w:hAnsi="Arial"/>
          <w:sz w:val="17"/>
          <w:szCs w:val="17"/>
          <w:color w:val="auto"/>
        </w:rPr>
        <w:t>Our Class A common stock is currently not listed on any securities exchange. We have applied to list our Class A common stock on The Nasdaq Global Market under the symbol “VERA.” We do not intend to list the Class B common stock on any securities exchange.</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Transfer Agent and Registrar</w:t>
      </w:r>
    </w:p>
    <w:p>
      <w:pPr>
        <w:spacing w:after="0" w:line="77" w:lineRule="exact"/>
        <w:rPr>
          <w:sz w:val="20"/>
          <w:szCs w:val="20"/>
          <w:color w:val="auto"/>
        </w:rPr>
      </w:pPr>
    </w:p>
    <w:p>
      <w:pPr>
        <w:ind w:left="160"/>
        <w:spacing w:after="0" w:line="239" w:lineRule="auto"/>
        <w:rPr>
          <w:sz w:val="20"/>
          <w:szCs w:val="20"/>
          <w:color w:val="auto"/>
        </w:rPr>
      </w:pPr>
      <w:r>
        <w:rPr>
          <w:rFonts w:ascii="Arial" w:cs="Arial" w:eastAsia="Arial" w:hAnsi="Arial"/>
          <w:sz w:val="17"/>
          <w:szCs w:val="17"/>
          <w:color w:val="auto"/>
        </w:rPr>
        <w:t>Upon the closing of this offering, the transfer agent and registrar for our Class A common stock will be American Stock Transfer &amp; Trust Company, LLC. The transfer agent’s address is 6201 15th Avenue, Brooklyn, New York 11219.</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SHARES ELIGIBLE FOR FUTURE SALE</w:t>
      </w:r>
    </w:p>
    <w:p>
      <w:pPr>
        <w:spacing w:after="0" w:line="331" w:lineRule="exact"/>
        <w:rPr>
          <w:sz w:val="20"/>
          <w:szCs w:val="20"/>
          <w:color w:val="auto"/>
        </w:rPr>
      </w:pPr>
    </w:p>
    <w:p>
      <w:pPr>
        <w:ind w:left="160" w:right="140"/>
        <w:spacing w:after="0" w:line="234" w:lineRule="auto"/>
        <w:rPr>
          <w:sz w:val="20"/>
          <w:szCs w:val="20"/>
          <w:color w:val="auto"/>
        </w:rPr>
      </w:pPr>
      <w:r>
        <w:rPr>
          <w:rFonts w:ascii="Arial" w:cs="Arial" w:eastAsia="Arial" w:hAnsi="Arial"/>
          <w:sz w:val="17"/>
          <w:szCs w:val="17"/>
          <w:color w:val="auto"/>
        </w:rPr>
        <w:t>Before the closing of this offering, there has been no public market for our Class A common stock. Future sales of substantial amounts of our Class A common stock or Class B common stock, including shares issued on the exercise of outstanding options, in the public market after this offering, or the possibility of these sales or issuances occurring, could adversely affect the prevailing market price for our Class A common stock or impair our ability to raise equity capital.</w:t>
      </w:r>
    </w:p>
    <w:p>
      <w:pPr>
        <w:spacing w:after="0" w:line="147" w:lineRule="exact"/>
        <w:rPr>
          <w:sz w:val="20"/>
          <w:szCs w:val="20"/>
          <w:color w:val="auto"/>
        </w:rPr>
      </w:pPr>
    </w:p>
    <w:p>
      <w:pPr>
        <w:ind w:left="160" w:right="80"/>
        <w:spacing w:after="0" w:line="232" w:lineRule="auto"/>
        <w:rPr>
          <w:sz w:val="20"/>
          <w:szCs w:val="20"/>
          <w:color w:val="auto"/>
        </w:rPr>
      </w:pPr>
      <w:r>
        <w:rPr>
          <w:rFonts w:ascii="Arial" w:cs="Arial" w:eastAsia="Arial" w:hAnsi="Arial"/>
          <w:sz w:val="17"/>
          <w:szCs w:val="17"/>
          <w:color w:val="auto"/>
        </w:rPr>
        <w:t>Based on our shares outstanding as of December 31, 2020, upon the closing of this offering, a total of 20,479,310 shares and no shares of Class A common stock or Class B common stock, respectively, will be outstanding, assuming the automatic conversion of all outstanding shares of our redeemable convertible preferred stock into 15,774,014 shares of our Class A common stock in connection with the closing of this offering and 41,363 shares of unvested restricted Class A common stock subject to repurchase. Of these shares, all of the Class A common stock sold in this offering by us, plus any shares sold by us on exercise of the underwriters’ option to purchase additional Class A common stock, will be freely tradable in the public market without restriction or further registration under the Securities Act, unless these shares are held by “affiliates,” as that term is defined in Rule 144 under the Securities Act (Rule 144).</w:t>
      </w:r>
    </w:p>
    <w:p>
      <w:pPr>
        <w:spacing w:after="0" w:line="148"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The remaining shares of Class A common stock or Class B common stock will be, and shares of Class A common stock subject to stock options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48" w:lineRule="exact"/>
        <w:rPr>
          <w:sz w:val="20"/>
          <w:szCs w:val="20"/>
          <w:color w:val="auto"/>
        </w:rPr>
      </w:pPr>
    </w:p>
    <w:p>
      <w:pPr>
        <w:ind w:left="160"/>
        <w:spacing w:after="0" w:line="239" w:lineRule="auto"/>
        <w:rPr>
          <w:sz w:val="20"/>
          <w:szCs w:val="20"/>
          <w:color w:val="auto"/>
        </w:rPr>
      </w:pPr>
      <w:r>
        <w:rPr>
          <w:rFonts w:ascii="Arial" w:cs="Arial" w:eastAsia="Arial" w:hAnsi="Arial"/>
          <w:sz w:val="17"/>
          <w:szCs w:val="17"/>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144</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 general, under Rule 144 as currently in effect, once we have been subject to public company reporting requirements of Section 13 or</w:t>
      </w:r>
    </w:p>
    <w:p>
      <w:pPr>
        <w:ind w:left="160" w:right="60"/>
        <w:spacing w:after="0" w:line="232" w:lineRule="auto"/>
        <w:rPr>
          <w:sz w:val="20"/>
          <w:szCs w:val="20"/>
          <w:color w:val="auto"/>
        </w:rPr>
      </w:pPr>
      <w:r>
        <w:rPr>
          <w:rFonts w:ascii="Arial" w:cs="Arial" w:eastAsia="Arial" w:hAnsi="Arial"/>
          <w:sz w:val="17"/>
          <w:szCs w:val="17"/>
          <w:color w:val="auto"/>
        </w:rPr>
        <w:t>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1080"/>
          </w:cols>
          <w:pgMar w:left="320" w:top="456"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160" w:right="240"/>
        <w:spacing w:after="0" w:line="236"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p>
    <w:p>
      <w:pPr>
        <w:spacing w:after="0" w:line="186" w:lineRule="exact"/>
        <w:rPr>
          <w:sz w:val="20"/>
          <w:szCs w:val="20"/>
          <w:color w:val="auto"/>
        </w:rPr>
      </w:pPr>
    </w:p>
    <w:p>
      <w:pPr>
        <w:ind w:left="1020" w:hanging="425"/>
        <w:spacing w:after="0" w:line="259" w:lineRule="auto"/>
        <w:tabs>
          <w:tab w:leader="none" w:pos="1020" w:val="left"/>
        </w:tabs>
        <w:numPr>
          <w:ilvl w:val="0"/>
          <w:numId w:val="100"/>
        </w:numPr>
        <w:rPr>
          <w:rFonts w:ascii="MS PGothic" w:cs="MS PGothic" w:eastAsia="MS PGothic" w:hAnsi="MS PGothic"/>
          <w:sz w:val="12"/>
          <w:szCs w:val="12"/>
          <w:color w:val="auto"/>
        </w:rPr>
      </w:pPr>
      <w:r>
        <w:rPr>
          <w:rFonts w:ascii="Arial" w:cs="Arial" w:eastAsia="Arial" w:hAnsi="Arial"/>
          <w:sz w:val="16"/>
          <w:szCs w:val="16"/>
          <w:color w:val="auto"/>
        </w:rPr>
        <w:t>1% of the number of shares of Class A common stock then outstanding, which will equal approximately 204,793 shares immediately after this offering, assuming no exercise of the underwriters’ option to purchase additional shares of Class A common stock from us; or</w:t>
      </w:r>
    </w:p>
    <w:p>
      <w:pPr>
        <w:spacing w:after="0" w:line="17" w:lineRule="exact"/>
        <w:rPr>
          <w:rFonts w:ascii="MS PGothic" w:cs="MS PGothic" w:eastAsia="MS PGothic" w:hAnsi="MS PGothic"/>
          <w:sz w:val="12"/>
          <w:szCs w:val="12"/>
          <w:color w:val="auto"/>
        </w:rPr>
      </w:pPr>
    </w:p>
    <w:p>
      <w:pPr>
        <w:ind w:left="1020" w:right="520" w:hanging="425"/>
        <w:spacing w:after="0" w:line="239" w:lineRule="auto"/>
        <w:tabs>
          <w:tab w:leader="none" w:pos="1020" w:val="left"/>
        </w:tabs>
        <w:numPr>
          <w:ilvl w:val="0"/>
          <w:numId w:val="100"/>
        </w:numPr>
        <w:rPr>
          <w:rFonts w:ascii="MS PGothic" w:cs="MS PGothic" w:eastAsia="MS PGothic" w:hAnsi="MS PGothic"/>
          <w:sz w:val="12"/>
          <w:szCs w:val="12"/>
          <w:color w:val="auto"/>
        </w:rPr>
      </w:pPr>
      <w:r>
        <w:rPr>
          <w:rFonts w:ascii="Arial" w:cs="Arial" w:eastAsia="Arial" w:hAnsi="Arial"/>
          <w:sz w:val="17"/>
          <w:szCs w:val="17"/>
          <w:color w:val="auto"/>
        </w:rPr>
        <w:t>the average weekly trading volume of our Class A common stock on The Nasdaq Global Market during the four calendar weeks preceding the filing of a notice on Form 144 with respect to such sale.</w:t>
      </w:r>
    </w:p>
    <w:p>
      <w:pPr>
        <w:spacing w:after="0" w:line="199" w:lineRule="exact"/>
        <w:rPr>
          <w:sz w:val="20"/>
          <w:szCs w:val="20"/>
          <w:color w:val="auto"/>
        </w:rPr>
      </w:pPr>
    </w:p>
    <w:p>
      <w:pPr>
        <w:ind w:left="160"/>
        <w:spacing w:after="0" w:line="239"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701</w:t>
      </w:r>
    </w:p>
    <w:p>
      <w:pPr>
        <w:spacing w:after="0" w:line="91" w:lineRule="exact"/>
        <w:rPr>
          <w:sz w:val="20"/>
          <w:szCs w:val="20"/>
          <w:color w:val="auto"/>
        </w:rPr>
      </w:pPr>
    </w:p>
    <w:p>
      <w:pPr>
        <w:jc w:val="both"/>
        <w:ind w:left="160" w:right="260"/>
        <w:spacing w:after="0" w:line="244" w:lineRule="auto"/>
        <w:rPr>
          <w:sz w:val="20"/>
          <w:szCs w:val="20"/>
          <w:color w:val="auto"/>
        </w:rPr>
      </w:pPr>
      <w:r>
        <w:rPr>
          <w:rFonts w:ascii="Arial" w:cs="Arial" w:eastAsia="Arial" w:hAnsi="Arial"/>
          <w:sz w:val="16"/>
          <w:szCs w:val="16"/>
          <w:color w:val="auto"/>
        </w:rPr>
        <w:t>Rule 701 of the Securities Act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w:t>
      </w:r>
    </w:p>
    <w:p>
      <w:pPr>
        <w:spacing w:after="0" w:line="1" w:lineRule="exact"/>
        <w:rPr>
          <w:sz w:val="20"/>
          <w:szCs w:val="20"/>
          <w:color w:val="auto"/>
        </w:rPr>
      </w:pPr>
    </w:p>
    <w:p>
      <w:pPr>
        <w:ind w:left="160" w:right="100"/>
        <w:spacing w:after="0" w:line="236" w:lineRule="auto"/>
        <w:rPr>
          <w:sz w:val="20"/>
          <w:szCs w:val="20"/>
          <w:color w:val="auto"/>
        </w:rPr>
      </w:pPr>
      <w:r>
        <w:rPr>
          <w:rFonts w:ascii="Arial" w:cs="Arial" w:eastAsia="Arial" w:hAnsi="Arial"/>
          <w:sz w:val="17"/>
          <w:szCs w:val="17"/>
          <w:color w:val="auto"/>
        </w:rPr>
        <w:t>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Form S-8 Registration Statements</w:t>
      </w:r>
    </w:p>
    <w:p>
      <w:pPr>
        <w:spacing w:after="0" w:line="77"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We intend to file one or more registration statements on Form S-8 under the Securities Act with the SEC to register the offer and sale of shares of our common stock that are issuable under the 2017 Plan, 2021 Plan and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Lock-up Arrangements</w:t>
      </w:r>
    </w:p>
    <w:p>
      <w:pPr>
        <w:spacing w:after="0" w:line="77"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We, and all of our directors, executive officers and the holders of substantially all of our Class A common stock and Class B common stock and securities exercisable for or convertible into our Class A common stock outstanding immediately upon the closing of this offering, have agreed with the underwriters that, until 180 days after the date of the underwriting agreement related to this offering, we and they will not, without the prior written consent of the representatives of the underwriters, subject to certain exceptions, directly or indirectly, offer, pledge, sell, contract to sell, sell any option or contract to purchase, purchase any option or contract to sell, grant any option, right or warrant to purchase, lend or otherwise transfer or dispose of any of our shares of Class A common stock and Class B common stock, or any securities convertible into or exercisable or exchangeable for shares of our Class A common stock, or enter into any hedging, swap or any other agreement or any transaction that transfers, in whole or in part, directly or indirectly, the economic consequence of ownership of the securities, whether any such swap or transaction is to be settled by delivery of our Class A common stock and Class B common stock or other securities, in cash or otherwise. These agreements are described in the section titled “Underwriting.” The representatives of the underwriters may, in their sole discretion, release any of the securities subject to these lock-up agreements at any time.</w:t>
      </w:r>
    </w:p>
    <w:p>
      <w:pPr>
        <w:spacing w:after="0" w:line="150"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In addition to the restrictions contained in the lock-up agreements described above, we have entered into agreements with certain security holders, including the amended and restated investors’ rights agreement, our standard form of option agreement and our standard form of restricted stock agreement, that contain market stand-off provisions or incorporate market stand-off provisions from our equity incentive plan imposing restrictions on the ability of such security holders to offer, sell or transfer our equity securities for a period of 180 days following the date of this prospectus.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1080"/>
          </w:cols>
          <w:pgMar w:left="320" w:top="456"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91"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Upon the closing of this offering, pursuant to our amended and restated investors’ rights agreement, the holders of 15,774,014 shares of our Class A common stock and no shares of our Class B common stock, or their transferees, will be entitled to certain rights with respect to the registration of the offer and sale of their shares under the Securities Act, subject to the terms of the lock-up agreements described under the section titled “—Lock-Up Arrangements” above. Registration of these shares under the Securities Act would result in the shares becoming freely tradable without restriction under the Securities Act immediately on the effectiveness of the registration. Any sales of securities by these stockholders could have a material adverse effect on the trading price of our Class A common stock. See the section titled “Description of Capital Stock—Registration Rights” for additional information.</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1000"/>
          </w:cols>
          <w:pgMar w:left="320" w:top="456" w:right="5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CERTAIN MATERIAL U.S. FEDERAL INCOME TAX CONSEQUENCES TO NON-U.S. HOLDERS</w:t>
      </w:r>
    </w:p>
    <w:p>
      <w:pPr>
        <w:spacing w:after="0" w:line="331" w:lineRule="exact"/>
        <w:rPr>
          <w:sz w:val="20"/>
          <w:szCs w:val="20"/>
          <w:color w:val="auto"/>
        </w:rPr>
      </w:pPr>
    </w:p>
    <w:p>
      <w:pPr>
        <w:ind w:left="160" w:right="20"/>
        <w:spacing w:after="0" w:line="231" w:lineRule="auto"/>
        <w:rPr>
          <w:sz w:val="20"/>
          <w:szCs w:val="20"/>
          <w:color w:val="auto"/>
        </w:rPr>
      </w:pPr>
      <w:r>
        <w:rPr>
          <w:rFonts w:ascii="Arial" w:cs="Arial" w:eastAsia="Arial" w:hAnsi="Arial"/>
          <w:sz w:val="17"/>
          <w:szCs w:val="17"/>
          <w:color w:val="auto"/>
        </w:rPr>
        <w:t>The following is a summary of certain material U.S. federal income tax consequences to non-U.S. holders (as defined below) of the purchase,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Code, Treasury Regulations promulgated thereunder, judicial decisions, and published rulings and administrative pronouncements of the Internal Revenue Service (IRS), all as in effect on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51"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of the U.S. federal income tax consequences that may be relevant to an individual non-U.S. holder in light of such non-U.S. holder’s particular circumstances. This discussion also does not consider any specific facts or circumstances that may be relevant to non-U.S. holders subject to special rules under the U.S. federal income tax laws, including:</w:t>
      </w:r>
    </w:p>
    <w:p>
      <w:pPr>
        <w:spacing w:after="0" w:line="188" w:lineRule="exact"/>
        <w:rPr>
          <w:sz w:val="20"/>
          <w:szCs w:val="20"/>
          <w:color w:val="auto"/>
        </w:rPr>
      </w:pPr>
    </w:p>
    <w:p>
      <w:pPr>
        <w:ind w:left="1020" w:hanging="425"/>
        <w:spacing w:after="0"/>
        <w:tabs>
          <w:tab w:leader="none" w:pos="102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certain former citizens or long-term residents of the United States;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partnerships or other pass-through entities (and investors therein);</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“controlled foreign corporations”;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“passive foreign investment companies”;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corporations that accumulate earnings to avoid U.S. federal income tax;</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banks, financial institutions, investment funds, insurance companies, brokers, dealers or traders in securities;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tax-exempt organizations and governmental organizations;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tax-qualified retirement plans;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persons who acquire our Class A common stock through the exercise of an option or otherwise as compensation;</w:t>
      </w:r>
    </w:p>
    <w:p>
      <w:pPr>
        <w:spacing w:after="0" w:line="31" w:lineRule="exact"/>
        <w:rPr>
          <w:rFonts w:ascii="MS PGothic" w:cs="MS PGothic" w:eastAsia="MS PGothic" w:hAnsi="MS PGothic"/>
          <w:sz w:val="12"/>
          <w:szCs w:val="12"/>
          <w:color w:val="auto"/>
        </w:rPr>
      </w:pPr>
    </w:p>
    <w:p>
      <w:pPr>
        <w:ind w:left="1020" w:hanging="425"/>
        <w:spacing w:after="0" w:line="239" w:lineRule="auto"/>
        <w:tabs>
          <w:tab w:leader="none" w:pos="102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qualified foreign pension funds as defined in Section 897(l)(2) of the Code and entities all of the interests of which are held by qualified foreign pension funds;</w:t>
      </w:r>
    </w:p>
    <w:p>
      <w:pPr>
        <w:spacing w:after="0" w:line="25"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persons subject to the alternative minimum tax;</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persons subject to special tax accounting rules under Section 451(b) of the Code;</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persons that own or have owned, actually or constructively, more than 5% of our Class A common stock;</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persons who have elected to mark securities to market; and</w:t>
      </w:r>
    </w:p>
    <w:p>
      <w:pPr>
        <w:spacing w:after="0" w:line="31" w:lineRule="exact"/>
        <w:rPr>
          <w:rFonts w:ascii="MS PGothic" w:cs="MS PGothic" w:eastAsia="MS PGothic" w:hAnsi="MS PGothic"/>
          <w:sz w:val="12"/>
          <w:szCs w:val="12"/>
          <w:color w:val="auto"/>
        </w:rPr>
      </w:pPr>
    </w:p>
    <w:p>
      <w:pPr>
        <w:ind w:left="1020" w:right="80" w:hanging="425"/>
        <w:spacing w:after="0" w:line="239" w:lineRule="auto"/>
        <w:tabs>
          <w:tab w:leader="none" w:pos="1020" w:val="left"/>
        </w:tabs>
        <w:numPr>
          <w:ilvl w:val="0"/>
          <w:numId w:val="101"/>
        </w:numPr>
        <w:rPr>
          <w:rFonts w:ascii="MS PGothic" w:cs="MS PGothic" w:eastAsia="MS PGothic" w:hAnsi="MS PGothic"/>
          <w:sz w:val="12"/>
          <w:szCs w:val="12"/>
          <w:color w:val="auto"/>
        </w:rPr>
      </w:pPr>
      <w:r>
        <w:rPr>
          <w:rFonts w:ascii="Arial" w:cs="Arial" w:eastAsia="Arial" w:hAnsi="Arial"/>
          <w:sz w:val="17"/>
          <w:szCs w:val="17"/>
          <w:color w:val="auto"/>
        </w:rPr>
        <w:t>persons holding our Class A common stock as part of a hedging or conversion transaction or straddle, or a constructive sale, or other risk reduction strategy or integrated investment.</w:t>
      </w:r>
    </w:p>
    <w:p>
      <w:pPr>
        <w:spacing w:after="0" w:line="146"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If an entity or arrangement that is classified as a partnership for U.S. federal income tax purposes holds our Class A common stock, the U.S. federal income tax treatment of a partner in the partnership will generally depend on the status of the partner, the activities of the partnership and certain determinations made at the partner level.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28" w:lineRule="exact"/>
        <w:rPr>
          <w:sz w:val="20"/>
          <w:szCs w:val="20"/>
          <w:color w:val="auto"/>
        </w:rPr>
      </w:pPr>
    </w:p>
    <w:p>
      <w:pPr>
        <w:jc w:val="both"/>
        <w:ind w:left="160" w:right="680"/>
        <w:spacing w:after="0" w:line="246" w:lineRule="auto"/>
        <w:rPr>
          <w:sz w:val="20"/>
          <w:szCs w:val="20"/>
          <w:color w:val="auto"/>
        </w:rPr>
      </w:pPr>
      <w:r>
        <w:rPr>
          <w:rFonts w:ascii="Arial" w:cs="Arial" w:eastAsia="Arial" w:hAnsi="Arial"/>
          <w:sz w:val="17"/>
          <w:szCs w:val="17"/>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CLASS A COMMON STOCK,</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1060"/>
          </w:cols>
          <w:pgMar w:left="320" w:top="456" w:right="5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AS WELL AS ANY TAX CONSEQUENCES ARISING UNDER ANY STATE, LOCAL OR FOREIGN TAX LAWS AND ANY OTHER U.S.</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FEDERAL TAX LAWS.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Definition of Non-U.S. Holder</w:t>
      </w:r>
    </w:p>
    <w:p>
      <w:pPr>
        <w:spacing w:after="0" w:line="91" w:lineRule="exact"/>
        <w:rPr>
          <w:sz w:val="20"/>
          <w:szCs w:val="20"/>
          <w:color w:val="auto"/>
        </w:rPr>
      </w:pPr>
    </w:p>
    <w:p>
      <w:pPr>
        <w:ind w:left="160" w:right="80" w:firstLine="436"/>
        <w:spacing w:after="0" w:line="236" w:lineRule="auto"/>
        <w:rPr>
          <w:sz w:val="20"/>
          <w:szCs w:val="20"/>
          <w:color w:val="auto"/>
        </w:rPr>
      </w:pPr>
      <w:r>
        <w:rPr>
          <w:rFonts w:ascii="Arial" w:cs="Arial" w:eastAsia="Arial" w:hAnsi="Arial"/>
          <w:sz w:val="17"/>
          <w:szCs w:val="17"/>
          <w:color w:val="auto"/>
        </w:rPr>
        <w:t>For purposes of this discussion, a non-U.S. holder is any beneficial owner of our Class A common stock that is not a “U.S. holder” or a partnership (including any entity or arrangement treated as a partnership) for U.S. federal income tax purposes. A U.S. holder is any person that, for U.S. federal income tax purposes, is or is treated as any of the following:</w:t>
      </w:r>
    </w:p>
    <w:p>
      <w:pPr>
        <w:spacing w:after="0" w:line="186" w:lineRule="exact"/>
        <w:rPr>
          <w:sz w:val="20"/>
          <w:szCs w:val="20"/>
          <w:color w:val="auto"/>
        </w:rPr>
      </w:pPr>
    </w:p>
    <w:p>
      <w:pPr>
        <w:ind w:left="1020" w:hanging="425"/>
        <w:spacing w:after="0"/>
        <w:tabs>
          <w:tab w:leader="none" w:pos="1020" w:val="left"/>
        </w:tabs>
        <w:numPr>
          <w:ilvl w:val="0"/>
          <w:numId w:val="102"/>
        </w:numPr>
        <w:rPr>
          <w:rFonts w:ascii="MS PGothic" w:cs="MS PGothic" w:eastAsia="MS PGothic" w:hAnsi="MS PGothic"/>
          <w:sz w:val="12"/>
          <w:szCs w:val="12"/>
          <w:color w:val="auto"/>
        </w:rPr>
      </w:pPr>
      <w:r>
        <w:rPr>
          <w:rFonts w:ascii="Arial" w:cs="Arial" w:eastAsia="Arial" w:hAnsi="Arial"/>
          <w:sz w:val="17"/>
          <w:szCs w:val="17"/>
          <w:color w:val="auto"/>
        </w:rPr>
        <w:t>an individual who is a citizen or resident of the United States;</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02"/>
        </w:numPr>
        <w:rPr>
          <w:rFonts w:ascii="MS PGothic" w:cs="MS PGothic" w:eastAsia="MS PGothic" w:hAnsi="MS PGothic"/>
          <w:sz w:val="12"/>
          <w:szCs w:val="12"/>
          <w:color w:val="auto"/>
        </w:rPr>
      </w:pPr>
      <w:r>
        <w:rPr>
          <w:rFonts w:ascii="Arial" w:cs="Arial" w:eastAsia="Arial" w:hAnsi="Arial"/>
          <w:sz w:val="17"/>
          <w:szCs w:val="17"/>
          <w:color w:val="auto"/>
        </w:rPr>
        <w:t>a corporation created or organized under the laws of the United States, any state thereof or the District of Columbia;</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0"/>
          <w:numId w:val="102"/>
        </w:numPr>
        <w:rPr>
          <w:rFonts w:ascii="MS PGothic" w:cs="MS PGothic" w:eastAsia="MS PGothic" w:hAnsi="MS PGothic"/>
          <w:sz w:val="12"/>
          <w:szCs w:val="12"/>
          <w:color w:val="auto"/>
        </w:rPr>
      </w:pPr>
      <w:r>
        <w:rPr>
          <w:rFonts w:ascii="Arial" w:cs="Arial" w:eastAsia="Arial" w:hAnsi="Arial"/>
          <w:sz w:val="17"/>
          <w:szCs w:val="17"/>
          <w:color w:val="auto"/>
        </w:rPr>
        <w:t>an estate, the income of which is subject to U.S. federal income tax regardless of its source; or</w:t>
      </w:r>
    </w:p>
    <w:p>
      <w:pPr>
        <w:spacing w:after="0" w:line="31" w:lineRule="exact"/>
        <w:rPr>
          <w:rFonts w:ascii="MS PGothic" w:cs="MS PGothic" w:eastAsia="MS PGothic" w:hAnsi="MS PGothic"/>
          <w:sz w:val="12"/>
          <w:szCs w:val="12"/>
          <w:color w:val="auto"/>
        </w:rPr>
      </w:pPr>
    </w:p>
    <w:p>
      <w:pPr>
        <w:jc w:val="both"/>
        <w:ind w:left="1020" w:right="340" w:hanging="425"/>
        <w:spacing w:after="0" w:line="236" w:lineRule="auto"/>
        <w:tabs>
          <w:tab w:leader="none" w:pos="1020" w:val="left"/>
        </w:tabs>
        <w:numPr>
          <w:ilvl w:val="0"/>
          <w:numId w:val="102"/>
        </w:numPr>
        <w:rPr>
          <w:rFonts w:ascii="MS PGothic" w:cs="MS PGothic" w:eastAsia="MS PGothic" w:hAnsi="MS PGothic"/>
          <w:sz w:val="12"/>
          <w:szCs w:val="12"/>
          <w:color w:val="auto"/>
        </w:rPr>
      </w:pPr>
      <w:r>
        <w:rPr>
          <w:rFonts w:ascii="Arial" w:cs="Arial" w:eastAsia="Arial" w:hAnsi="Arial"/>
          <w:sz w:val="17"/>
          <w:szCs w:val="17"/>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77"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As described under the section titled “Dividend Policy,” we do not anticipate declaring or paying, in the foreseeable future, any cash distributions on our capital stock. However, if we distribute cash or other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Class A common stock, but not below zero. Any excess will be treated as gain realized on the sale or other disposition of our Class A common stock and will be treated as described under the section titled “ —Gain on Disposition of Our Class A Common Stock” below.</w:t>
      </w:r>
    </w:p>
    <w:p>
      <w:pPr>
        <w:spacing w:after="0" w:line="148"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Subject to the discussions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our withholding agent with a valid IRS Form W-8BEN (in the case of individuals) or IRS Form W-8BEN-E (in the case of entities), or other appropriate form, certifying such holder’s qualification for the reduced rate. This certification must be provided to us or our withholding agent before the payment of dividends and must be updated periodically. In the case of a non-U.S. Holder that is an entity, Treasury Regulations and the relevant tax treaty provide rules to determine whether, for purposes of determining the applicability of the tax treaty, dividends will be treated as paid to the entity or to those holding an interest in the entity. If the non-U.S. holder holds our Class A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39" w:lineRule="exact"/>
        <w:rPr>
          <w:sz w:val="20"/>
          <w:szCs w:val="20"/>
          <w:color w:val="auto"/>
        </w:rPr>
      </w:pPr>
    </w:p>
    <w:p>
      <w:pPr>
        <w:ind w:left="160" w:right="140"/>
        <w:spacing w:after="0" w:line="233" w:lineRule="auto"/>
        <w:rPr>
          <w:sz w:val="20"/>
          <w:szCs w:val="20"/>
          <w:color w:val="auto"/>
        </w:rPr>
      </w:pPr>
      <w:r>
        <w:rPr>
          <w:rFonts w:ascii="Arial" w:cs="Arial" w:eastAsia="Arial" w:hAnsi="Arial"/>
          <w:sz w:val="17"/>
          <w:szCs w:val="17"/>
          <w:color w:val="auto"/>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48"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1060"/>
          </w:cols>
          <w:pgMar w:left="320" w:top="456" w:right="5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180"/>
        <w:spacing w:after="0" w:line="236" w:lineRule="auto"/>
        <w:rPr>
          <w:sz w:val="20"/>
          <w:szCs w:val="20"/>
          <w:color w:val="auto"/>
        </w:rPr>
      </w:pPr>
      <w:r>
        <w:rPr>
          <w:rFonts w:ascii="Arial" w:cs="Arial" w:eastAsia="Arial" w:hAnsi="Arial"/>
          <w:sz w:val="17"/>
          <w:szCs w:val="17"/>
          <w:color w:val="auto"/>
        </w:rPr>
        <w:t>Non-U.S. holders that do not provide the required certification on a timely basis, but that qualify for a reduced treaty rate, may obtain a refund of any excess amounts withheld by timely filing an appropriate claim for refund with the IRS. Non-U.S. holders should consult their tax advisors regarding any applicable income tax treaties that may provide for different rules.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Gain on Disposition of Class A Our Common Stock</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Subject to the discussions below regarding backup withholding and FATCA (as defined below), a non-U.S. holder generally will not be subject to</w:t>
      </w:r>
    </w:p>
    <w:p>
      <w:pPr>
        <w:ind w:left="160"/>
        <w:spacing w:after="0"/>
        <w:rPr>
          <w:sz w:val="20"/>
          <w:szCs w:val="20"/>
          <w:color w:val="auto"/>
        </w:rPr>
      </w:pPr>
      <w:r>
        <w:rPr>
          <w:rFonts w:ascii="Arial" w:cs="Arial" w:eastAsia="Arial" w:hAnsi="Arial"/>
          <w:sz w:val="17"/>
          <w:szCs w:val="17"/>
          <w:color w:val="auto"/>
        </w:rPr>
        <w:t>U.S. federal income tax on any gain realized on the sale or other disposition of our Class A common stock, unless:</w:t>
      </w:r>
    </w:p>
    <w:p>
      <w:pPr>
        <w:spacing w:after="0" w:line="192" w:lineRule="exact"/>
        <w:rPr>
          <w:sz w:val="20"/>
          <w:szCs w:val="20"/>
          <w:color w:val="auto"/>
        </w:rPr>
      </w:pPr>
    </w:p>
    <w:p>
      <w:pPr>
        <w:ind w:left="1020" w:right="200" w:hanging="425"/>
        <w:spacing w:after="0" w:line="236" w:lineRule="auto"/>
        <w:tabs>
          <w:tab w:leader="none" w:pos="1020" w:val="left"/>
        </w:tabs>
        <w:numPr>
          <w:ilvl w:val="0"/>
          <w:numId w:val="103"/>
        </w:numPr>
        <w:rPr>
          <w:rFonts w:ascii="MS PGothic" w:cs="MS PGothic" w:eastAsia="MS PGothic" w:hAnsi="MS PGothic"/>
          <w:sz w:val="12"/>
          <w:szCs w:val="12"/>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25" w:lineRule="exact"/>
        <w:rPr>
          <w:rFonts w:ascii="MS PGothic" w:cs="MS PGothic" w:eastAsia="MS PGothic" w:hAnsi="MS PGothic"/>
          <w:sz w:val="12"/>
          <w:szCs w:val="12"/>
          <w:color w:val="auto"/>
        </w:rPr>
      </w:pPr>
    </w:p>
    <w:p>
      <w:pPr>
        <w:ind w:left="1020" w:right="200" w:hanging="425"/>
        <w:spacing w:after="0" w:line="239" w:lineRule="auto"/>
        <w:tabs>
          <w:tab w:leader="none" w:pos="1020" w:val="left"/>
        </w:tabs>
        <w:numPr>
          <w:ilvl w:val="0"/>
          <w:numId w:val="103"/>
        </w:numPr>
        <w:rPr>
          <w:rFonts w:ascii="MS PGothic" w:cs="MS PGothic" w:eastAsia="MS PGothic" w:hAnsi="MS PGothic"/>
          <w:sz w:val="12"/>
          <w:szCs w:val="12"/>
          <w:color w:val="auto"/>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25" w:lineRule="exact"/>
        <w:rPr>
          <w:rFonts w:ascii="MS PGothic" w:cs="MS PGothic" w:eastAsia="MS PGothic" w:hAnsi="MS PGothic"/>
          <w:sz w:val="12"/>
          <w:szCs w:val="12"/>
          <w:color w:val="auto"/>
        </w:rPr>
      </w:pPr>
    </w:p>
    <w:p>
      <w:pPr>
        <w:ind w:left="1020" w:right="80" w:hanging="425"/>
        <w:spacing w:after="0" w:line="234" w:lineRule="auto"/>
        <w:tabs>
          <w:tab w:leader="none" w:pos="1020" w:val="left"/>
        </w:tabs>
        <w:numPr>
          <w:ilvl w:val="0"/>
          <w:numId w:val="103"/>
        </w:numPr>
        <w:rPr>
          <w:rFonts w:ascii="MS PGothic" w:cs="MS PGothic" w:eastAsia="MS PGothic" w:hAnsi="MS PGothic"/>
          <w:sz w:val="12"/>
          <w:szCs w:val="12"/>
          <w:color w:val="auto"/>
        </w:rPr>
      </w:pPr>
      <w:r>
        <w:rPr>
          <w:rFonts w:ascii="Arial" w:cs="Arial" w:eastAsia="Arial" w:hAnsi="Arial"/>
          <w:sz w:val="17"/>
          <w:szCs w:val="17"/>
          <w:color w:val="auto"/>
        </w:rPr>
        <w:t>our Class A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147"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we do not anticipate becoming a USRPHC for U.S. federal income tax purposes, although there can be no assurance we will not in the future become a USRPHC.</w:t>
      </w:r>
    </w:p>
    <w:p>
      <w:pPr>
        <w:spacing w:after="0" w:line="146" w:lineRule="exact"/>
        <w:rPr>
          <w:sz w:val="20"/>
          <w:szCs w:val="20"/>
          <w:color w:val="auto"/>
        </w:rPr>
      </w:pPr>
    </w:p>
    <w:p>
      <w:pPr>
        <w:ind w:left="160" w:right="120"/>
        <w:spacing w:after="0" w:line="232"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except that the branch profits tax generally will not apply.</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Non-U.S. holders should consult their tax advisors regarding any applicable income tax treaties that may provide for different rules.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77"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Annual reports are required to be filed with the IRS and provided to each non-U.S. holder indicating the distributions on our Class A common stock paid to such holder and any tax withheld with respect to those distributions .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certain other requirements are met, and if the payor does not have actual knowledge, or reason to know, that the holder is a U.S. person who is not an exempt recipient.</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1080"/>
          </w:cols>
          <w:pgMar w:left="320" w:top="456"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Withholding on Foreign Entities</w:t>
      </w:r>
    </w:p>
    <w:p>
      <w:pPr>
        <w:spacing w:after="0" w:line="91"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Sections 1471 through 1474 of the Code, which are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Class A common stock and would have applied also to payments of gross proceeds from the sale or other disposition of our Class A common stock. The U.S. Treasury Department has released proposed regulations under FATCA providing for the elimination of the federal withholding tax of 30% applicable to gross proceeds of a sale or other disposition of our Class A common stock. Under these proposed Treasury Regulations (which may be relied upon by taxpayers prior to finalization), FATCA will not apply to gross proceeds from sales or other dispositions of our Class A common stock.</w:t>
      </w:r>
    </w:p>
    <w:p>
      <w:pPr>
        <w:spacing w:after="0" w:line="149" w:lineRule="exact"/>
        <w:rPr>
          <w:sz w:val="20"/>
          <w:szCs w:val="20"/>
          <w:color w:val="auto"/>
        </w:rPr>
      </w:pPr>
    </w:p>
    <w:p>
      <w:pPr>
        <w:ind w:left="160" w:right="180"/>
        <w:spacing w:after="0" w:line="239" w:lineRule="auto"/>
        <w:rPr>
          <w:sz w:val="20"/>
          <w:szCs w:val="20"/>
          <w:color w:val="auto"/>
        </w:rPr>
      </w:pPr>
      <w:r>
        <w:rPr>
          <w:rFonts w:ascii="Arial" w:cs="Arial" w:eastAsia="Arial" w:hAnsi="Arial"/>
          <w:sz w:val="17"/>
          <w:szCs w:val="17"/>
          <w:color w:val="auto"/>
        </w:rPr>
        <w:t>Prospective investors are encouraged to consult with their own tax advisors regarding the possible implications of FATCA on their investment in our Class A common stock.</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1060"/>
          </w:cols>
          <w:pgMar w:left="320" w:top="456" w:right="5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331" w:lineRule="exact"/>
        <w:rPr>
          <w:sz w:val="20"/>
          <w:szCs w:val="20"/>
          <w:color w:val="auto"/>
        </w:rPr>
      </w:pPr>
    </w:p>
    <w:p>
      <w:pPr>
        <w:ind w:left="160" w:right="200"/>
        <w:spacing w:after="0" w:line="234" w:lineRule="auto"/>
        <w:rPr>
          <w:sz w:val="20"/>
          <w:szCs w:val="20"/>
          <w:color w:val="auto"/>
        </w:rPr>
      </w:pPr>
      <w:r>
        <w:rPr>
          <w:rFonts w:ascii="Arial" w:cs="Arial" w:eastAsia="Arial" w:hAnsi="Arial"/>
          <w:sz w:val="17"/>
          <w:szCs w:val="17"/>
          <w:color w:val="auto"/>
        </w:rPr>
        <w:t>Subject to the terms and conditions set forth in the underwriting agreement, dated , 2021, among us, Jefferies LLC, Cowen and Company, LLC and Evercore Group L.L.C, as the representatives of the underwriters named below and the joint book-running managers of this offering, we have agreed to sell to the underwriters, and each of the underwriters has agreed, severally and not jointly, to purchase from us the respective number of shares of Class A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131445</wp:posOffset>
            </wp:positionV>
            <wp:extent cx="69297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8740" w:type="dxa"/>
            <w:vAlign w:val="bottom"/>
            <w:vMerge w:val="restart"/>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1"/>
        </w:trPr>
        <w:tc>
          <w:tcPr>
            <w:tcW w:w="982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7"/>
                <w:szCs w:val="17"/>
                <w:color w:val="auto"/>
              </w:rPr>
              <w:t>Jefferies LLC</w:t>
            </w:r>
          </w:p>
        </w:tc>
        <w:tc>
          <w:tcPr>
            <w:tcW w:w="10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9820" w:type="dxa"/>
            <w:vAlign w:val="bottom"/>
            <w:gridSpan w:val="2"/>
          </w:tcPr>
          <w:p>
            <w:pPr>
              <w:spacing w:after="0" w:line="187" w:lineRule="exact"/>
              <w:rPr>
                <w:sz w:val="20"/>
                <w:szCs w:val="20"/>
                <w:color w:val="auto"/>
              </w:rPr>
            </w:pPr>
            <w:r>
              <w:rPr>
                <w:rFonts w:ascii="Arial" w:cs="Arial" w:eastAsia="Arial" w:hAnsi="Arial"/>
                <w:sz w:val="17"/>
                <w:szCs w:val="17"/>
                <w:color w:val="auto"/>
              </w:rPr>
              <w:t>Cowen and Company, LLC</w:t>
            </w: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2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Evercore Group L.L.C.</w:t>
            </w:r>
          </w:p>
        </w:tc>
        <w:tc>
          <w:tcPr>
            <w:tcW w:w="10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820" w:type="dxa"/>
            <w:vAlign w:val="bottom"/>
            <w:gridSpan w:val="2"/>
          </w:tcPr>
          <w:p>
            <w:pPr>
              <w:ind w:left="500"/>
              <w:spacing w:after="0" w:line="194" w:lineRule="exact"/>
              <w:rPr>
                <w:sz w:val="20"/>
                <w:szCs w:val="20"/>
                <w:color w:val="auto"/>
              </w:rPr>
            </w:pPr>
            <w:r>
              <w:rPr>
                <w:rFonts w:ascii="Arial" w:cs="Arial" w:eastAsia="Arial" w:hAnsi="Arial"/>
                <w:sz w:val="17"/>
                <w:szCs w:val="17"/>
                <w:color w:val="auto"/>
              </w:rPr>
              <w:t>Total</w:t>
            </w:r>
          </w:p>
        </w:tc>
        <w:tc>
          <w:tcPr>
            <w:tcW w:w="1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4,350,000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80" w:type="dxa"/>
            <w:vAlign w:val="bottom"/>
            <w:tcBorders>
              <w:bottom w:val="single" w:sz="8" w:color="auto"/>
            </w:tcBorders>
          </w:tcPr>
          <w:p>
            <w:pPr>
              <w:spacing w:after="0"/>
              <w:rPr>
                <w:sz w:val="18"/>
                <w:szCs w:val="18"/>
                <w:color w:val="auto"/>
              </w:rPr>
            </w:pPr>
          </w:p>
        </w:tc>
        <w:tc>
          <w:tcPr>
            <w:tcW w:w="87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right="60"/>
        <w:spacing w:after="0" w:line="232"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Class A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48" w:lineRule="exact"/>
        <w:rPr>
          <w:sz w:val="20"/>
          <w:szCs w:val="20"/>
          <w:color w:val="auto"/>
        </w:rPr>
      </w:pPr>
    </w:p>
    <w:p>
      <w:pPr>
        <w:ind w:left="160" w:right="280"/>
        <w:spacing w:after="0" w:line="233"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Class A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Class A common stock, that you will be able to sell any of the Class A common stock held by you at a particular time or that the prices that you receive when you sell will be favorable.</w:t>
      </w:r>
    </w:p>
    <w:p>
      <w:pPr>
        <w:spacing w:after="0" w:line="148" w:lineRule="exact"/>
        <w:rPr>
          <w:sz w:val="20"/>
          <w:szCs w:val="20"/>
          <w:color w:val="auto"/>
        </w:rPr>
      </w:pPr>
    </w:p>
    <w:p>
      <w:pPr>
        <w:ind w:left="160" w:right="160"/>
        <w:spacing w:after="0" w:line="234" w:lineRule="auto"/>
        <w:rPr>
          <w:sz w:val="20"/>
          <w:szCs w:val="20"/>
          <w:color w:val="auto"/>
        </w:rPr>
      </w:pPr>
      <w:r>
        <w:rPr>
          <w:rFonts w:ascii="Arial" w:cs="Arial" w:eastAsia="Arial" w:hAnsi="Arial"/>
          <w:sz w:val="17"/>
          <w:szCs w:val="17"/>
          <w:color w:val="auto"/>
        </w:rPr>
        <w:t>The underwriters are offering the shares of Class A common stock subject to their acceptance of the shares of Class A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 and Expenses</w:t>
      </w:r>
    </w:p>
    <w:p>
      <w:pPr>
        <w:spacing w:after="0" w:line="77" w:lineRule="exact"/>
        <w:rPr>
          <w:sz w:val="20"/>
          <w:szCs w:val="20"/>
          <w:color w:val="auto"/>
        </w:rPr>
      </w:pPr>
    </w:p>
    <w:p>
      <w:pPr>
        <w:ind w:left="160"/>
        <w:spacing w:after="0" w:line="229" w:lineRule="auto"/>
        <w:rPr>
          <w:sz w:val="20"/>
          <w:szCs w:val="20"/>
          <w:color w:val="auto"/>
        </w:rPr>
      </w:pPr>
      <w:r>
        <w:rPr>
          <w:rFonts w:ascii="Arial" w:cs="Arial" w:eastAsia="Arial" w:hAnsi="Arial"/>
          <w:sz w:val="17"/>
          <w:szCs w:val="17"/>
          <w:color w:val="auto"/>
        </w:rPr>
        <w:t>The underwriters have advised us that they propose to offer the shares of Class A common stock to the public at the initial public offering price set forth on the cover page of this prospectus and to certain dealers, which may include the underwriters, at that price less a concession not in</w:t>
      </w:r>
    </w:p>
    <w:p>
      <w:pPr>
        <w:spacing w:after="0" w:line="1" w:lineRule="exact"/>
        <w:rPr>
          <w:sz w:val="20"/>
          <w:szCs w:val="20"/>
          <w:color w:val="auto"/>
        </w:rPr>
      </w:pPr>
    </w:p>
    <w:p>
      <w:pPr>
        <w:ind w:left="160" w:right="400"/>
        <w:spacing w:after="0" w:line="229" w:lineRule="auto"/>
        <w:rPr>
          <w:sz w:val="20"/>
          <w:szCs w:val="20"/>
          <w:color w:val="auto"/>
        </w:rPr>
      </w:pPr>
      <w:r>
        <w:rPr>
          <w:rFonts w:ascii="Arial" w:cs="Arial" w:eastAsia="Arial" w:hAnsi="Arial"/>
          <w:sz w:val="17"/>
          <w:szCs w:val="17"/>
          <w:color w:val="auto"/>
        </w:rPr>
        <w:t>excess of $ per share of Class A common stock. The underwriters may allow, and certain dealers may reallow, a discount from the concession not in excess of $ per share of Class A common stock to certain brokers and dealers. After the offering, the initial public</w:t>
      </w:r>
    </w:p>
    <w:p>
      <w:pPr>
        <w:spacing w:after="0" w:line="1" w:lineRule="exact"/>
        <w:rPr>
          <w:sz w:val="20"/>
          <w:szCs w:val="20"/>
          <w:color w:val="auto"/>
        </w:rPr>
      </w:pPr>
    </w:p>
    <w:p>
      <w:pPr>
        <w:ind w:left="160" w:right="520"/>
        <w:spacing w:after="0" w:line="239" w:lineRule="auto"/>
        <w:rPr>
          <w:sz w:val="20"/>
          <w:szCs w:val="20"/>
          <w:color w:val="auto"/>
        </w:rPr>
      </w:pPr>
      <w:r>
        <w:rPr>
          <w:rFonts w:ascii="Arial" w:cs="Arial" w:eastAsia="Arial" w:hAnsi="Arial"/>
          <w:sz w:val="17"/>
          <w:szCs w:val="17"/>
          <w:color w:val="auto"/>
        </w:rPr>
        <w:t>offering price, concession and reallowance to dealers may be reduced by the representatives. No such reduction will change the amount of proceeds to be received by us as set forth on the cover page of this prospectus.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1080"/>
          </w:cols>
          <w:pgMar w:left="320" w:top="456" w:right="4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300"/>
        <w:spacing w:after="0" w:line="236"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6420" w:type="dxa"/>
            <w:vAlign w:val="bottom"/>
          </w:tcPr>
          <w:p>
            <w:pPr>
              <w:spacing w:after="0"/>
              <w:rPr>
                <w:sz w:val="15"/>
                <w:szCs w:val="15"/>
                <w:color w:val="auto"/>
              </w:rPr>
            </w:pPr>
          </w:p>
        </w:tc>
        <w:tc>
          <w:tcPr>
            <w:tcW w:w="2360" w:type="dxa"/>
            <w:vAlign w:val="bottom"/>
            <w:gridSpan w:val="4"/>
          </w:tcPr>
          <w:p>
            <w:pPr>
              <w:ind w:left="640"/>
              <w:spacing w:after="0"/>
              <w:rPr>
                <w:sz w:val="20"/>
                <w:szCs w:val="20"/>
                <w:color w:val="auto"/>
              </w:rPr>
            </w:pPr>
            <w:r>
              <w:rPr>
                <w:rFonts w:ascii="Arial" w:cs="Arial" w:eastAsia="Arial" w:hAnsi="Arial"/>
                <w:sz w:val="14"/>
                <w:szCs w:val="14"/>
                <w:b w:val="1"/>
                <w:bCs w:val="1"/>
                <w:color w:val="auto"/>
              </w:rPr>
              <w:t>PER SHARE</w:t>
            </w:r>
          </w:p>
        </w:tc>
        <w:tc>
          <w:tcPr>
            <w:tcW w:w="214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TOTAL</w:t>
            </w:r>
          </w:p>
        </w:tc>
      </w:tr>
      <w:tr>
        <w:trPr>
          <w:trHeight w:val="141"/>
        </w:trPr>
        <w:tc>
          <w:tcPr>
            <w:tcW w:w="64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WITHOUT</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WITH</w:t>
            </w:r>
          </w:p>
        </w:tc>
        <w:tc>
          <w:tcPr>
            <w:tcW w:w="2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WITHOUT</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0"/>
        </w:trPr>
        <w:tc>
          <w:tcPr>
            <w:tcW w:w="64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26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 TO</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260" w:type="dxa"/>
            <w:vAlign w:val="bottom"/>
          </w:tcPr>
          <w:p>
            <w:pPr>
              <w:spacing w:after="0"/>
              <w:rPr>
                <w:sz w:val="13"/>
                <w:szCs w:val="13"/>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TO</w:t>
            </w:r>
          </w:p>
        </w:tc>
      </w:tr>
      <w:tr>
        <w:trPr>
          <w:trHeight w:val="160"/>
        </w:trPr>
        <w:tc>
          <w:tcPr>
            <w:tcW w:w="64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26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PURCHASE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260" w:type="dxa"/>
            <w:vAlign w:val="bottom"/>
          </w:tcPr>
          <w:p>
            <w:pPr>
              <w:spacing w:after="0"/>
              <w:rPr>
                <w:sz w:val="13"/>
                <w:szCs w:val="13"/>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PURCHASE</w:t>
            </w:r>
          </w:p>
        </w:tc>
      </w:tr>
      <w:tr>
        <w:trPr>
          <w:trHeight w:val="160"/>
        </w:trPr>
        <w:tc>
          <w:tcPr>
            <w:tcW w:w="64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3"/>
                <w:szCs w:val="13"/>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ADDITIONAL</w:t>
            </w:r>
          </w:p>
        </w:tc>
      </w:tr>
      <w:tr>
        <w:trPr>
          <w:trHeight w:val="174"/>
        </w:trPr>
        <w:tc>
          <w:tcPr>
            <w:tcW w:w="64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SHARES</w:t>
            </w:r>
          </w:p>
        </w:tc>
      </w:tr>
      <w:tr>
        <w:trPr>
          <w:trHeight w:val="181"/>
        </w:trPr>
        <w:tc>
          <w:tcPr>
            <w:tcW w:w="642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Public offering price</w:t>
            </w:r>
          </w:p>
        </w:tc>
        <w:tc>
          <w:tcPr>
            <w:tcW w:w="920" w:type="dxa"/>
            <w:vAlign w:val="bottom"/>
            <w:tcBorders>
              <w:top w:val="single" w:sz="8" w:color="auto"/>
            </w:tcBorders>
            <w:shd w:val="clear" w:color="auto" w:fill="CCEEFF"/>
          </w:tcPr>
          <w:p>
            <w:pPr>
              <w:jc w:val="right"/>
              <w:ind w:right="744"/>
              <w:spacing w:after="0" w:line="180" w:lineRule="exact"/>
              <w:rPr>
                <w:sz w:val="20"/>
                <w:szCs w:val="20"/>
                <w:color w:val="auto"/>
              </w:rPr>
            </w:pPr>
            <w:r>
              <w:rPr>
                <w:rFonts w:ascii="Arial" w:cs="Arial" w:eastAsia="Arial" w:hAnsi="Arial"/>
                <w:sz w:val="17"/>
                <w:szCs w:val="17"/>
                <w:color w:val="auto"/>
                <w:w w:val="84"/>
              </w:rPr>
              <w:t>$</w:t>
            </w: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46"/>
              <w:spacing w:after="0" w:line="180" w:lineRule="exact"/>
              <w:rPr>
                <w:sz w:val="20"/>
                <w:szCs w:val="20"/>
                <w:color w:val="auto"/>
              </w:rPr>
            </w:pPr>
            <w:r>
              <w:rPr>
                <w:rFonts w:ascii="Arial" w:cs="Arial" w:eastAsia="Arial" w:hAnsi="Arial"/>
                <w:sz w:val="17"/>
                <w:szCs w:val="17"/>
                <w:color w:val="auto"/>
                <w:w w:val="84"/>
              </w:rPr>
              <w:t>$</w:t>
            </w: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44"/>
              <w:spacing w:after="0" w:line="180" w:lineRule="exact"/>
              <w:rPr>
                <w:sz w:val="20"/>
                <w:szCs w:val="20"/>
                <w:color w:val="auto"/>
              </w:rPr>
            </w:pPr>
            <w:r>
              <w:rPr>
                <w:rFonts w:ascii="Arial" w:cs="Arial" w:eastAsia="Arial" w:hAnsi="Arial"/>
                <w:sz w:val="17"/>
                <w:szCs w:val="17"/>
                <w:color w:val="auto"/>
                <w:w w:val="84"/>
              </w:rPr>
              <w:t>$</w:t>
            </w:r>
          </w:p>
        </w:tc>
        <w:tc>
          <w:tcPr>
            <w:tcW w:w="2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6"/>
              <w:spacing w:after="0" w:line="180"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7"/>
        </w:trPr>
        <w:tc>
          <w:tcPr>
            <w:tcW w:w="6420" w:type="dxa"/>
            <w:vAlign w:val="bottom"/>
          </w:tcPr>
          <w:p>
            <w:pPr>
              <w:spacing w:after="0" w:line="187" w:lineRule="exact"/>
              <w:rPr>
                <w:sz w:val="20"/>
                <w:szCs w:val="20"/>
                <w:color w:val="auto"/>
              </w:rPr>
            </w:pPr>
            <w:r>
              <w:rPr>
                <w:rFonts w:ascii="Arial" w:cs="Arial" w:eastAsia="Arial" w:hAnsi="Arial"/>
                <w:sz w:val="17"/>
                <w:szCs w:val="17"/>
                <w:color w:val="auto"/>
              </w:rPr>
              <w:t>Underwriting discounts and commissions paid by us</w:t>
            </w:r>
          </w:p>
        </w:tc>
        <w:tc>
          <w:tcPr>
            <w:tcW w:w="920" w:type="dxa"/>
            <w:vAlign w:val="bottom"/>
          </w:tcPr>
          <w:p>
            <w:pPr>
              <w:jc w:val="right"/>
              <w:ind w:right="744"/>
              <w:spacing w:after="0" w:line="187" w:lineRule="exact"/>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746"/>
              <w:spacing w:after="0" w:line="187"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920" w:type="dxa"/>
            <w:vAlign w:val="bottom"/>
          </w:tcPr>
          <w:p>
            <w:pPr>
              <w:jc w:val="right"/>
              <w:ind w:right="744"/>
              <w:spacing w:after="0" w:line="187" w:lineRule="exact"/>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726"/>
              <w:spacing w:after="0" w:line="187"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87"/>
        </w:trPr>
        <w:tc>
          <w:tcPr>
            <w:tcW w:w="64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Proceeds to us, before expenses</w:t>
            </w:r>
          </w:p>
        </w:tc>
        <w:tc>
          <w:tcPr>
            <w:tcW w:w="920" w:type="dxa"/>
            <w:vAlign w:val="bottom"/>
            <w:shd w:val="clear" w:color="auto" w:fill="CCEEFF"/>
          </w:tcPr>
          <w:p>
            <w:pPr>
              <w:jc w:val="right"/>
              <w:ind w:right="744"/>
              <w:spacing w:after="0" w:line="187"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746"/>
              <w:spacing w:after="0" w:line="187"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44"/>
              <w:spacing w:after="0" w:line="187" w:lineRule="exact"/>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726"/>
              <w:spacing w:after="0" w:line="187"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297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62" w:lineRule="exact"/>
        <w:rPr>
          <w:sz w:val="20"/>
          <w:szCs w:val="20"/>
          <w:color w:val="auto"/>
        </w:rPr>
      </w:pPr>
    </w:p>
    <w:p>
      <w:pPr>
        <w:ind w:left="160" w:right="200"/>
        <w:spacing w:after="0" w:line="239"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$3.1 million.</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Determination of Offering Price</w:t>
      </w:r>
    </w:p>
    <w:p>
      <w:pPr>
        <w:spacing w:after="0" w:line="77"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Prior to this offering, there has not been a public market for our Class A common stock. Consequently, the initial public offering price for our Class A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7" w:lineRule="exact"/>
        <w:rPr>
          <w:sz w:val="20"/>
          <w:szCs w:val="20"/>
          <w:color w:val="auto"/>
        </w:rPr>
      </w:pPr>
    </w:p>
    <w:p>
      <w:pPr>
        <w:ind w:left="160" w:right="140"/>
        <w:spacing w:after="0" w:line="269" w:lineRule="auto"/>
        <w:rPr>
          <w:sz w:val="20"/>
          <w:szCs w:val="20"/>
          <w:color w:val="auto"/>
        </w:rPr>
      </w:pPr>
      <w:r>
        <w:rPr>
          <w:rFonts w:ascii="Arial" w:cs="Arial" w:eastAsia="Arial" w:hAnsi="Arial"/>
          <w:sz w:val="16"/>
          <w:szCs w:val="16"/>
          <w:color w:val="auto"/>
        </w:rPr>
        <w:t>We offer no assurances that the initial public offering price will correspond to the price at which the Class A common stock will trade in the public market subsequent to the offering or that an active trading market for the Class A common stock will develop and continue after the offering.</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Listing</w:t>
      </w:r>
    </w:p>
    <w:p>
      <w:pPr>
        <w:spacing w:after="0" w:line="91" w:lineRule="exact"/>
        <w:rPr>
          <w:sz w:val="20"/>
          <w:szCs w:val="20"/>
          <w:color w:val="auto"/>
        </w:rPr>
      </w:pPr>
    </w:p>
    <w:p>
      <w:pPr>
        <w:ind w:left="160" w:right="220"/>
        <w:spacing w:after="0" w:line="239" w:lineRule="auto"/>
        <w:rPr>
          <w:sz w:val="20"/>
          <w:szCs w:val="20"/>
          <w:color w:val="auto"/>
        </w:rPr>
      </w:pPr>
      <w:r>
        <w:rPr>
          <w:rFonts w:ascii="Arial" w:cs="Arial" w:eastAsia="Arial" w:hAnsi="Arial"/>
          <w:sz w:val="17"/>
          <w:szCs w:val="17"/>
          <w:color w:val="auto"/>
        </w:rPr>
        <w:t>We have applied to list our Class A common stock on The Nasdaq Global Market under the trading symbol “VERA”. We do not intend to list the Class B common stock on any securities exchange.</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Stamp Taxes</w:t>
      </w:r>
    </w:p>
    <w:p>
      <w:pPr>
        <w:spacing w:after="0" w:line="77" w:lineRule="exact"/>
        <w:rPr>
          <w:sz w:val="20"/>
          <w:szCs w:val="20"/>
          <w:color w:val="auto"/>
        </w:rPr>
      </w:pPr>
    </w:p>
    <w:p>
      <w:pPr>
        <w:ind w:left="160" w:right="20"/>
        <w:spacing w:after="0" w:line="239" w:lineRule="auto"/>
        <w:rPr>
          <w:sz w:val="20"/>
          <w:szCs w:val="20"/>
          <w:color w:val="auto"/>
        </w:rPr>
      </w:pPr>
      <w:r>
        <w:rPr>
          <w:rFonts w:ascii="Arial" w:cs="Arial" w:eastAsia="Arial" w:hAnsi="Arial"/>
          <w:sz w:val="17"/>
          <w:szCs w:val="17"/>
          <w:color w:val="auto"/>
        </w:rPr>
        <w:t>If you purchase shares of Class A common stock offered in this prospectus, you may be required to pay stamp taxes and other charges under the laws and practices of the country of purchase, in addition to the offering price listed on the cover page of this prospectus.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77" w:lineRule="exact"/>
        <w:rPr>
          <w:sz w:val="20"/>
          <w:szCs w:val="20"/>
          <w:color w:val="auto"/>
        </w:rPr>
      </w:pPr>
    </w:p>
    <w:p>
      <w:pPr>
        <w:ind w:left="160" w:right="140"/>
        <w:spacing w:after="0" w:line="23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 part, up to an aggregate of 652,500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 Sales of Similar Securities</w:t>
      </w:r>
    </w:p>
    <w:p>
      <w:pPr>
        <w:spacing w:after="0" w:line="91" w:lineRule="exact"/>
        <w:rPr>
          <w:sz w:val="20"/>
          <w:szCs w:val="20"/>
          <w:color w:val="auto"/>
        </w:rPr>
      </w:pPr>
    </w:p>
    <w:p>
      <w:pPr>
        <w:ind w:left="160" w:right="20"/>
        <w:spacing w:after="0" w:line="239" w:lineRule="auto"/>
        <w:rPr>
          <w:sz w:val="20"/>
          <w:szCs w:val="20"/>
          <w:color w:val="auto"/>
        </w:rPr>
      </w:pPr>
      <w:r>
        <w:rPr>
          <w:rFonts w:ascii="Arial" w:cs="Arial" w:eastAsia="Arial" w:hAnsi="Arial"/>
          <w:sz w:val="17"/>
          <w:szCs w:val="17"/>
          <w:color w:val="auto"/>
        </w:rPr>
        <w:t>We, our officers, directors and holders of all or substantially all our outstanding capital stock and other securities have agreed, subject to specified exceptions, not to directly or indirectly:</w:t>
      </w:r>
    </w:p>
    <w:p>
      <w:pPr>
        <w:spacing w:after="0" w:line="106" w:lineRule="exact"/>
        <w:rPr>
          <w:sz w:val="20"/>
          <w:szCs w:val="20"/>
          <w:color w:val="auto"/>
        </w:rPr>
      </w:pPr>
    </w:p>
    <w:p>
      <w:pPr>
        <w:ind w:left="1020" w:right="280" w:hanging="425"/>
        <w:spacing w:after="0" w:line="239" w:lineRule="auto"/>
        <w:tabs>
          <w:tab w:leader="none" w:pos="1020" w:val="left"/>
        </w:tabs>
        <w:numPr>
          <w:ilvl w:val="0"/>
          <w:numId w:val="104"/>
        </w:numPr>
        <w:rPr>
          <w:rFonts w:ascii="MS PGothic" w:cs="MS PGothic" w:eastAsia="MS PGothic" w:hAnsi="MS PGothic"/>
          <w:sz w:val="12"/>
          <w:szCs w:val="12"/>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 or</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1080"/>
          </w:cols>
          <w:pgMar w:left="320" w:top="456"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1020" w:hanging="425"/>
        <w:spacing w:after="0" w:line="236" w:lineRule="auto"/>
        <w:tabs>
          <w:tab w:leader="none" w:pos="1020" w:val="left"/>
        </w:tabs>
        <w:numPr>
          <w:ilvl w:val="0"/>
          <w:numId w:val="105"/>
        </w:numPr>
        <w:rPr>
          <w:rFonts w:ascii="MS PGothic" w:cs="MS PGothic" w:eastAsia="MS PGothic" w:hAnsi="MS PGothic"/>
          <w:sz w:val="12"/>
          <w:szCs w:val="12"/>
          <w:color w:val="auto"/>
        </w:rPr>
      </w:pPr>
      <w:r>
        <w:rPr>
          <w:rFonts w:ascii="Arial" w:cs="Arial" w:eastAsia="Arial" w:hAnsi="Arial"/>
          <w:sz w:val="17"/>
          <w:szCs w:val="17"/>
          <w:color w:val="auto"/>
        </w:rPr>
        <w:t>otherwise dispose of any shares of Class A common stock or Class B common stock, options or warrants to acquire shares of Class A common stock, or securities exchangeable or exercisable for or convertible into shares of Class A common stock currently or hereafter owned either of record or beneficially, or</w:t>
      </w:r>
    </w:p>
    <w:p>
      <w:pPr>
        <w:spacing w:after="0" w:line="25" w:lineRule="exact"/>
        <w:rPr>
          <w:rFonts w:ascii="MS PGothic" w:cs="MS PGothic" w:eastAsia="MS PGothic" w:hAnsi="MS PGothic"/>
          <w:sz w:val="12"/>
          <w:szCs w:val="12"/>
          <w:color w:val="auto"/>
        </w:rPr>
      </w:pPr>
    </w:p>
    <w:p>
      <w:pPr>
        <w:ind w:left="1020" w:right="320" w:hanging="425"/>
        <w:spacing w:after="0" w:line="239" w:lineRule="auto"/>
        <w:tabs>
          <w:tab w:leader="none" w:pos="1020" w:val="left"/>
        </w:tabs>
        <w:numPr>
          <w:ilvl w:val="0"/>
          <w:numId w:val="105"/>
        </w:numPr>
        <w:rPr>
          <w:rFonts w:ascii="MS PGothic" w:cs="MS PGothic" w:eastAsia="MS PGothic" w:hAnsi="MS PGothic"/>
          <w:sz w:val="12"/>
          <w:szCs w:val="12"/>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Cowen and Company, LLC and Evercore Group L.L.C.</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This restriction terminates after the close of trading of the Class A common stock on and including the 180th day after the date of this prospectus.</w:t>
      </w:r>
    </w:p>
    <w:p>
      <w:pPr>
        <w:spacing w:after="0" w:line="152" w:lineRule="exact"/>
        <w:rPr>
          <w:sz w:val="20"/>
          <w:szCs w:val="20"/>
          <w:color w:val="auto"/>
        </w:rPr>
      </w:pPr>
    </w:p>
    <w:p>
      <w:pPr>
        <w:ind w:left="160" w:right="140"/>
        <w:spacing w:after="0" w:line="234" w:lineRule="auto"/>
        <w:rPr>
          <w:sz w:val="20"/>
          <w:szCs w:val="20"/>
          <w:color w:val="auto"/>
        </w:rPr>
      </w:pPr>
      <w:r>
        <w:rPr>
          <w:rFonts w:ascii="Arial" w:cs="Arial" w:eastAsia="Arial" w:hAnsi="Arial"/>
          <w:sz w:val="17"/>
          <w:szCs w:val="17"/>
          <w:color w:val="auto"/>
        </w:rPr>
        <w:t>Jefferies LLC, Cowen and Company, LLC and Evercore Group L.L.C.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Stabilization</w:t>
      </w:r>
    </w:p>
    <w:p>
      <w:pPr>
        <w:spacing w:after="0" w:line="91"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Class A common stock at a level above that which might otherwise prevail in the open market. Establishing short sales positions may involve either “covered” short sales or “naked” short sales.</w:t>
      </w:r>
    </w:p>
    <w:p>
      <w:pPr>
        <w:spacing w:after="0" w:line="148"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Class A common stock in this offering. The underwriters may close out any covered short position by either exercising their option to purchase additional shares of our Class A common stock or purchasing shares of our Class A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48" w:lineRule="exact"/>
        <w:rPr>
          <w:sz w:val="20"/>
          <w:szCs w:val="20"/>
          <w:color w:val="auto"/>
        </w:rPr>
      </w:pPr>
    </w:p>
    <w:p>
      <w:pPr>
        <w:ind w:left="160" w:right="180"/>
        <w:spacing w:after="0" w:line="234" w:lineRule="auto"/>
        <w:rPr>
          <w:sz w:val="20"/>
          <w:szCs w:val="20"/>
          <w:color w:val="auto"/>
        </w:rPr>
      </w:pPr>
      <w:r>
        <w:rPr>
          <w:rFonts w:ascii="Arial" w:cs="Arial" w:eastAsia="Arial" w:hAnsi="Arial"/>
          <w:sz w:val="17"/>
          <w:szCs w:val="17"/>
          <w:color w:val="auto"/>
        </w:rPr>
        <w:t>“Naked” short sales are sales in excess of the option to purchase additional shares of our Class A common stock. The underwriters must close out any naked short position by purchasing shares in the open market. A naked short position is more likely to be created if the underwriters are concerned that there may be downward pressure on the price of the shares of our Class A common stock in the open market after pricing that could adversely affect investors who purchase in this offering.</w:t>
      </w:r>
    </w:p>
    <w:p>
      <w:pPr>
        <w:spacing w:after="0" w:line="147" w:lineRule="exact"/>
        <w:rPr>
          <w:sz w:val="20"/>
          <w:szCs w:val="20"/>
          <w:color w:val="auto"/>
        </w:rPr>
      </w:pPr>
    </w:p>
    <w:p>
      <w:pPr>
        <w:ind w:left="160" w:right="60"/>
        <w:spacing w:after="0" w:line="232" w:lineRule="auto"/>
        <w:rPr>
          <w:sz w:val="20"/>
          <w:szCs w:val="20"/>
          <w:color w:val="auto"/>
        </w:rPr>
      </w:pPr>
      <w:r>
        <w:rPr>
          <w:rFonts w:ascii="Arial" w:cs="Arial" w:eastAsia="Arial" w:hAnsi="Arial"/>
          <w:sz w:val="17"/>
          <w:szCs w:val="17"/>
          <w:color w:val="auto"/>
        </w:rPr>
        <w:t>A stabilizing bid is a bid for the purchase of shares of Class A common stock on behalf of the underwriters for the purpose of fixing or maintaining the price of the Class A common stock. A syndicate covering transaction is the bid for or the purchase of shares of Class A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Class A common stock or preventing or retarding a decline in the market price of our Class A common stock. As a result, the price of our Class A common stock may be higher than the price that might otherwise exist in the open market. A penalty bid is an arrangement permitting the underwriters to reclaim the selling concession otherwise accruing to a syndicate member in connection with the offering if the Class A common stock originally sold by such syndicate member are purchased in a syndicate covering transaction and therefore have not been effectively placed by such syndicate member.</w:t>
      </w:r>
    </w:p>
    <w:p>
      <w:pPr>
        <w:spacing w:after="0" w:line="145" w:lineRule="exact"/>
        <w:rPr>
          <w:sz w:val="20"/>
          <w:szCs w:val="20"/>
          <w:color w:val="auto"/>
        </w:rPr>
      </w:pPr>
    </w:p>
    <w:p>
      <w:pPr>
        <w:ind w:left="160" w:right="200"/>
        <w:spacing w:after="0" w:line="23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Class A common stock. The underwriters are not obligated to engage in these activities and, if commenced, any of the activities may be discontinued at any time.</w:t>
      </w:r>
    </w:p>
    <w:p>
      <w:pPr>
        <w:spacing w:after="0" w:line="146" w:lineRule="exact"/>
        <w:rPr>
          <w:sz w:val="20"/>
          <w:szCs w:val="20"/>
          <w:color w:val="auto"/>
        </w:rPr>
      </w:pPr>
    </w:p>
    <w:p>
      <w:pPr>
        <w:ind w:left="160" w:right="660"/>
        <w:spacing w:after="0" w:line="239" w:lineRule="auto"/>
        <w:rPr>
          <w:sz w:val="20"/>
          <w:szCs w:val="20"/>
          <w:color w:val="auto"/>
        </w:rPr>
      </w:pPr>
      <w:r>
        <w:rPr>
          <w:rFonts w:ascii="Arial" w:cs="Arial" w:eastAsia="Arial" w:hAnsi="Arial"/>
          <w:sz w:val="17"/>
          <w:szCs w:val="17"/>
          <w:color w:val="auto"/>
        </w:rPr>
        <w:t>The underwriters may also engage in passive market making transactions in our Class A common stock on The Nasdaq Global Market in accordance with Rule 103 of Regulation M during a period before the commencement of</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1080"/>
          </w:cols>
          <w:pgMar w:left="320" w:top="456"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300"/>
        <w:spacing w:after="0" w:line="236" w:lineRule="auto"/>
        <w:rPr>
          <w:sz w:val="20"/>
          <w:szCs w:val="20"/>
          <w:color w:val="auto"/>
        </w:rPr>
      </w:pPr>
      <w:r>
        <w:rPr>
          <w:rFonts w:ascii="Arial" w:cs="Arial" w:eastAsia="Arial" w:hAnsi="Arial"/>
          <w:sz w:val="17"/>
          <w:szCs w:val="17"/>
          <w:color w:val="auto"/>
        </w:rPr>
        <w:t>offers or sales of shares of our Class A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Electronic Distribution</w:t>
      </w:r>
    </w:p>
    <w:p>
      <w:pPr>
        <w:spacing w:after="0" w:line="91"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Class A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Activities and Relationships</w:t>
      </w:r>
    </w:p>
    <w:p>
      <w:pPr>
        <w:spacing w:after="0" w:line="77"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201"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Class A common stock offered hereby. Any such short positions could adversely affect future trading prices of the Class A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Directed Share Program</w:t>
      </w:r>
    </w:p>
    <w:p>
      <w:pPr>
        <w:spacing w:after="0" w:line="77"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At our request, the underwriters have reserved for sale, at the initial public offering price, up to 3% of the shares of Class A common stock offered hereby to our directors, officers, employees, business associates and related persons through a directed share program. Shares purchased through the directed share program will not be subject to a lock-up restriction, except in the case of shares purchased by any of our directors or officers and certain of our employees and existing equity holders. The number of shares of Class A common stock available for sale to the general public will be reduced to the extent these individuals purchase such reserved shares. The underwriters will receive the same discount from such reserved shares as they will from other shares of our Class A common stock sold to the public in this offering. We have agreed to indemnify the underwriters against certain liabilities and expenses, including liabilities under the Securities Act, in connection with sales of the reserved shares. Jefferies LLC will administer our directed share program.</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183</w:t>
      </w:r>
    </w:p>
    <w:p>
      <w:pPr>
        <w:sectPr>
          <w:pgSz w:w="11900" w:h="16838" w:orient="portrait"/>
          <w:cols w:equalWidth="0" w:num="1">
            <w:col w:w="11060"/>
          </w:cols>
          <w:pgMar w:left="320" w:top="456" w:right="5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Canada</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(A) Resale Restrictions</w:t>
      </w:r>
    </w:p>
    <w:p>
      <w:pPr>
        <w:spacing w:after="0" w:line="50" w:lineRule="exact"/>
        <w:rPr>
          <w:sz w:val="20"/>
          <w:szCs w:val="20"/>
          <w:color w:val="auto"/>
        </w:rPr>
      </w:pPr>
    </w:p>
    <w:p>
      <w:pPr>
        <w:ind w:left="160" w:right="120"/>
        <w:spacing w:after="0" w:line="233" w:lineRule="auto"/>
        <w:rPr>
          <w:sz w:val="20"/>
          <w:szCs w:val="20"/>
          <w:color w:val="auto"/>
        </w:rPr>
      </w:pPr>
      <w:r>
        <w:rPr>
          <w:rFonts w:ascii="Arial" w:cs="Arial" w:eastAsia="Arial" w:hAnsi="Arial"/>
          <w:sz w:val="17"/>
          <w:szCs w:val="17"/>
          <w:color w:val="auto"/>
        </w:rPr>
        <w:t>The distribution of the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(B) Representations of Canadian Purchasers</w:t>
      </w:r>
    </w:p>
    <w:p>
      <w:pPr>
        <w:spacing w:after="0" w:line="50" w:lineRule="exact"/>
        <w:rPr>
          <w:sz w:val="20"/>
          <w:szCs w:val="20"/>
          <w:color w:val="auto"/>
        </w:rPr>
      </w:pPr>
    </w:p>
    <w:p>
      <w:pPr>
        <w:ind w:left="160" w:right="40"/>
        <w:spacing w:after="0" w:line="239" w:lineRule="auto"/>
        <w:rPr>
          <w:sz w:val="20"/>
          <w:szCs w:val="20"/>
          <w:color w:val="auto"/>
        </w:rPr>
      </w:pPr>
      <w:r>
        <w:rPr>
          <w:rFonts w:ascii="Arial" w:cs="Arial" w:eastAsia="Arial" w:hAnsi="Arial"/>
          <w:sz w:val="17"/>
          <w:szCs w:val="17"/>
          <w:color w:val="auto"/>
        </w:rPr>
        <w:t>By purchasing the securities in Canada and accepting delivery of a purchase confirmation, a purchaser is representing to us and the dealer from whom the purchase confirmation is received that:</w:t>
      </w:r>
    </w:p>
    <w:p>
      <w:pPr>
        <w:spacing w:after="0" w:line="186" w:lineRule="exact"/>
        <w:rPr>
          <w:sz w:val="20"/>
          <w:szCs w:val="20"/>
          <w:color w:val="auto"/>
        </w:rPr>
      </w:pPr>
    </w:p>
    <w:p>
      <w:pPr>
        <w:ind w:left="1020" w:right="380" w:hanging="425"/>
        <w:spacing w:after="0" w:line="236" w:lineRule="auto"/>
        <w:tabs>
          <w:tab w:leader="none" w:pos="1020" w:val="left"/>
        </w:tabs>
        <w:numPr>
          <w:ilvl w:val="1"/>
          <w:numId w:val="106"/>
        </w:numPr>
        <w:rPr>
          <w:rFonts w:ascii="MS PGothic" w:cs="MS PGothic" w:eastAsia="MS PGothic" w:hAnsi="MS PGothic"/>
          <w:sz w:val="12"/>
          <w:szCs w:val="12"/>
          <w:color w:val="auto"/>
        </w:rPr>
      </w:pPr>
      <w:r>
        <w:rPr>
          <w:rFonts w:ascii="Arial" w:cs="Arial" w:eastAsia="Arial" w:hAnsi="Arial"/>
          <w:sz w:val="17"/>
          <w:szCs w:val="17"/>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w:t>
      </w:r>
      <w:r>
        <w:rPr>
          <w:rFonts w:ascii="Arial" w:cs="Arial" w:eastAsia="Arial" w:hAnsi="Arial"/>
          <w:sz w:val="17"/>
          <w:szCs w:val="17"/>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Exemptions </w:t>
      </w:r>
      <w:r>
        <w:rPr>
          <w:rFonts w:ascii="Arial" w:cs="Arial" w:eastAsia="Arial" w:hAnsi="Arial"/>
          <w:sz w:val="17"/>
          <w:szCs w:val="17"/>
          <w:color w:val="auto"/>
        </w:rPr>
        <w:t>or Section 73.3(1) of the</w:t>
      </w:r>
      <w:r>
        <w:rPr>
          <w:rFonts w:ascii="Arial" w:cs="Arial" w:eastAsia="Arial" w:hAnsi="Arial"/>
          <w:sz w:val="17"/>
          <w:szCs w:val="17"/>
          <w:i w:val="1"/>
          <w:iCs w:val="1"/>
          <w:color w:val="auto"/>
        </w:rPr>
        <w:t xml:space="preserve"> Securities Act </w:t>
      </w:r>
      <w:r>
        <w:rPr>
          <w:rFonts w:ascii="Arial" w:cs="Arial" w:eastAsia="Arial" w:hAnsi="Arial"/>
          <w:sz w:val="17"/>
          <w:szCs w:val="17"/>
          <w:color w:val="auto"/>
        </w:rPr>
        <w:t>(Ontario), as applicable,</w:t>
      </w:r>
    </w:p>
    <w:p>
      <w:pPr>
        <w:spacing w:after="0" w:line="7" w:lineRule="exact"/>
        <w:rPr>
          <w:rFonts w:ascii="MS PGothic" w:cs="MS PGothic" w:eastAsia="MS PGothic" w:hAnsi="MS PGothic"/>
          <w:sz w:val="12"/>
          <w:szCs w:val="12"/>
          <w:color w:val="auto"/>
        </w:rPr>
      </w:pPr>
    </w:p>
    <w:p>
      <w:pPr>
        <w:ind w:left="1020" w:right="60" w:hanging="425"/>
        <w:spacing w:after="0" w:line="254" w:lineRule="auto"/>
        <w:tabs>
          <w:tab w:leader="none" w:pos="1020" w:val="left"/>
        </w:tabs>
        <w:numPr>
          <w:ilvl w:val="1"/>
          <w:numId w:val="106"/>
        </w:numPr>
        <w:rPr>
          <w:rFonts w:ascii="MS PGothic" w:cs="MS PGothic" w:eastAsia="MS PGothic" w:hAnsi="MS PGothic"/>
          <w:sz w:val="12"/>
          <w:szCs w:val="12"/>
          <w:color w:val="auto"/>
        </w:rPr>
      </w:pPr>
      <w:r>
        <w:rPr>
          <w:rFonts w:ascii="Arial" w:cs="Arial" w:eastAsia="Arial" w:hAnsi="Arial"/>
          <w:sz w:val="17"/>
          <w:szCs w:val="17"/>
          <w:color w:val="auto"/>
        </w:rPr>
        <w:t>the purchaser is a “permitted client” as defined in National Instrument 31-103—</w:t>
      </w:r>
      <w:r>
        <w:rPr>
          <w:rFonts w:ascii="Arial" w:cs="Arial" w:eastAsia="Arial" w:hAnsi="Arial"/>
          <w:sz w:val="17"/>
          <w:szCs w:val="17"/>
          <w:i w:val="1"/>
          <w:iCs w:val="1"/>
          <w:color w:val="auto"/>
        </w:rPr>
        <w:t>Registration Requirements, Exemptions and Ongoing</w:t>
      </w:r>
      <w:r>
        <w:rPr>
          <w:rFonts w:ascii="Arial" w:cs="Arial" w:eastAsia="Arial" w:hAnsi="Arial"/>
          <w:sz w:val="17"/>
          <w:szCs w:val="17"/>
          <w:color w:val="auto"/>
        </w:rPr>
        <w:t xml:space="preserve"> </w:t>
      </w:r>
      <w:r>
        <w:rPr>
          <w:rFonts w:ascii="Arial" w:cs="Arial" w:eastAsia="Arial" w:hAnsi="Arial"/>
          <w:sz w:val="17"/>
          <w:szCs w:val="17"/>
          <w:i w:val="1"/>
          <w:iCs w:val="1"/>
          <w:color w:val="auto"/>
        </w:rPr>
        <w:t>Registrant Obligations</w:t>
      </w:r>
      <w:r>
        <w:rPr>
          <w:rFonts w:ascii="Arial" w:cs="Arial" w:eastAsia="Arial" w:hAnsi="Arial"/>
          <w:sz w:val="17"/>
          <w:szCs w:val="17"/>
          <w:color w:val="auto"/>
        </w:rPr>
        <w:t>,</w:t>
      </w:r>
    </w:p>
    <w:p>
      <w:pPr>
        <w:spacing w:after="0" w:line="18" w:lineRule="exact"/>
        <w:rPr>
          <w:rFonts w:ascii="MS PGothic" w:cs="MS PGothic" w:eastAsia="MS PGothic" w:hAnsi="MS PGothic"/>
          <w:sz w:val="12"/>
          <w:szCs w:val="12"/>
          <w:color w:val="auto"/>
        </w:rPr>
      </w:pPr>
    </w:p>
    <w:p>
      <w:pPr>
        <w:ind w:left="1020" w:hanging="425"/>
        <w:spacing w:after="0"/>
        <w:tabs>
          <w:tab w:leader="none" w:pos="1020" w:val="left"/>
        </w:tabs>
        <w:numPr>
          <w:ilvl w:val="1"/>
          <w:numId w:val="106"/>
        </w:numPr>
        <w:rPr>
          <w:rFonts w:ascii="MS PGothic" w:cs="MS PGothic" w:eastAsia="MS PGothic" w:hAnsi="MS PGothic"/>
          <w:sz w:val="12"/>
          <w:szCs w:val="12"/>
          <w:color w:val="auto"/>
        </w:rPr>
      </w:pPr>
      <w:r>
        <w:rPr>
          <w:rFonts w:ascii="Arial" w:cs="Arial" w:eastAsia="Arial" w:hAnsi="Arial"/>
          <w:sz w:val="17"/>
          <w:szCs w:val="17"/>
          <w:color w:val="auto"/>
        </w:rPr>
        <w:t>where required by law, the purchaser is purchasing as principal and not as agent, and</w:t>
      </w:r>
    </w:p>
    <w:p>
      <w:pPr>
        <w:spacing w:after="0" w:line="31" w:lineRule="exact"/>
        <w:rPr>
          <w:rFonts w:ascii="MS PGothic" w:cs="MS PGothic" w:eastAsia="MS PGothic" w:hAnsi="MS PGothic"/>
          <w:sz w:val="12"/>
          <w:szCs w:val="12"/>
          <w:color w:val="auto"/>
        </w:rPr>
      </w:pPr>
    </w:p>
    <w:p>
      <w:pPr>
        <w:ind w:left="1020" w:hanging="425"/>
        <w:spacing w:after="0"/>
        <w:tabs>
          <w:tab w:leader="none" w:pos="1020" w:val="left"/>
        </w:tabs>
        <w:numPr>
          <w:ilvl w:val="1"/>
          <w:numId w:val="106"/>
        </w:numPr>
        <w:rPr>
          <w:rFonts w:ascii="MS PGothic" w:cs="MS PGothic" w:eastAsia="MS PGothic" w:hAnsi="MS PGothic"/>
          <w:sz w:val="12"/>
          <w:szCs w:val="12"/>
          <w:color w:val="auto"/>
        </w:rPr>
      </w:pPr>
      <w:r>
        <w:rPr>
          <w:rFonts w:ascii="Arial" w:cs="Arial" w:eastAsia="Arial" w:hAnsi="Arial"/>
          <w:sz w:val="17"/>
          <w:szCs w:val="17"/>
          <w:color w:val="auto"/>
        </w:rPr>
        <w:t>the purchaser has reviewed the text above under Resale Restrictions.</w:t>
      </w:r>
    </w:p>
    <w:p>
      <w:pPr>
        <w:spacing w:after="0" w:line="40" w:lineRule="exact"/>
        <w:rPr>
          <w:rFonts w:ascii="MS PGothic" w:cs="MS PGothic" w:eastAsia="MS PGothic" w:hAnsi="MS PGothic"/>
          <w:sz w:val="12"/>
          <w:szCs w:val="12"/>
          <w:color w:val="auto"/>
        </w:rPr>
      </w:pPr>
    </w:p>
    <w:p>
      <w:pPr>
        <w:ind w:left="440" w:hanging="273"/>
        <w:spacing w:after="0"/>
        <w:tabs>
          <w:tab w:leader="none" w:pos="440" w:val="left"/>
        </w:tabs>
        <w:numPr>
          <w:ilvl w:val="0"/>
          <w:numId w:val="106"/>
        </w:numPr>
        <w:rPr>
          <w:rFonts w:ascii="Arial" w:cs="Arial" w:eastAsia="Arial" w:hAnsi="Arial"/>
          <w:sz w:val="17"/>
          <w:szCs w:val="17"/>
          <w:i w:val="1"/>
          <w:iCs w:val="1"/>
          <w:color w:val="auto"/>
        </w:rPr>
      </w:pPr>
      <w:r>
        <w:rPr>
          <w:rFonts w:ascii="Arial" w:cs="Arial" w:eastAsia="Arial" w:hAnsi="Arial"/>
          <w:sz w:val="17"/>
          <w:szCs w:val="17"/>
          <w:i w:val="1"/>
          <w:iCs w:val="1"/>
          <w:color w:val="auto"/>
        </w:rPr>
        <w:t>Conflicts of Interest</w:t>
      </w:r>
    </w:p>
    <w:p>
      <w:pPr>
        <w:spacing w:after="0" w:line="50" w:lineRule="exact"/>
        <w:rPr>
          <w:sz w:val="20"/>
          <w:szCs w:val="20"/>
          <w:color w:val="auto"/>
        </w:rPr>
      </w:pPr>
    </w:p>
    <w:p>
      <w:pPr>
        <w:ind w:left="160" w:right="140"/>
        <w:spacing w:after="0" w:line="269" w:lineRule="auto"/>
        <w:rPr>
          <w:sz w:val="20"/>
          <w:szCs w:val="20"/>
          <w:color w:val="auto"/>
        </w:rPr>
      </w:pPr>
      <w:r>
        <w:rPr>
          <w:rFonts w:ascii="Arial" w:cs="Arial" w:eastAsia="Arial" w:hAnsi="Arial"/>
          <w:sz w:val="16"/>
          <w:szCs w:val="16"/>
          <w:color w:val="auto"/>
        </w:rPr>
        <w:t xml:space="preserve">Canadian purchasers are hereby notified that certain of the underwriters are relying on the exemption set out in section 3A.3 or 3A.4, if applicable, of National Instrument 33-105 – </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from having to provide certain conflict of interest disclosure in this document.</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(D) Statutory Rights of Action</w:t>
      </w:r>
    </w:p>
    <w:p>
      <w:pPr>
        <w:spacing w:after="0" w:line="50"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(E) Enforcement of Legal Rights</w:t>
      </w:r>
    </w:p>
    <w:p>
      <w:pPr>
        <w:spacing w:after="0" w:line="50"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(F) Taxation and Eligibility for Investment</w:t>
      </w:r>
    </w:p>
    <w:p>
      <w:pPr>
        <w:spacing w:after="0" w:line="50" w:lineRule="exact"/>
        <w:rPr>
          <w:sz w:val="20"/>
          <w:szCs w:val="20"/>
          <w:color w:val="auto"/>
        </w:rPr>
      </w:pPr>
    </w:p>
    <w:p>
      <w:pPr>
        <w:jc w:val="both"/>
        <w:ind w:left="160" w:right="80"/>
        <w:spacing w:after="0" w:line="236" w:lineRule="auto"/>
        <w:rPr>
          <w:sz w:val="20"/>
          <w:szCs w:val="20"/>
          <w:color w:val="auto"/>
        </w:rPr>
      </w:pPr>
      <w:r>
        <w:rPr>
          <w:rFonts w:ascii="Arial" w:cs="Arial" w:eastAsia="Arial" w:hAnsi="Arial"/>
          <w:sz w:val="17"/>
          <w:szCs w:val="17"/>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184</w:t>
      </w:r>
    </w:p>
    <w:p>
      <w:pPr>
        <w:sectPr>
          <w:pgSz w:w="11900" w:h="16838" w:orient="portrait"/>
          <w:cols w:equalWidth="0" w:num="1">
            <w:col w:w="11000"/>
          </w:cols>
          <w:pgMar w:left="320" w:top="456" w:right="5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Australia</w:t>
      </w:r>
    </w:p>
    <w:p>
      <w:pPr>
        <w:spacing w:after="0" w:line="52" w:lineRule="exact"/>
        <w:rPr>
          <w:sz w:val="20"/>
          <w:szCs w:val="20"/>
          <w:color w:val="auto"/>
        </w:rPr>
      </w:pPr>
    </w:p>
    <w:p>
      <w:pPr>
        <w:ind w:left="160" w:right="120"/>
        <w:spacing w:after="0" w:line="236"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(Corporations Act), has not been lodged with the Australian Securities &amp; Investments Commission and is only directed to the categories of exempt persons set out below. Accordingly, if you receive this prospectus in Australia:</w:t>
      </w:r>
    </w:p>
    <w:p>
      <w:pPr>
        <w:spacing w:after="0" w:line="186" w:lineRule="exact"/>
        <w:rPr>
          <w:sz w:val="20"/>
          <w:szCs w:val="20"/>
          <w:color w:val="auto"/>
        </w:rPr>
      </w:pPr>
    </w:p>
    <w:p>
      <w:pPr>
        <w:ind w:left="1020" w:hanging="425"/>
        <w:spacing w:after="0"/>
        <w:tabs>
          <w:tab w:leader="none" w:pos="10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You confirm and warrant that you are either:</w:t>
      </w:r>
    </w:p>
    <w:p>
      <w:pPr>
        <w:spacing w:after="0" w:line="31"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w:t>
      </w:r>
    </w:p>
    <w:p>
      <w:pPr>
        <w:spacing w:after="0" w:line="18" w:lineRule="exact"/>
        <w:rPr>
          <w:rFonts w:ascii="Arial" w:cs="Arial" w:eastAsia="Arial" w:hAnsi="Arial"/>
          <w:sz w:val="17"/>
          <w:szCs w:val="17"/>
          <w:color w:val="auto"/>
        </w:rPr>
      </w:pPr>
    </w:p>
    <w:p>
      <w:pPr>
        <w:ind w:left="1040" w:right="40"/>
        <w:spacing w:after="0" w:line="236" w:lineRule="auto"/>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5"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31"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w:t>
      </w:r>
    </w:p>
    <w:p>
      <w:pPr>
        <w:spacing w:after="0" w:line="152" w:lineRule="exact"/>
        <w:rPr>
          <w:sz w:val="20"/>
          <w:szCs w:val="20"/>
          <w:color w:val="auto"/>
        </w:rPr>
      </w:pPr>
    </w:p>
    <w:p>
      <w:pPr>
        <w:ind w:left="160" w:right="140"/>
        <w:spacing w:after="0" w:line="239"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86" w:lineRule="exact"/>
        <w:rPr>
          <w:sz w:val="20"/>
          <w:szCs w:val="20"/>
          <w:color w:val="auto"/>
        </w:rPr>
      </w:pPr>
    </w:p>
    <w:p>
      <w:pPr>
        <w:ind w:left="1020" w:right="260" w:hanging="425"/>
        <w:spacing w:after="0" w:line="236" w:lineRule="auto"/>
        <w:tabs>
          <w:tab w:leader="none" w:pos="10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52" w:lineRule="exact"/>
        <w:rPr>
          <w:sz w:val="20"/>
          <w:szCs w:val="20"/>
          <w:color w:val="auto"/>
        </w:rPr>
      </w:pPr>
    </w:p>
    <w:p>
      <w:pPr>
        <w:ind w:left="160" w:right="120"/>
        <w:spacing w:after="0" w:line="233" w:lineRule="auto"/>
        <w:rPr>
          <w:sz w:val="20"/>
          <w:szCs w:val="20"/>
          <w:color w:val="auto"/>
        </w:rPr>
      </w:pPr>
      <w:r>
        <w:rPr>
          <w:rFonts w:ascii="Arial" w:cs="Arial" w:eastAsia="Arial" w:hAnsi="Arial"/>
          <w:sz w:val="17"/>
          <w:szCs w:val="17"/>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have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88" w:lineRule="exact"/>
        <w:rPr>
          <w:sz w:val="20"/>
          <w:szCs w:val="20"/>
          <w:color w:val="auto"/>
        </w:rPr>
      </w:pPr>
    </w:p>
    <w:p>
      <w:pPr>
        <w:ind w:left="1020" w:hanging="425"/>
        <w:spacing w:after="0"/>
        <w:tabs>
          <w:tab w:leader="none" w:pos="10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Prospectus Regulation;</w:t>
      </w:r>
    </w:p>
    <w:p>
      <w:pPr>
        <w:spacing w:after="0" w:line="31" w:lineRule="exact"/>
        <w:rPr>
          <w:rFonts w:ascii="Arial" w:cs="Arial" w:eastAsia="Arial" w:hAnsi="Arial"/>
          <w:sz w:val="17"/>
          <w:szCs w:val="17"/>
          <w:color w:val="auto"/>
        </w:rPr>
      </w:pPr>
    </w:p>
    <w:p>
      <w:pPr>
        <w:ind w:left="1020" w:right="380" w:hanging="425"/>
        <w:spacing w:after="0" w:line="239" w:lineRule="auto"/>
        <w:tabs>
          <w:tab w:leader="none" w:pos="10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Prospectus Regulation), subject to obtaining the prior consent of representatives for any such offer; or</w:t>
      </w:r>
    </w:p>
    <w:p>
      <w:pPr>
        <w:spacing w:after="0" w:line="25" w:lineRule="exact"/>
        <w:rPr>
          <w:rFonts w:ascii="Arial" w:cs="Arial" w:eastAsia="Arial" w:hAnsi="Arial"/>
          <w:sz w:val="17"/>
          <w:szCs w:val="17"/>
          <w:color w:val="auto"/>
        </w:rPr>
      </w:pPr>
    </w:p>
    <w:p>
      <w:pPr>
        <w:ind w:left="1020" w:hanging="425"/>
        <w:spacing w:after="0"/>
        <w:tabs>
          <w:tab w:leader="none" w:pos="10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152" w:lineRule="exact"/>
        <w:rPr>
          <w:sz w:val="20"/>
          <w:szCs w:val="20"/>
          <w:color w:val="auto"/>
        </w:rPr>
      </w:pPr>
    </w:p>
    <w:p>
      <w:pPr>
        <w:ind w:left="160" w:right="680"/>
        <w:spacing w:after="0" w:line="239" w:lineRule="auto"/>
        <w:rPr>
          <w:sz w:val="20"/>
          <w:szCs w:val="20"/>
          <w:color w:val="auto"/>
        </w:rPr>
      </w:pPr>
      <w:r>
        <w:rPr>
          <w:rFonts w:ascii="Arial" w:cs="Arial" w:eastAsia="Arial" w:hAnsi="Arial"/>
          <w:sz w:val="17"/>
          <w:szCs w:val="17"/>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46" w:lineRule="exact"/>
        <w:rPr>
          <w:sz w:val="20"/>
          <w:szCs w:val="20"/>
          <w:color w:val="auto"/>
        </w:rPr>
      </w:pPr>
    </w:p>
    <w:p>
      <w:pPr>
        <w:jc w:val="both"/>
        <w:ind w:left="160"/>
        <w:spacing w:after="0" w:line="236" w:lineRule="auto"/>
        <w:rPr>
          <w:sz w:val="20"/>
          <w:szCs w:val="20"/>
          <w:color w:val="auto"/>
        </w:rPr>
      </w:pPr>
      <w:r>
        <w:rPr>
          <w:rFonts w:ascii="Arial" w:cs="Arial" w:eastAsia="Arial" w:hAnsi="Arial"/>
          <w:sz w:val="17"/>
          <w:szCs w:val="17"/>
          <w:color w:val="auto"/>
        </w:rPr>
        <w:t>For the purposes of this provision, the expression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Hong Kong</w:t>
      </w:r>
    </w:p>
    <w:p>
      <w:pPr>
        <w:spacing w:after="0" w:line="52"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1080"/>
          </w:cols>
          <w:pgMar w:left="320" w:top="456"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Israel</w:t>
      </w:r>
    </w:p>
    <w:p>
      <w:pPr>
        <w:spacing w:after="0" w:line="39"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This document does not constitute a prospectus under the Israeli Securities Law, 5728-1968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Japan</w:t>
      </w:r>
    </w:p>
    <w:p>
      <w:pPr>
        <w:spacing w:after="0" w:line="39"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Singapore</w:t>
      </w:r>
    </w:p>
    <w:p>
      <w:pPr>
        <w:spacing w:after="0" w:line="39"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Where the securities are subscribed or purchased under Section 275 of the SFA by a relevant person which is:</w:t>
      </w:r>
    </w:p>
    <w:p>
      <w:pPr>
        <w:spacing w:after="0" w:line="192" w:lineRule="exact"/>
        <w:rPr>
          <w:sz w:val="20"/>
          <w:szCs w:val="20"/>
          <w:color w:val="auto"/>
        </w:rPr>
      </w:pPr>
    </w:p>
    <w:p>
      <w:pPr>
        <w:ind w:left="1020" w:right="400" w:hanging="425"/>
        <w:spacing w:after="0" w:line="269" w:lineRule="auto"/>
        <w:tabs>
          <w:tab w:leader="none" w:pos="10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 w:lineRule="exact"/>
        <w:rPr>
          <w:rFonts w:ascii="Arial" w:cs="Arial" w:eastAsia="Arial" w:hAnsi="Arial"/>
          <w:sz w:val="16"/>
          <w:szCs w:val="16"/>
          <w:color w:val="auto"/>
        </w:rPr>
      </w:pPr>
    </w:p>
    <w:p>
      <w:pPr>
        <w:ind w:left="1020" w:right="120" w:hanging="425"/>
        <w:spacing w:after="0" w:line="239" w:lineRule="auto"/>
        <w:tabs>
          <w:tab w:leader="none" w:pos="10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46" w:lineRule="exact"/>
        <w:rPr>
          <w:sz w:val="20"/>
          <w:szCs w:val="20"/>
          <w:color w:val="auto"/>
        </w:rPr>
      </w:pPr>
    </w:p>
    <w:p>
      <w:pPr>
        <w:jc w:val="both"/>
        <w:ind w:left="160" w:right="140"/>
        <w:spacing w:after="0" w:line="23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86" w:lineRule="exact"/>
        <w:rPr>
          <w:sz w:val="20"/>
          <w:szCs w:val="20"/>
          <w:color w:val="auto"/>
        </w:rPr>
      </w:pPr>
    </w:p>
    <w:p>
      <w:pPr>
        <w:ind w:left="1020" w:right="140" w:hanging="425"/>
        <w:spacing w:after="0" w:line="239" w:lineRule="auto"/>
        <w:tabs>
          <w:tab w:leader="none" w:pos="10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25" w:lineRule="exact"/>
        <w:rPr>
          <w:rFonts w:ascii="Arial" w:cs="Arial" w:eastAsia="Arial" w:hAnsi="Arial"/>
          <w:sz w:val="17"/>
          <w:szCs w:val="17"/>
          <w:color w:val="auto"/>
        </w:rPr>
      </w:pPr>
    </w:p>
    <w:p>
      <w:pPr>
        <w:ind w:left="1020" w:hanging="425"/>
        <w:spacing w:after="0"/>
        <w:tabs>
          <w:tab w:leader="none" w:pos="10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31" w:lineRule="exact"/>
        <w:rPr>
          <w:rFonts w:ascii="Arial" w:cs="Arial" w:eastAsia="Arial" w:hAnsi="Arial"/>
          <w:sz w:val="17"/>
          <w:szCs w:val="17"/>
          <w:color w:val="auto"/>
        </w:rPr>
      </w:pPr>
    </w:p>
    <w:p>
      <w:pPr>
        <w:ind w:left="1020" w:hanging="425"/>
        <w:spacing w:after="0"/>
        <w:tabs>
          <w:tab w:leader="none" w:pos="10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186</w:t>
      </w:r>
    </w:p>
    <w:p>
      <w:pPr>
        <w:sectPr>
          <w:pgSz w:w="11900" w:h="16838" w:orient="portrait"/>
          <w:cols w:equalWidth="0" w:num="1">
            <w:col w:w="11080"/>
          </w:cols>
          <w:pgMar w:left="320" w:top="456"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020" w:hanging="425"/>
        <w:spacing w:after="0"/>
        <w:tabs>
          <w:tab w:leader="none" w:pos="10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31" w:lineRule="exact"/>
        <w:rPr>
          <w:rFonts w:ascii="Arial" w:cs="Arial" w:eastAsia="Arial" w:hAnsi="Arial"/>
          <w:sz w:val="17"/>
          <w:szCs w:val="17"/>
          <w:color w:val="auto"/>
        </w:rPr>
      </w:pPr>
    </w:p>
    <w:p>
      <w:pPr>
        <w:ind w:left="1020" w:right="420" w:hanging="425"/>
        <w:spacing w:after="0" w:line="239" w:lineRule="auto"/>
        <w:tabs>
          <w:tab w:leader="none" w:pos="10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Switzerland</w:t>
      </w:r>
    </w:p>
    <w:p>
      <w:pPr>
        <w:spacing w:after="0" w:line="39"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5"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United Kingdom</w:t>
      </w:r>
    </w:p>
    <w:p>
      <w:pPr>
        <w:spacing w:after="0" w:line="39" w:lineRule="exact"/>
        <w:rPr>
          <w:sz w:val="20"/>
          <w:szCs w:val="20"/>
          <w:color w:val="auto"/>
        </w:rPr>
      </w:pPr>
    </w:p>
    <w:p>
      <w:pPr>
        <w:ind w:left="160" w:right="80"/>
        <w:spacing w:after="0" w:line="236" w:lineRule="auto"/>
        <w:rPr>
          <w:sz w:val="20"/>
          <w:szCs w:val="20"/>
          <w:color w:val="auto"/>
        </w:rPr>
      </w:pPr>
      <w:r>
        <w:rPr>
          <w:rFonts w:ascii="Arial" w:cs="Arial" w:eastAsia="Arial" w:hAnsi="Arial"/>
          <w:sz w:val="17"/>
          <w:szCs w:val="17"/>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46" w:lineRule="exact"/>
        <w:rPr>
          <w:sz w:val="20"/>
          <w:szCs w:val="20"/>
          <w:color w:val="auto"/>
        </w:rPr>
      </w:pPr>
    </w:p>
    <w:p>
      <w:pPr>
        <w:ind w:left="420" w:hanging="253"/>
        <w:spacing w:after="0"/>
        <w:tabs>
          <w:tab w:leader="none" w:pos="4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UK Prospectus Regulation;</w:t>
      </w:r>
    </w:p>
    <w:p>
      <w:pPr>
        <w:spacing w:after="0" w:line="152" w:lineRule="exact"/>
        <w:rPr>
          <w:rFonts w:ascii="Arial" w:cs="Arial" w:eastAsia="Arial" w:hAnsi="Arial"/>
          <w:sz w:val="17"/>
          <w:szCs w:val="17"/>
          <w:color w:val="auto"/>
        </w:rPr>
      </w:pPr>
    </w:p>
    <w:p>
      <w:pPr>
        <w:ind w:left="160" w:right="120" w:firstLine="7"/>
        <w:spacing w:after="0" w:line="239" w:lineRule="auto"/>
        <w:tabs>
          <w:tab w:leader="none" w:pos="41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45" w:lineRule="exact"/>
        <w:rPr>
          <w:rFonts w:ascii="Arial" w:cs="Arial" w:eastAsia="Arial" w:hAnsi="Arial"/>
          <w:sz w:val="17"/>
          <w:szCs w:val="17"/>
          <w:color w:val="auto"/>
        </w:rPr>
      </w:pPr>
    </w:p>
    <w:p>
      <w:pPr>
        <w:ind w:left="420" w:hanging="253"/>
        <w:spacing w:after="0"/>
        <w:tabs>
          <w:tab w:leader="none" w:pos="4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any other circumstances falling within Section 86 of the FSMA,</w:t>
      </w:r>
    </w:p>
    <w:p>
      <w:pPr>
        <w:spacing w:after="0" w:line="152" w:lineRule="exact"/>
        <w:rPr>
          <w:sz w:val="20"/>
          <w:szCs w:val="20"/>
          <w:color w:val="auto"/>
        </w:rPr>
      </w:pPr>
    </w:p>
    <w:p>
      <w:pPr>
        <w:ind w:left="160" w:right="180"/>
        <w:spacing w:after="0" w:line="233" w:lineRule="auto"/>
        <w:rPr>
          <w:sz w:val="20"/>
          <w:szCs w:val="20"/>
          <w:color w:val="auto"/>
        </w:rPr>
      </w:pPr>
      <w:r>
        <w:rPr>
          <w:rFonts w:ascii="Arial" w:cs="Arial" w:eastAsia="Arial" w:hAnsi="Arial"/>
          <w:sz w:val="17"/>
          <w:szCs w:val="17"/>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187</w:t>
      </w:r>
    </w:p>
    <w:p>
      <w:pPr>
        <w:sectPr>
          <w:pgSz w:w="11900" w:h="16838" w:orient="portrait"/>
          <w:cols w:equalWidth="0" w:num="1">
            <w:col w:w="11080"/>
          </w:cols>
          <w:pgMar w:left="320" w:top="456"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331" w:lineRule="exact"/>
        <w:rPr>
          <w:sz w:val="20"/>
          <w:szCs w:val="20"/>
          <w:color w:val="auto"/>
        </w:rPr>
      </w:pPr>
    </w:p>
    <w:p>
      <w:pPr>
        <w:ind w:left="160" w:right="200"/>
        <w:spacing w:after="0" w:line="239" w:lineRule="auto"/>
        <w:rPr>
          <w:sz w:val="20"/>
          <w:szCs w:val="20"/>
          <w:color w:val="auto"/>
        </w:rPr>
      </w:pPr>
      <w:r>
        <w:rPr>
          <w:rFonts w:ascii="Arial" w:cs="Arial" w:eastAsia="Arial" w:hAnsi="Arial"/>
          <w:sz w:val="17"/>
          <w:szCs w:val="17"/>
          <w:color w:val="auto"/>
        </w:rPr>
        <w:t>The validity of the shares of our Class A common stock being offered in this prospectus will be passed upon for us by Cooley LLP. Certain legal matters in connection with this offering will be passed upon for the underwriters by Goodwin Procter LLP.</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331" w:lineRule="exact"/>
        <w:rPr>
          <w:sz w:val="20"/>
          <w:szCs w:val="20"/>
          <w:color w:val="auto"/>
        </w:rPr>
      </w:pPr>
    </w:p>
    <w:p>
      <w:pPr>
        <w:ind w:left="160" w:right="220"/>
        <w:spacing w:after="0" w:line="256" w:lineRule="auto"/>
        <w:rPr>
          <w:sz w:val="20"/>
          <w:szCs w:val="20"/>
          <w:color w:val="auto"/>
        </w:rPr>
      </w:pPr>
      <w:r>
        <w:rPr>
          <w:rFonts w:ascii="Arial" w:cs="Arial" w:eastAsia="Arial" w:hAnsi="Arial"/>
          <w:sz w:val="16"/>
          <w:szCs w:val="16"/>
          <w:color w:val="auto"/>
        </w:rPr>
        <w:t>The financial statements of Vera Therapeutics, Inc. as of December 31, 2019 and 2020, and for each of the years in the two-year period ended December 31, 2020,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331"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and other information about issuers, like us, that file electronically with the SEC. The address of that website is www.sec.gov.</w:t>
      </w:r>
    </w:p>
    <w:p>
      <w:pPr>
        <w:spacing w:after="0" w:line="145"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color w:val="auto"/>
        </w:rPr>
        <w:t>We also maintain a website at www.veratx.com, at which, following the completion of this offering, you may access these materials free of charge as soon as reasonably practicable after they are electronically filed with, or furnished to, the SEC. Information contained in, or accessible through, our website is not a part of this prospectus, and the inclusion of our website address in this prospectus is only as an inactive textual reference.</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188</w:t>
      </w:r>
    </w:p>
    <w:p>
      <w:pPr>
        <w:sectPr>
          <w:pgSz w:w="11900" w:h="16838" w:orient="portrait"/>
          <w:cols w:equalWidth="0" w:num="1">
            <w:col w:w="11060"/>
          </w:cols>
          <w:pgMar w:left="320" w:top="456" w:right="5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THERAPEUTICS, INC.</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248285</wp:posOffset>
            </wp:positionV>
            <wp:extent cx="69297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4340" w:type="dxa"/>
            <w:vAlign w:val="bottom"/>
            <w:gridSpan w:val="5"/>
            <w:vMerge w:val="restart"/>
          </w:tcPr>
          <w:p>
            <w:pPr>
              <w:spacing w:after="0"/>
              <w:rPr>
                <w:rFonts w:ascii="Arial" w:cs="Arial" w:eastAsia="Arial" w:hAnsi="Arial"/>
                <w:sz w:val="17"/>
                <w:szCs w:val="17"/>
                <w:color w:val="0000EE"/>
                <w:w w:val="99"/>
              </w:rPr>
            </w:pPr>
            <w:hyperlink w:anchor="page194">
              <w:r>
                <w:rPr>
                  <w:rFonts w:ascii="Arial" w:cs="Arial" w:eastAsia="Arial" w:hAnsi="Arial"/>
                  <w:sz w:val="17"/>
                  <w:szCs w:val="17"/>
                  <w:color w:val="0000EE"/>
                  <w:w w:val="99"/>
                </w:rPr>
                <w:t>Report of Independent Registered Public Accounting Firm</w:t>
              </w:r>
            </w:hyperlink>
          </w:p>
        </w:tc>
        <w:tc>
          <w:tcPr>
            <w:tcW w:w="6120" w:type="dxa"/>
            <w:vAlign w:val="bottom"/>
            <w:gridSpan w:val="2"/>
            <w:vMerge w:val="restart"/>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4340" w:type="dxa"/>
            <w:vAlign w:val="bottom"/>
            <w:tcBorders>
              <w:bottom w:val="single" w:sz="8" w:color="0000EE"/>
            </w:tcBorders>
            <w:gridSpan w:val="5"/>
            <w:vMerge w:val="continue"/>
          </w:tcPr>
          <w:p>
            <w:pPr>
              <w:spacing w:after="0"/>
              <w:rPr>
                <w:sz w:val="12"/>
                <w:szCs w:val="12"/>
                <w:color w:val="auto"/>
              </w:rPr>
            </w:pPr>
          </w:p>
        </w:tc>
        <w:tc>
          <w:tcPr>
            <w:tcW w:w="6120" w:type="dxa"/>
            <w:vAlign w:val="bottom"/>
            <w:gridSpan w:val="2"/>
            <w:vMerge w:val="continue"/>
          </w:tcPr>
          <w:p>
            <w:pPr>
              <w:spacing w:after="0"/>
              <w:rPr>
                <w:sz w:val="12"/>
                <w:szCs w:val="12"/>
                <w:color w:val="auto"/>
              </w:rPr>
            </w:pPr>
          </w:p>
        </w:tc>
        <w:tc>
          <w:tcPr>
            <w:tcW w:w="400" w:type="dxa"/>
            <w:vAlign w:val="bottom"/>
          </w:tcPr>
          <w:p>
            <w:pPr>
              <w:jc w:val="right"/>
              <w:spacing w:after="0" w:line="127" w:lineRule="exact"/>
              <w:rPr>
                <w:sz w:val="20"/>
                <w:szCs w:val="20"/>
                <w:color w:val="auto"/>
              </w:rPr>
            </w:pPr>
            <w:r>
              <w:rPr>
                <w:rFonts w:ascii="Arial" w:cs="Arial" w:eastAsia="Arial" w:hAnsi="Arial"/>
                <w:sz w:val="14"/>
                <w:szCs w:val="14"/>
                <w:color w:val="auto"/>
              </w:rPr>
              <w:t>F-2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tcBorders>
              <w:bottom w:val="single" w:sz="8" w:color="0000EE"/>
            </w:tcBorders>
          </w:tcPr>
          <w:p>
            <w:pPr>
              <w:spacing w:after="0" w:line="180" w:lineRule="exact"/>
              <w:rPr>
                <w:rFonts w:ascii="Arial" w:cs="Arial" w:eastAsia="Arial" w:hAnsi="Arial"/>
                <w:sz w:val="17"/>
                <w:szCs w:val="17"/>
                <w:color w:val="0000EE"/>
                <w:w w:val="99"/>
              </w:rPr>
            </w:pPr>
            <w:hyperlink w:anchor="page195">
              <w:r>
                <w:rPr>
                  <w:rFonts w:ascii="Arial" w:cs="Arial" w:eastAsia="Arial" w:hAnsi="Arial"/>
                  <w:sz w:val="17"/>
                  <w:szCs w:val="17"/>
                  <w:color w:val="0000EE"/>
                  <w:w w:val="99"/>
                </w:rPr>
                <w:t>Balance Sheets</w:t>
              </w:r>
            </w:hyperlink>
          </w:p>
        </w:tc>
        <w:tc>
          <w:tcPr>
            <w:tcW w:w="9260" w:type="dxa"/>
            <w:vAlign w:val="bottom"/>
            <w:gridSpan w:val="6"/>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Arial" w:cs="Arial" w:eastAsia="Arial" w:hAnsi="Arial"/>
                <w:sz w:val="17"/>
                <w:szCs w:val="17"/>
                <w:color w:val="auto"/>
              </w:rPr>
              <w:t>F-3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900" w:type="dxa"/>
            <w:vAlign w:val="bottom"/>
            <w:tcBorders>
              <w:bottom w:val="single" w:sz="8" w:color="0000EE"/>
            </w:tcBorders>
            <w:gridSpan w:val="4"/>
          </w:tcPr>
          <w:p>
            <w:pPr>
              <w:spacing w:after="0" w:line="167" w:lineRule="exact"/>
              <w:rPr>
                <w:rFonts w:ascii="Arial" w:cs="Arial" w:eastAsia="Arial" w:hAnsi="Arial"/>
                <w:sz w:val="17"/>
                <w:szCs w:val="17"/>
                <w:color w:val="0000EE"/>
                <w:w w:val="99"/>
              </w:rPr>
            </w:pPr>
            <w:hyperlink w:anchor="page196">
              <w:r>
                <w:rPr>
                  <w:rFonts w:ascii="Arial" w:cs="Arial" w:eastAsia="Arial" w:hAnsi="Arial"/>
                  <w:sz w:val="17"/>
                  <w:szCs w:val="17"/>
                  <w:color w:val="0000EE"/>
                  <w:w w:val="99"/>
                </w:rPr>
                <w:t>Statements of Operations and Comprehensive Loss</w:t>
              </w:r>
            </w:hyperlink>
          </w:p>
        </w:tc>
        <w:tc>
          <w:tcPr>
            <w:tcW w:w="6560" w:type="dxa"/>
            <w:vAlign w:val="bottom"/>
            <w:gridSpan w:val="3"/>
          </w:tcPr>
          <w:p>
            <w:pPr>
              <w:spacing w:after="0"/>
              <w:rPr>
                <w:sz w:val="14"/>
                <w:szCs w:val="14"/>
                <w:color w:val="auto"/>
              </w:rPr>
            </w:pPr>
          </w:p>
        </w:tc>
        <w:tc>
          <w:tcPr>
            <w:tcW w:w="400" w:type="dxa"/>
            <w:vAlign w:val="bottom"/>
          </w:tcPr>
          <w:p>
            <w:pPr>
              <w:jc w:val="right"/>
              <w:spacing w:after="0" w:line="167" w:lineRule="exact"/>
              <w:rPr>
                <w:sz w:val="20"/>
                <w:szCs w:val="20"/>
                <w:color w:val="auto"/>
              </w:rPr>
            </w:pPr>
            <w:r>
              <w:rPr>
                <w:rFonts w:ascii="Arial" w:cs="Arial" w:eastAsia="Arial" w:hAnsi="Arial"/>
                <w:sz w:val="17"/>
                <w:szCs w:val="17"/>
                <w:color w:val="auto"/>
              </w:rPr>
              <w:t>F-4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tcBorders>
              <w:bottom w:val="single" w:sz="8" w:color="0000EE"/>
            </w:tcBorders>
            <w:gridSpan w:val="6"/>
          </w:tcPr>
          <w:p>
            <w:pPr>
              <w:spacing w:after="0" w:line="167" w:lineRule="exact"/>
              <w:rPr>
                <w:rFonts w:ascii="Arial" w:cs="Arial" w:eastAsia="Arial" w:hAnsi="Arial"/>
                <w:sz w:val="17"/>
                <w:szCs w:val="17"/>
                <w:color w:val="0000EE"/>
                <w:w w:val="99"/>
              </w:rPr>
            </w:pPr>
            <w:hyperlink w:anchor="page197">
              <w:r>
                <w:rPr>
                  <w:rFonts w:ascii="Arial" w:cs="Arial" w:eastAsia="Arial" w:hAnsi="Arial"/>
                  <w:sz w:val="17"/>
                  <w:szCs w:val="17"/>
                  <w:color w:val="0000EE"/>
                  <w:w w:val="99"/>
                </w:rPr>
                <w:t>Statements of Redeemable Convertible Preferred Stock and Stockholders’ Deficit</w:t>
              </w:r>
            </w:hyperlink>
          </w:p>
        </w:tc>
        <w:tc>
          <w:tcPr>
            <w:tcW w:w="4360" w:type="dxa"/>
            <w:vAlign w:val="bottom"/>
          </w:tcPr>
          <w:p>
            <w:pPr>
              <w:spacing w:after="0"/>
              <w:rPr>
                <w:sz w:val="14"/>
                <w:szCs w:val="14"/>
                <w:color w:val="auto"/>
              </w:rPr>
            </w:pPr>
          </w:p>
        </w:tc>
        <w:tc>
          <w:tcPr>
            <w:tcW w:w="400" w:type="dxa"/>
            <w:vAlign w:val="bottom"/>
          </w:tcPr>
          <w:p>
            <w:pPr>
              <w:jc w:val="right"/>
              <w:spacing w:after="0" w:line="167" w:lineRule="exact"/>
              <w:rPr>
                <w:sz w:val="20"/>
                <w:szCs w:val="20"/>
                <w:color w:val="auto"/>
              </w:rPr>
            </w:pPr>
            <w:r>
              <w:rPr>
                <w:rFonts w:ascii="Arial" w:cs="Arial" w:eastAsia="Arial" w:hAnsi="Arial"/>
                <w:sz w:val="17"/>
                <w:szCs w:val="17"/>
                <w:color w:val="auto"/>
              </w:rPr>
              <w:t>F-5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460" w:type="dxa"/>
            <w:vAlign w:val="bottom"/>
            <w:gridSpan w:val="7"/>
          </w:tcPr>
          <w:p>
            <w:pPr>
              <w:spacing w:after="0" w:line="167" w:lineRule="exact"/>
              <w:rPr>
                <w:rFonts w:ascii="Arial" w:cs="Arial" w:eastAsia="Arial" w:hAnsi="Arial"/>
                <w:sz w:val="17"/>
                <w:szCs w:val="17"/>
                <w:color w:val="0000EE"/>
              </w:rPr>
            </w:pPr>
            <w:hyperlink w:anchor="page198">
              <w:r>
                <w:rPr>
                  <w:rFonts w:ascii="Arial" w:cs="Arial" w:eastAsia="Arial" w:hAnsi="Arial"/>
                  <w:sz w:val="17"/>
                  <w:szCs w:val="17"/>
                  <w:color w:val="0000EE"/>
                </w:rPr>
                <w:t>Statements of Cash Flows</w:t>
              </w:r>
            </w:hyperlink>
          </w:p>
        </w:tc>
        <w:tc>
          <w:tcPr>
            <w:tcW w:w="400" w:type="dxa"/>
            <w:vAlign w:val="bottom"/>
          </w:tcPr>
          <w:p>
            <w:pPr>
              <w:jc w:val="right"/>
              <w:spacing w:after="0" w:line="167" w:lineRule="exact"/>
              <w:rPr>
                <w:sz w:val="20"/>
                <w:szCs w:val="20"/>
                <w:color w:val="auto"/>
              </w:rPr>
            </w:pPr>
            <w:r>
              <w:rPr>
                <w:rFonts w:ascii="Arial" w:cs="Arial" w:eastAsia="Arial" w:hAnsi="Arial"/>
                <w:sz w:val="17"/>
                <w:szCs w:val="17"/>
                <w:color w:val="auto"/>
              </w:rPr>
              <w:t>F-6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0" w:type="dxa"/>
            <w:vAlign w:val="bottom"/>
            <w:gridSpan w:val="4"/>
          </w:tcPr>
          <w:p>
            <w:pPr>
              <w:spacing w:after="0" w:line="20" w:lineRule="exact"/>
              <w:rPr>
                <w:sz w:val="1"/>
                <w:szCs w:val="1"/>
                <w:color w:val="auto"/>
              </w:rPr>
            </w:pPr>
          </w:p>
        </w:tc>
        <w:tc>
          <w:tcPr>
            <w:tcW w:w="400" w:type="dxa"/>
            <w:vAlign w:val="bottom"/>
            <w:vMerge w:val="restart"/>
          </w:tcPr>
          <w:p>
            <w:pPr>
              <w:jc w:val="right"/>
              <w:spacing w:after="0" w:line="187" w:lineRule="exact"/>
              <w:rPr>
                <w:sz w:val="20"/>
                <w:szCs w:val="20"/>
                <w:color w:val="auto"/>
              </w:rPr>
            </w:pPr>
            <w:r>
              <w:rPr>
                <w:rFonts w:ascii="Arial" w:cs="Arial" w:eastAsia="Arial" w:hAnsi="Arial"/>
                <w:sz w:val="17"/>
                <w:szCs w:val="17"/>
                <w:color w:val="auto"/>
              </w:rPr>
              <w:t>F-7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0460" w:type="dxa"/>
            <w:vAlign w:val="bottom"/>
            <w:gridSpan w:val="7"/>
          </w:tcPr>
          <w:p>
            <w:pPr>
              <w:spacing w:after="0" w:line="167" w:lineRule="exact"/>
              <w:rPr>
                <w:rFonts w:ascii="Arial" w:cs="Arial" w:eastAsia="Arial" w:hAnsi="Arial"/>
                <w:sz w:val="17"/>
                <w:szCs w:val="17"/>
                <w:color w:val="0000EE"/>
              </w:rPr>
            </w:pPr>
            <w:hyperlink w:anchor="page199">
              <w:r>
                <w:rPr>
                  <w:rFonts w:ascii="Arial" w:cs="Arial" w:eastAsia="Arial" w:hAnsi="Arial"/>
                  <w:sz w:val="17"/>
                  <w:szCs w:val="17"/>
                  <w:color w:val="0000EE"/>
                </w:rPr>
                <w:t>Notes to Financial Statements</w:t>
              </w:r>
            </w:hyperlink>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200" w:type="dxa"/>
            <w:vAlign w:val="bottom"/>
            <w:tcBorders>
              <w:top w:val="single" w:sz="8" w:color="0000EE"/>
              <w:bottom w:val="single" w:sz="8" w:color="auto"/>
            </w:tcBorders>
          </w:tcPr>
          <w:p>
            <w:pPr>
              <w:spacing w:after="0"/>
              <w:rPr>
                <w:sz w:val="19"/>
                <w:szCs w:val="19"/>
                <w:color w:val="auto"/>
              </w:rPr>
            </w:pPr>
          </w:p>
        </w:tc>
        <w:tc>
          <w:tcPr>
            <w:tcW w:w="780" w:type="dxa"/>
            <w:vAlign w:val="bottom"/>
            <w:tcBorders>
              <w:top w:val="single" w:sz="8" w:color="0000EE"/>
              <w:bottom w:val="single" w:sz="8" w:color="auto"/>
            </w:tcBorders>
          </w:tcPr>
          <w:p>
            <w:pPr>
              <w:spacing w:after="0"/>
              <w:rPr>
                <w:sz w:val="19"/>
                <w:szCs w:val="19"/>
                <w:color w:val="auto"/>
              </w:rPr>
            </w:pPr>
          </w:p>
        </w:tc>
        <w:tc>
          <w:tcPr>
            <w:tcW w:w="280" w:type="dxa"/>
            <w:vAlign w:val="bottom"/>
            <w:tcBorders>
              <w:top w:val="single" w:sz="8" w:color="0000EE"/>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20" w:type="dxa"/>
            <w:vAlign w:val="bottom"/>
            <w:gridSpan w:val="2"/>
          </w:tcPr>
          <w:p>
            <w:pPr>
              <w:ind w:left="1000"/>
              <w:spacing w:after="0"/>
              <w:rPr>
                <w:sz w:val="20"/>
                <w:szCs w:val="20"/>
                <w:color w:val="auto"/>
              </w:rPr>
            </w:pPr>
            <w:r>
              <w:rPr>
                <w:rFonts w:ascii="Arial" w:cs="Arial" w:eastAsia="Arial" w:hAnsi="Arial"/>
                <w:sz w:val="16"/>
                <w:szCs w:val="16"/>
                <w:color w:val="auto"/>
              </w:rPr>
              <w:t>F-1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 the Stockholders and Board of Directors</w:t>
      </w:r>
    </w:p>
    <w:p>
      <w:pPr>
        <w:ind w:left="160"/>
        <w:spacing w:after="0"/>
        <w:rPr>
          <w:sz w:val="20"/>
          <w:szCs w:val="20"/>
          <w:color w:val="auto"/>
        </w:rPr>
      </w:pPr>
      <w:r>
        <w:rPr>
          <w:rFonts w:ascii="Arial" w:cs="Arial" w:eastAsia="Arial" w:hAnsi="Arial"/>
          <w:sz w:val="17"/>
          <w:szCs w:val="17"/>
          <w:color w:val="auto"/>
        </w:rPr>
        <w:t>Vera Therapeutics, Inc.:</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Opinion on the Financial Statements</w:t>
      </w:r>
    </w:p>
    <w:p>
      <w:pPr>
        <w:spacing w:after="0" w:line="37" w:lineRule="exact"/>
        <w:rPr>
          <w:sz w:val="20"/>
          <w:szCs w:val="20"/>
          <w:color w:val="auto"/>
        </w:rPr>
      </w:pPr>
    </w:p>
    <w:p>
      <w:pPr>
        <w:ind w:left="160" w:right="200"/>
        <w:spacing w:after="0" w:line="233" w:lineRule="auto"/>
        <w:rPr>
          <w:sz w:val="20"/>
          <w:szCs w:val="20"/>
          <w:color w:val="auto"/>
        </w:rPr>
      </w:pPr>
      <w:r>
        <w:rPr>
          <w:rFonts w:ascii="Arial" w:cs="Arial" w:eastAsia="Arial" w:hAnsi="Arial"/>
          <w:sz w:val="17"/>
          <w:szCs w:val="17"/>
          <w:color w:val="auto"/>
        </w:rPr>
        <w:t>We have audited the accompanying balance sheets of Vera Therapeutics, Inc. (the Company) as of December 31, 2019 and 2020, the related statements of operations and comprehensive loss, redeemable convertible preferred stock and stockholders’ deficit, and cash flows for each of the years in the two-year period ended December 31, 2020, and the related notes (collectively, the financial statements). In our opinion, the financial statements present fairly, in all material respects, the financial position of the Company as of December 31, 2019 and 2020, and the results of its operations and its cash flows for each of the years in the two-year period ended December 31, 2020, in conformity with U.S. generally accepted accounting principles.</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Basis for Opinion</w:t>
      </w:r>
    </w:p>
    <w:p>
      <w:pPr>
        <w:spacing w:after="0" w:line="37"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 KPMG LLP</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We have served as the Company’s auditor since 2018.</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San Francisco, California</w:t>
      </w:r>
    </w:p>
    <w:p>
      <w:pPr>
        <w:ind w:left="160"/>
        <w:spacing w:after="0"/>
        <w:rPr>
          <w:sz w:val="20"/>
          <w:szCs w:val="20"/>
          <w:color w:val="auto"/>
        </w:rPr>
      </w:pPr>
      <w:r>
        <w:rPr>
          <w:rFonts w:ascii="Arial" w:cs="Arial" w:eastAsia="Arial" w:hAnsi="Arial"/>
          <w:sz w:val="17"/>
          <w:szCs w:val="17"/>
          <w:color w:val="auto"/>
        </w:rPr>
        <w:t>March 19, 2021, except as to note 15B, which is as of May 10, 2021</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040"/>
          </w:cols>
          <w:pgMar w:left="320" w:top="456" w:right="5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Balance Sheets</w:t>
      </w:r>
    </w:p>
    <w:p>
      <w:pPr>
        <w:jc w:val="center"/>
        <w:ind w:right="-159"/>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234315</wp:posOffset>
            </wp:positionV>
            <wp:extent cx="69297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9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54"/>
        </w:trPr>
        <w:tc>
          <w:tcPr>
            <w:tcW w:w="90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4"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6"/>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167"/>
        </w:trPr>
        <w:tc>
          <w:tcPr>
            <w:tcW w:w="9080" w:type="dxa"/>
            <w:vAlign w:val="bottom"/>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7"/>
        </w:trPr>
        <w:tc>
          <w:tcPr>
            <w:tcW w:w="9080" w:type="dxa"/>
            <w:vAlign w:val="bottom"/>
          </w:tcPr>
          <w:p>
            <w:pPr>
              <w:spacing w:after="0" w:line="187" w:lineRule="exact"/>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908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3,195</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53,654</w:t>
            </w:r>
          </w:p>
        </w:tc>
      </w:tr>
      <w:tr>
        <w:trPr>
          <w:trHeight w:val="187"/>
        </w:trPr>
        <w:tc>
          <w:tcPr>
            <w:tcW w:w="9080" w:type="dxa"/>
            <w:vAlign w:val="bottom"/>
          </w:tcPr>
          <w:p>
            <w:pPr>
              <w:ind w:left="260"/>
              <w:spacing w:after="0" w:line="187" w:lineRule="exact"/>
              <w:rPr>
                <w:sz w:val="20"/>
                <w:szCs w:val="20"/>
                <w:color w:val="auto"/>
              </w:rPr>
            </w:pPr>
            <w:r>
              <w:rPr>
                <w:rFonts w:ascii="Arial" w:cs="Arial" w:eastAsia="Arial" w:hAnsi="Arial"/>
                <w:sz w:val="17"/>
                <w:szCs w:val="17"/>
                <w:color w:val="auto"/>
              </w:rPr>
              <w:t>Restricted cash, current</w:t>
            </w:r>
          </w:p>
        </w:tc>
        <w:tc>
          <w:tcPr>
            <w:tcW w:w="100" w:type="dxa"/>
            <w:vAlign w:val="bottom"/>
          </w:tcPr>
          <w:p>
            <w:pPr>
              <w:spacing w:after="0"/>
              <w:rPr>
                <w:sz w:val="16"/>
                <w:szCs w:val="16"/>
                <w:color w:val="auto"/>
              </w:rPr>
            </w:pPr>
          </w:p>
        </w:tc>
        <w:tc>
          <w:tcPr>
            <w:tcW w:w="920" w:type="dxa"/>
            <w:vAlign w:val="bottom"/>
            <w:gridSpan w:val="2"/>
          </w:tcPr>
          <w:p>
            <w:pPr>
              <w:jc w:val="right"/>
              <w:ind w:right="320"/>
              <w:spacing w:after="0" w:line="187"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50</w:t>
            </w:r>
          </w:p>
        </w:tc>
      </w:tr>
      <w:tr>
        <w:trPr>
          <w:trHeight w:val="187"/>
        </w:trPr>
        <w:tc>
          <w:tcPr>
            <w:tcW w:w="908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370</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557</w:t>
            </w:r>
          </w:p>
        </w:tc>
        <w:tc>
          <w:tcPr>
            <w:tcW w:w="100" w:type="dxa"/>
            <w:vAlign w:val="bottom"/>
            <w:shd w:val="clear" w:color="auto" w:fill="CCEEFF"/>
          </w:tcPr>
          <w:p>
            <w:pPr>
              <w:spacing w:after="0"/>
              <w:rPr>
                <w:sz w:val="16"/>
                <w:szCs w:val="16"/>
                <w:color w:val="auto"/>
              </w:rPr>
            </w:pPr>
          </w:p>
        </w:tc>
      </w:tr>
      <w:tr>
        <w:trPr>
          <w:trHeight w:val="194"/>
        </w:trPr>
        <w:tc>
          <w:tcPr>
            <w:tcW w:w="9080" w:type="dxa"/>
            <w:vAlign w:val="bottom"/>
          </w:tcPr>
          <w:p>
            <w:pPr>
              <w:ind w:left="500"/>
              <w:spacing w:after="0" w:line="194" w:lineRule="exact"/>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3,565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54,261</w:t>
            </w:r>
          </w:p>
        </w:tc>
      </w:tr>
      <w:tr>
        <w:trPr>
          <w:trHeight w:val="187"/>
        </w:trPr>
        <w:tc>
          <w:tcPr>
            <w:tcW w:w="90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Restricted cash, noncurrent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363</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293</w:t>
            </w:r>
          </w:p>
        </w:tc>
      </w:tr>
      <w:tr>
        <w:trPr>
          <w:trHeight w:val="187"/>
        </w:trPr>
        <w:tc>
          <w:tcPr>
            <w:tcW w:w="9080" w:type="dxa"/>
            <w:vAlign w:val="bottom"/>
          </w:tcPr>
          <w:p>
            <w:pPr>
              <w:spacing w:after="0" w:line="187" w:lineRule="exact"/>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6"/>
                <w:szCs w:val="16"/>
                <w:color w:val="auto"/>
              </w:rPr>
            </w:pPr>
          </w:p>
        </w:tc>
        <w:tc>
          <w:tcPr>
            <w:tcW w:w="600" w:type="dxa"/>
            <w:vAlign w:val="bottom"/>
          </w:tcPr>
          <w:p>
            <w:pPr>
              <w:jc w:val="right"/>
              <w:spacing w:after="0" w:line="187" w:lineRule="exact"/>
              <w:rPr>
                <w:sz w:val="20"/>
                <w:szCs w:val="20"/>
                <w:color w:val="auto"/>
              </w:rPr>
            </w:pPr>
            <w:r>
              <w:rPr>
                <w:rFonts w:ascii="Arial" w:cs="Arial" w:eastAsia="Arial" w:hAnsi="Arial"/>
                <w:sz w:val="17"/>
                <w:szCs w:val="17"/>
                <w:color w:val="auto"/>
              </w:rPr>
              <w:t>1,394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w:t>
            </w:r>
          </w:p>
        </w:tc>
      </w:tr>
      <w:tr>
        <w:trPr>
          <w:trHeight w:val="187"/>
        </w:trPr>
        <w:tc>
          <w:tcPr>
            <w:tcW w:w="90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Other assets</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59</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r>
      <w:tr>
        <w:trPr>
          <w:trHeight w:val="194"/>
        </w:trPr>
        <w:tc>
          <w:tcPr>
            <w:tcW w:w="9080" w:type="dxa"/>
            <w:vAlign w:val="bottom"/>
          </w:tcPr>
          <w:p>
            <w:pPr>
              <w:ind w:left="500"/>
              <w:spacing w:after="0" w:line="194" w:lineRule="exact"/>
              <w:rPr>
                <w:sz w:val="20"/>
                <w:szCs w:val="20"/>
                <w:color w:val="auto"/>
              </w:rPr>
            </w:pPr>
            <w:r>
              <w:rPr>
                <w:rFonts w:ascii="Arial" w:cs="Arial" w:eastAsia="Arial" w:hAnsi="Arial"/>
                <w:sz w:val="17"/>
                <w:szCs w:val="17"/>
                <w:color w:val="auto"/>
              </w:rPr>
              <w:t>Total assets</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5,381</w:t>
            </w:r>
          </w:p>
        </w:tc>
        <w:tc>
          <w:tcPr>
            <w:tcW w:w="3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54,554</w:t>
            </w:r>
          </w:p>
        </w:tc>
      </w:tr>
      <w:tr>
        <w:trPr>
          <w:trHeight w:val="20"/>
        </w:trPr>
        <w:tc>
          <w:tcPr>
            <w:tcW w:w="9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9080" w:type="dxa"/>
            <w:vAlign w:val="bottom"/>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Liabilities, redeemable convertible preferred stock, and stockholders’ deficit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7"/>
        </w:trPr>
        <w:tc>
          <w:tcPr>
            <w:tcW w:w="9080" w:type="dxa"/>
            <w:vAlign w:val="bottom"/>
          </w:tcPr>
          <w:p>
            <w:pPr>
              <w:spacing w:after="0" w:line="187" w:lineRule="exact"/>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908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342</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909</w:t>
            </w:r>
          </w:p>
        </w:tc>
      </w:tr>
      <w:tr>
        <w:trPr>
          <w:trHeight w:val="187"/>
        </w:trPr>
        <w:tc>
          <w:tcPr>
            <w:tcW w:w="9080" w:type="dxa"/>
            <w:vAlign w:val="bottom"/>
          </w:tcPr>
          <w:p>
            <w:pPr>
              <w:ind w:left="260"/>
              <w:spacing w:after="0" w:line="187" w:lineRule="exact"/>
              <w:rPr>
                <w:sz w:val="20"/>
                <w:szCs w:val="20"/>
                <w:color w:val="auto"/>
              </w:rPr>
            </w:pPr>
            <w:r>
              <w:rPr>
                <w:rFonts w:ascii="Arial" w:cs="Arial" w:eastAsia="Arial" w:hAnsi="Arial"/>
                <w:sz w:val="17"/>
                <w:szCs w:val="17"/>
                <w:color w:val="auto"/>
              </w:rPr>
              <w:t>Capital lease payable, current</w:t>
            </w:r>
          </w:p>
        </w:tc>
        <w:tc>
          <w:tcPr>
            <w:tcW w:w="100" w:type="dxa"/>
            <w:vAlign w:val="bottom"/>
          </w:tcPr>
          <w:p>
            <w:pPr>
              <w:spacing w:after="0"/>
              <w:rPr>
                <w:sz w:val="16"/>
                <w:szCs w:val="16"/>
                <w:color w:val="auto"/>
              </w:rPr>
            </w:pPr>
          </w:p>
        </w:tc>
        <w:tc>
          <w:tcPr>
            <w:tcW w:w="600" w:type="dxa"/>
            <w:vAlign w:val="bottom"/>
          </w:tcPr>
          <w:p>
            <w:pPr>
              <w:jc w:val="right"/>
              <w:spacing w:after="0" w:line="187" w:lineRule="exact"/>
              <w:rPr>
                <w:sz w:val="20"/>
                <w:szCs w:val="20"/>
                <w:color w:val="auto"/>
              </w:rPr>
            </w:pPr>
            <w:r>
              <w:rPr>
                <w:rFonts w:ascii="Arial" w:cs="Arial" w:eastAsia="Arial" w:hAnsi="Arial"/>
                <w:sz w:val="17"/>
                <w:szCs w:val="17"/>
                <w:color w:val="auto"/>
              </w:rPr>
              <w:t>122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2</w:t>
            </w:r>
          </w:p>
        </w:tc>
      </w:tr>
      <w:tr>
        <w:trPr>
          <w:trHeight w:val="187"/>
        </w:trPr>
        <w:tc>
          <w:tcPr>
            <w:tcW w:w="908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Restructuring liability, current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173</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962</w:t>
            </w:r>
          </w:p>
        </w:tc>
      </w:tr>
      <w:tr>
        <w:trPr>
          <w:trHeight w:val="194"/>
        </w:trPr>
        <w:tc>
          <w:tcPr>
            <w:tcW w:w="9080" w:type="dxa"/>
            <w:vAlign w:val="bottom"/>
          </w:tcPr>
          <w:p>
            <w:pPr>
              <w:ind w:left="260"/>
              <w:spacing w:after="0" w:line="187"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423</w:t>
            </w: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533</w:t>
            </w:r>
          </w:p>
        </w:tc>
        <w:tc>
          <w:tcPr>
            <w:tcW w:w="100" w:type="dxa"/>
            <w:vAlign w:val="bottom"/>
          </w:tcPr>
          <w:p>
            <w:pPr>
              <w:spacing w:after="0"/>
              <w:rPr>
                <w:sz w:val="16"/>
                <w:szCs w:val="16"/>
                <w:color w:val="auto"/>
              </w:rPr>
            </w:pPr>
          </w:p>
        </w:tc>
      </w:tr>
      <w:tr>
        <w:trPr>
          <w:trHeight w:val="187"/>
        </w:trPr>
        <w:tc>
          <w:tcPr>
            <w:tcW w:w="908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1,060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2,406</w:t>
            </w:r>
          </w:p>
        </w:tc>
      </w:tr>
      <w:tr>
        <w:trPr>
          <w:trHeight w:val="187"/>
        </w:trPr>
        <w:tc>
          <w:tcPr>
            <w:tcW w:w="9080" w:type="dxa"/>
            <w:vAlign w:val="bottom"/>
          </w:tcPr>
          <w:p>
            <w:pPr>
              <w:ind w:left="260"/>
              <w:spacing w:after="0" w:line="187" w:lineRule="exact"/>
              <w:rPr>
                <w:sz w:val="20"/>
                <w:szCs w:val="20"/>
                <w:color w:val="auto"/>
              </w:rPr>
            </w:pPr>
            <w:r>
              <w:rPr>
                <w:rFonts w:ascii="Arial" w:cs="Arial" w:eastAsia="Arial" w:hAnsi="Arial"/>
                <w:sz w:val="17"/>
                <w:szCs w:val="17"/>
                <w:color w:val="auto"/>
              </w:rPr>
              <w:t>Capital lease payable, noncurrent</w:t>
            </w:r>
          </w:p>
        </w:tc>
        <w:tc>
          <w:tcPr>
            <w:tcW w:w="100" w:type="dxa"/>
            <w:vAlign w:val="bottom"/>
          </w:tcPr>
          <w:p>
            <w:pPr>
              <w:spacing w:after="0"/>
              <w:rPr>
                <w:sz w:val="16"/>
                <w:szCs w:val="16"/>
                <w:color w:val="auto"/>
              </w:rPr>
            </w:pPr>
          </w:p>
        </w:tc>
        <w:tc>
          <w:tcPr>
            <w:tcW w:w="600" w:type="dxa"/>
            <w:vAlign w:val="bottom"/>
          </w:tcPr>
          <w:p>
            <w:pPr>
              <w:jc w:val="right"/>
              <w:spacing w:after="0" w:line="187" w:lineRule="exact"/>
              <w:rPr>
                <w:sz w:val="20"/>
                <w:szCs w:val="20"/>
                <w:color w:val="auto"/>
              </w:rPr>
            </w:pPr>
            <w:r>
              <w:rPr>
                <w:rFonts w:ascii="Arial" w:cs="Arial" w:eastAsia="Arial" w:hAnsi="Arial"/>
                <w:sz w:val="17"/>
                <w:szCs w:val="17"/>
                <w:color w:val="auto"/>
              </w:rPr>
              <w:t>10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w:t>
            </w:r>
          </w:p>
        </w:tc>
      </w:tr>
      <w:tr>
        <w:trPr>
          <w:trHeight w:val="187"/>
        </w:trPr>
        <w:tc>
          <w:tcPr>
            <w:tcW w:w="908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Restructuring liability, noncurrent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1,634</w:t>
            </w:r>
          </w:p>
        </w:tc>
      </w:tr>
      <w:tr>
        <w:trPr>
          <w:trHeight w:val="194"/>
        </w:trPr>
        <w:tc>
          <w:tcPr>
            <w:tcW w:w="9080" w:type="dxa"/>
            <w:vAlign w:val="bottom"/>
          </w:tcPr>
          <w:p>
            <w:pPr>
              <w:ind w:left="260"/>
              <w:spacing w:after="0" w:line="187" w:lineRule="exact"/>
              <w:rPr>
                <w:sz w:val="20"/>
                <w:szCs w:val="20"/>
                <w:color w:val="auto"/>
              </w:rPr>
            </w:pPr>
            <w:r>
              <w:rPr>
                <w:rFonts w:ascii="Arial" w:cs="Arial" w:eastAsia="Arial" w:hAnsi="Arial"/>
                <w:sz w:val="17"/>
                <w:szCs w:val="17"/>
                <w:color w:val="auto"/>
              </w:rPr>
              <w:t>Accrued and other noncurrent liabilities</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764</w:t>
            </w: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286</w:t>
            </w:r>
          </w:p>
        </w:tc>
        <w:tc>
          <w:tcPr>
            <w:tcW w:w="100" w:type="dxa"/>
            <w:vAlign w:val="bottom"/>
          </w:tcPr>
          <w:p>
            <w:pPr>
              <w:spacing w:after="0"/>
              <w:rPr>
                <w:sz w:val="16"/>
                <w:szCs w:val="16"/>
                <w:color w:val="auto"/>
              </w:rPr>
            </w:pPr>
          </w:p>
        </w:tc>
      </w:tr>
      <w:tr>
        <w:trPr>
          <w:trHeight w:val="187"/>
        </w:trPr>
        <w:tc>
          <w:tcPr>
            <w:tcW w:w="908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Total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1,834</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4,326</w:t>
            </w:r>
          </w:p>
        </w:tc>
      </w:tr>
      <w:tr>
        <w:trPr>
          <w:trHeight w:val="194"/>
        </w:trPr>
        <w:tc>
          <w:tcPr>
            <w:tcW w:w="9080" w:type="dxa"/>
            <w:vAlign w:val="bottom"/>
          </w:tcPr>
          <w:p>
            <w:pPr>
              <w:spacing w:after="0" w:line="194" w:lineRule="exact"/>
              <w:rPr>
                <w:sz w:val="20"/>
                <w:szCs w:val="20"/>
                <w:color w:val="auto"/>
              </w:rPr>
            </w:pPr>
            <w:r>
              <w:rPr>
                <w:rFonts w:ascii="Arial" w:cs="Arial" w:eastAsia="Arial" w:hAnsi="Arial"/>
                <w:sz w:val="17"/>
                <w:szCs w:val="17"/>
                <w:color w:val="auto"/>
              </w:rPr>
              <w:t>Commitments and contingencies (Note 11)</w:t>
            </w: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1"/>
        </w:trPr>
        <w:tc>
          <w:tcPr>
            <w:tcW w:w="9080" w:type="dxa"/>
            <w:vAlign w:val="bottom"/>
            <w:shd w:val="clear" w:color="auto" w:fill="CCEEFF"/>
          </w:tcPr>
          <w:p>
            <w:pPr>
              <w:ind w:left="260"/>
              <w:spacing w:after="0" w:line="181" w:lineRule="exact"/>
              <w:rPr>
                <w:sz w:val="20"/>
                <w:szCs w:val="20"/>
                <w:color w:val="auto"/>
              </w:rPr>
            </w:pPr>
            <w:r>
              <w:rPr>
                <w:rFonts w:ascii="Arial" w:cs="Arial" w:eastAsia="Arial" w:hAnsi="Arial"/>
                <w:sz w:val="17"/>
                <w:szCs w:val="17"/>
                <w:color w:val="auto"/>
              </w:rPr>
              <w:t>Redeemable convertible preferred stock, $0.001 par value; 15,907,207 and 182,772,372 shares authorized as of</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7"/>
        </w:trPr>
        <w:tc>
          <w:tcPr>
            <w:tcW w:w="908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December 31, 2019 and 2020, respectively; 14,015,773 and 182,772,372 shares issued and outstanding as of</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9080" w:type="dxa"/>
            <w:vAlign w:val="bottom"/>
            <w:shd w:val="clear" w:color="auto" w:fill="CCEEFF"/>
          </w:tcPr>
          <w:p>
            <w:pPr>
              <w:ind w:left="500"/>
              <w:spacing w:after="0" w:line="194" w:lineRule="exact"/>
              <w:rPr>
                <w:sz w:val="20"/>
                <w:szCs w:val="20"/>
                <w:color w:val="auto"/>
              </w:rPr>
            </w:pPr>
            <w:r>
              <w:rPr>
                <w:rFonts w:ascii="Arial" w:cs="Arial" w:eastAsia="Arial" w:hAnsi="Arial"/>
                <w:sz w:val="17"/>
                <w:szCs w:val="17"/>
                <w:color w:val="auto"/>
              </w:rPr>
              <w:t>December 31, 2019 and 2020, respectively</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40,095</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w w:val="97"/>
              </w:rPr>
              <w:t>139,576</w:t>
            </w:r>
          </w:p>
        </w:tc>
      </w:tr>
      <w:tr>
        <w:trPr>
          <w:trHeight w:val="187"/>
        </w:trPr>
        <w:tc>
          <w:tcPr>
            <w:tcW w:w="9080" w:type="dxa"/>
            <w:vAlign w:val="bottom"/>
          </w:tcPr>
          <w:p>
            <w:pPr>
              <w:spacing w:after="0" w:line="187" w:lineRule="exact"/>
              <w:rPr>
                <w:sz w:val="20"/>
                <w:szCs w:val="20"/>
                <w:color w:val="auto"/>
              </w:rPr>
            </w:pPr>
            <w:r>
              <w:rPr>
                <w:rFonts w:ascii="Arial" w:cs="Arial" w:eastAsia="Arial" w:hAnsi="Arial"/>
                <w:sz w:val="17"/>
                <w:szCs w:val="17"/>
                <w:color w:val="auto"/>
              </w:rPr>
              <w:t>Stockholders’ deficit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1"/>
        </w:trPr>
        <w:tc>
          <w:tcPr>
            <w:tcW w:w="9080" w:type="dxa"/>
            <w:vAlign w:val="bottom"/>
            <w:shd w:val="clear" w:color="auto" w:fill="CCEEFF"/>
          </w:tcPr>
          <w:p>
            <w:pPr>
              <w:ind w:left="260"/>
              <w:spacing w:after="0" w:line="181" w:lineRule="exact"/>
              <w:rPr>
                <w:sz w:val="20"/>
                <w:szCs w:val="20"/>
                <w:color w:val="auto"/>
              </w:rPr>
            </w:pPr>
            <w:r>
              <w:rPr>
                <w:rFonts w:ascii="Arial" w:cs="Arial" w:eastAsia="Arial" w:hAnsi="Arial"/>
                <w:sz w:val="17"/>
                <w:szCs w:val="17"/>
                <w:color w:val="auto"/>
              </w:rPr>
              <w:t>Class A common stock, $0.001 par value; 23,000,000 and 273,986,920 shares authorized as of December 31,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7"/>
        </w:trPr>
        <w:tc>
          <w:tcPr>
            <w:tcW w:w="908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2019 and 2020, respectively; 322,007 and 355,296 shares issued and outstanding as of December 31, 2019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3"/>
        </w:trPr>
        <w:tc>
          <w:tcPr>
            <w:tcW w:w="9080" w:type="dxa"/>
            <w:vAlign w:val="bottom"/>
            <w:shd w:val="clear" w:color="auto" w:fill="CCEEFF"/>
          </w:tcPr>
          <w:p>
            <w:pPr>
              <w:ind w:left="500"/>
              <w:spacing w:after="0" w:line="194" w:lineRule="exact"/>
              <w:rPr>
                <w:sz w:val="20"/>
                <w:szCs w:val="20"/>
                <w:color w:val="auto"/>
              </w:rPr>
            </w:pPr>
            <w:r>
              <w:rPr>
                <w:rFonts w:ascii="Arial" w:cs="Arial" w:eastAsia="Arial" w:hAnsi="Arial"/>
                <w:sz w:val="17"/>
                <w:szCs w:val="17"/>
                <w:color w:val="auto"/>
              </w:rPr>
              <w:t>and 2020, respectively</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81"/>
        </w:trPr>
        <w:tc>
          <w:tcPr>
            <w:tcW w:w="9080" w:type="dxa"/>
            <w:vAlign w:val="bottom"/>
          </w:tcPr>
          <w:p>
            <w:pPr>
              <w:ind w:left="260"/>
              <w:spacing w:after="0" w:line="181" w:lineRule="exact"/>
              <w:rPr>
                <w:sz w:val="20"/>
                <w:szCs w:val="20"/>
                <w:color w:val="auto"/>
              </w:rPr>
            </w:pPr>
            <w:r>
              <w:rPr>
                <w:rFonts w:ascii="Arial" w:cs="Arial" w:eastAsia="Arial" w:hAnsi="Arial"/>
                <w:sz w:val="17"/>
                <w:szCs w:val="17"/>
                <w:color w:val="auto"/>
              </w:rPr>
              <w:t>Class B non-voting common stock, $0.001 par value; no shares and 21,593,607 shares authorized as of</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9080" w:type="dxa"/>
            <w:vAlign w:val="bottom"/>
          </w:tcPr>
          <w:p>
            <w:pPr>
              <w:ind w:left="500"/>
              <w:spacing w:after="0" w:line="187" w:lineRule="exact"/>
              <w:rPr>
                <w:sz w:val="20"/>
                <w:szCs w:val="20"/>
                <w:color w:val="auto"/>
              </w:rPr>
            </w:pPr>
            <w:r>
              <w:rPr>
                <w:rFonts w:ascii="Arial" w:cs="Arial" w:eastAsia="Arial" w:hAnsi="Arial"/>
                <w:sz w:val="17"/>
                <w:szCs w:val="17"/>
                <w:color w:val="auto"/>
              </w:rPr>
              <w:t>December 31, 2019 and 2020, respectively; no shares issued and outstanding as of December 31, 2019 and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9080" w:type="dxa"/>
            <w:vAlign w:val="bottom"/>
          </w:tcPr>
          <w:p>
            <w:pPr>
              <w:ind w:left="500"/>
              <w:spacing w:after="0" w:line="194" w:lineRule="exact"/>
              <w:rPr>
                <w:sz w:val="20"/>
                <w:szCs w:val="20"/>
                <w:color w:val="auto"/>
              </w:rPr>
            </w:pPr>
            <w:r>
              <w:rPr>
                <w:rFonts w:ascii="Arial" w:cs="Arial" w:eastAsia="Arial" w:hAnsi="Arial"/>
                <w:sz w:val="17"/>
                <w:szCs w:val="17"/>
                <w:color w:val="auto"/>
              </w:rPr>
              <w:t>2020, respectively</w:t>
            </w:r>
          </w:p>
        </w:tc>
        <w:tc>
          <w:tcPr>
            <w:tcW w:w="100" w:type="dxa"/>
            <w:vAlign w:val="bottom"/>
          </w:tcPr>
          <w:p>
            <w:pPr>
              <w:spacing w:after="0"/>
              <w:rPr>
                <w:sz w:val="16"/>
                <w:szCs w:val="16"/>
                <w:color w:val="auto"/>
              </w:rPr>
            </w:pPr>
          </w:p>
        </w:tc>
        <w:tc>
          <w:tcPr>
            <w:tcW w:w="9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87"/>
        </w:trPr>
        <w:tc>
          <w:tcPr>
            <w:tcW w:w="908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1,486</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2,099</w:t>
            </w:r>
          </w:p>
        </w:tc>
      </w:tr>
      <w:tr>
        <w:trPr>
          <w:trHeight w:val="187"/>
        </w:trPr>
        <w:tc>
          <w:tcPr>
            <w:tcW w:w="9080" w:type="dxa"/>
            <w:vAlign w:val="bottom"/>
          </w:tcPr>
          <w:p>
            <w:pPr>
              <w:ind w:left="260"/>
              <w:spacing w:after="0" w:line="187" w:lineRule="exact"/>
              <w:rPr>
                <w:sz w:val="20"/>
                <w:szCs w:val="20"/>
                <w:color w:val="auto"/>
              </w:rPr>
            </w:pPr>
            <w:r>
              <w:rPr>
                <w:rFonts w:ascii="Arial" w:cs="Arial" w:eastAsia="Arial" w:hAnsi="Arial"/>
                <w:sz w:val="17"/>
                <w:szCs w:val="17"/>
                <w:color w:val="auto"/>
              </w:rPr>
              <w:t>Accumulated deficit</w:t>
            </w:r>
          </w:p>
        </w:tc>
        <w:tc>
          <w:tcPr>
            <w:tcW w:w="100" w:type="dxa"/>
            <w:vAlign w:val="bottom"/>
          </w:tcPr>
          <w:p>
            <w:pPr>
              <w:spacing w:after="0"/>
              <w:rPr>
                <w:sz w:val="16"/>
                <w:szCs w:val="16"/>
                <w:color w:val="auto"/>
              </w:rPr>
            </w:pPr>
          </w:p>
        </w:tc>
        <w:tc>
          <w:tcPr>
            <w:tcW w:w="920" w:type="dxa"/>
            <w:vAlign w:val="bottom"/>
            <w:gridSpan w:val="2"/>
          </w:tcPr>
          <w:p>
            <w:pPr>
              <w:jc w:val="right"/>
              <w:ind w:right="280"/>
              <w:spacing w:after="0" w:line="187" w:lineRule="exact"/>
              <w:rPr>
                <w:sz w:val="20"/>
                <w:szCs w:val="20"/>
                <w:color w:val="auto"/>
              </w:rPr>
            </w:pPr>
            <w:r>
              <w:rPr>
                <w:rFonts w:ascii="Arial" w:cs="Arial" w:eastAsia="Arial" w:hAnsi="Arial"/>
                <w:sz w:val="17"/>
                <w:szCs w:val="17"/>
                <w:color w:val="auto"/>
                <w:w w:val="97"/>
              </w:rPr>
              <w:t>(38,034)</w:t>
            </w:r>
          </w:p>
        </w:tc>
        <w:tc>
          <w:tcPr>
            <w:tcW w:w="100" w:type="dxa"/>
            <w:vAlign w:val="bottom"/>
          </w:tcPr>
          <w:p>
            <w:pPr>
              <w:spacing w:after="0"/>
              <w:rPr>
                <w:sz w:val="16"/>
                <w:szCs w:val="16"/>
                <w:color w:val="auto"/>
              </w:rPr>
            </w:pPr>
          </w:p>
        </w:tc>
        <w:tc>
          <w:tcPr>
            <w:tcW w:w="72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(91,447)</w:t>
            </w:r>
          </w:p>
        </w:tc>
      </w:tr>
      <w:tr>
        <w:trPr>
          <w:trHeight w:val="27"/>
        </w:trPr>
        <w:tc>
          <w:tcPr>
            <w:tcW w:w="9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9080" w:type="dxa"/>
            <w:vAlign w:val="bottom"/>
            <w:shd w:val="clear" w:color="auto" w:fill="CCEEFF"/>
          </w:tcPr>
          <w:p>
            <w:pPr>
              <w:ind w:left="500"/>
              <w:spacing w:after="0" w:line="187" w:lineRule="exact"/>
              <w:rPr>
                <w:sz w:val="20"/>
                <w:szCs w:val="20"/>
                <w:color w:val="auto"/>
              </w:rPr>
            </w:pPr>
            <w:r>
              <w:rPr>
                <w:rFonts w:ascii="Arial" w:cs="Arial" w:eastAsia="Arial" w:hAnsi="Arial"/>
                <w:sz w:val="17"/>
                <w:szCs w:val="17"/>
                <w:color w:val="auto"/>
              </w:rPr>
              <w:t>Total stockholders’ deficit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w w:val="97"/>
              </w:rPr>
              <w:t>(36,548)</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(89,348)</w:t>
            </w:r>
          </w:p>
        </w:tc>
      </w:tr>
      <w:tr>
        <w:trPr>
          <w:trHeight w:val="194"/>
        </w:trPr>
        <w:tc>
          <w:tcPr>
            <w:tcW w:w="9080" w:type="dxa"/>
            <w:vAlign w:val="bottom"/>
          </w:tcPr>
          <w:p>
            <w:pPr>
              <w:ind w:left="500"/>
              <w:spacing w:after="0" w:line="194" w:lineRule="exact"/>
              <w:rPr>
                <w:sz w:val="20"/>
                <w:szCs w:val="20"/>
                <w:color w:val="auto"/>
              </w:rPr>
            </w:pPr>
            <w:r>
              <w:rPr>
                <w:rFonts w:ascii="Arial" w:cs="Arial" w:eastAsia="Arial" w:hAnsi="Arial"/>
                <w:sz w:val="17"/>
                <w:szCs w:val="17"/>
                <w:color w:val="auto"/>
              </w:rPr>
              <w:t>Total liabilities, redeemable convertible preferred stock, and stockholders’ deficit</w:t>
            </w:r>
          </w:p>
        </w:tc>
        <w:tc>
          <w:tcPr>
            <w:tcW w:w="1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5,381</w:t>
            </w:r>
          </w:p>
        </w:tc>
        <w:tc>
          <w:tcPr>
            <w:tcW w:w="3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54,554</w:t>
            </w:r>
          </w:p>
        </w:tc>
        <w:tc>
          <w:tcPr>
            <w:tcW w:w="100" w:type="dxa"/>
            <w:vAlign w:val="bottom"/>
          </w:tcPr>
          <w:p>
            <w:pPr>
              <w:spacing w:after="0"/>
              <w:rPr>
                <w:sz w:val="16"/>
                <w:szCs w:val="16"/>
                <w:color w:val="auto"/>
              </w:rPr>
            </w:pPr>
          </w:p>
        </w:tc>
      </w:tr>
      <w:tr>
        <w:trPr>
          <w:trHeight w:val="20"/>
        </w:trPr>
        <w:tc>
          <w:tcPr>
            <w:tcW w:w="9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9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080"/>
          </w:cols>
          <w:pgMar w:left="320" w:top="456"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Statements of Operations and Comprehensive Loss</w:t>
      </w: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234315</wp:posOffset>
            </wp:positionV>
            <wp:extent cx="69297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7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6"/>
              <w:spacing w:after="0" w:line="154"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5"/>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7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760" w:type="dxa"/>
            <w:vAlign w:val="bottom"/>
          </w:tcPr>
          <w:p>
            <w:pPr>
              <w:ind w:left="240"/>
              <w:spacing w:after="0" w:line="187" w:lineRule="exact"/>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line="187"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7,290</w:t>
            </w:r>
          </w:p>
        </w:tc>
        <w:tc>
          <w:tcPr>
            <w:tcW w:w="100" w:type="dxa"/>
            <w:vAlign w:val="bottom"/>
          </w:tcPr>
          <w:p>
            <w:pPr>
              <w:spacing w:after="0" w:line="187"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45,206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760" w:type="dxa"/>
            <w:vAlign w:val="bottom"/>
            <w:shd w:val="clear" w:color="auto" w:fill="CCEEFF"/>
          </w:tcPr>
          <w:p>
            <w:pPr>
              <w:ind w:left="240"/>
              <w:spacing w:after="0" w:line="187" w:lineRule="exact"/>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40"/>
              <w:spacing w:after="0" w:line="187" w:lineRule="exact"/>
              <w:rPr>
                <w:sz w:val="20"/>
                <w:szCs w:val="20"/>
                <w:color w:val="auto"/>
              </w:rPr>
            </w:pPr>
            <w:r>
              <w:rPr>
                <w:rFonts w:ascii="Arial" w:cs="Arial" w:eastAsia="Arial" w:hAnsi="Arial"/>
                <w:sz w:val="17"/>
                <w:szCs w:val="17"/>
                <w:color w:val="auto"/>
              </w:rPr>
              <w:t>4,410</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4,039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760" w:type="dxa"/>
            <w:vAlign w:val="bottom"/>
          </w:tcPr>
          <w:p>
            <w:pPr>
              <w:ind w:left="240"/>
              <w:spacing w:after="0" w:line="187" w:lineRule="exact"/>
              <w:rPr>
                <w:sz w:val="20"/>
                <w:szCs w:val="20"/>
                <w:color w:val="auto"/>
              </w:rPr>
            </w:pPr>
            <w:r>
              <w:rPr>
                <w:rFonts w:ascii="Arial" w:cs="Arial" w:eastAsia="Arial" w:hAnsi="Arial"/>
                <w:sz w:val="17"/>
                <w:szCs w:val="17"/>
                <w:color w:val="auto"/>
              </w:rPr>
              <w:t>Restructuring costs</w:t>
            </w:r>
          </w:p>
        </w:tc>
        <w:tc>
          <w:tcPr>
            <w:tcW w:w="120" w:type="dxa"/>
            <w:vAlign w:val="bottom"/>
          </w:tcPr>
          <w:p>
            <w:pPr>
              <w:spacing w:after="0"/>
              <w:rPr>
                <w:sz w:val="16"/>
                <w:szCs w:val="16"/>
                <w:color w:val="auto"/>
              </w:rPr>
            </w:pPr>
          </w:p>
        </w:tc>
        <w:tc>
          <w:tcPr>
            <w:tcW w:w="1120" w:type="dxa"/>
            <w:vAlign w:val="bottom"/>
            <w:gridSpan w:val="2"/>
          </w:tcPr>
          <w:p>
            <w:pPr>
              <w:jc w:val="right"/>
              <w:ind w:right="460"/>
              <w:spacing w:after="0" w:line="187" w:lineRule="exact"/>
              <w:rPr>
                <w:sz w:val="20"/>
                <w:szCs w:val="20"/>
                <w:color w:val="auto"/>
              </w:rPr>
            </w:pPr>
            <w:r>
              <w:rPr>
                <w:rFonts w:ascii="Arial" w:cs="Arial" w:eastAsia="Arial" w:hAnsi="Arial"/>
                <w:sz w:val="17"/>
                <w:szCs w:val="17"/>
                <w:color w:val="auto"/>
              </w:rPr>
              <w:t>261</w:t>
            </w:r>
          </w:p>
        </w:tc>
        <w:tc>
          <w:tcPr>
            <w:tcW w:w="100" w:type="dxa"/>
            <w:vAlign w:val="bottom"/>
          </w:tcPr>
          <w:p>
            <w:pPr>
              <w:spacing w:after="0"/>
              <w:rPr>
                <w:sz w:val="16"/>
                <w:szCs w:val="16"/>
                <w:color w:val="auto"/>
              </w:rPr>
            </w:pPr>
          </w:p>
        </w:tc>
        <w:tc>
          <w:tcPr>
            <w:tcW w:w="8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2,996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8760" w:type="dxa"/>
            <w:vAlign w:val="bottom"/>
            <w:shd w:val="clear" w:color="auto" w:fill="CCEEFF"/>
          </w:tcPr>
          <w:p>
            <w:pPr>
              <w:ind w:left="480"/>
              <w:spacing w:after="0" w:line="187" w:lineRule="exact"/>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60"/>
              <w:spacing w:after="0" w:line="187" w:lineRule="exact"/>
              <w:rPr>
                <w:sz w:val="20"/>
                <w:szCs w:val="20"/>
                <w:color w:val="auto"/>
              </w:rPr>
            </w:pPr>
            <w:r>
              <w:rPr>
                <w:rFonts w:ascii="Arial" w:cs="Arial" w:eastAsia="Arial" w:hAnsi="Arial"/>
                <w:sz w:val="17"/>
                <w:szCs w:val="17"/>
                <w:color w:val="auto"/>
              </w:rPr>
              <w:t>11,961</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52,241</w:t>
            </w:r>
          </w:p>
        </w:tc>
        <w:tc>
          <w:tcPr>
            <w:tcW w:w="0" w:type="dxa"/>
            <w:vAlign w:val="bottom"/>
          </w:tcPr>
          <w:p>
            <w:pPr>
              <w:spacing w:after="0"/>
              <w:rPr>
                <w:sz w:val="1"/>
                <w:szCs w:val="1"/>
                <w:color w:val="auto"/>
              </w:rPr>
            </w:pPr>
          </w:p>
        </w:tc>
      </w:tr>
      <w:tr>
        <w:trPr>
          <w:trHeight w:val="20"/>
        </w:trPr>
        <w:tc>
          <w:tcPr>
            <w:tcW w:w="87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8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120" w:type="dxa"/>
            <w:vAlign w:val="bottom"/>
          </w:tcPr>
          <w:p>
            <w:pPr>
              <w:spacing w:after="0"/>
              <w:rPr>
                <w:sz w:val="19"/>
                <w:szCs w:val="19"/>
                <w:color w:val="auto"/>
              </w:rPr>
            </w:pPr>
          </w:p>
        </w:tc>
        <w:tc>
          <w:tcPr>
            <w:tcW w:w="1120" w:type="dxa"/>
            <w:vAlign w:val="bottom"/>
            <w:gridSpan w:val="2"/>
          </w:tcPr>
          <w:p>
            <w:pPr>
              <w:jc w:val="right"/>
              <w:ind w:right="380"/>
              <w:spacing w:after="0" w:line="221" w:lineRule="exact"/>
              <w:rPr>
                <w:sz w:val="20"/>
                <w:szCs w:val="20"/>
                <w:color w:val="auto"/>
              </w:rPr>
            </w:pPr>
            <w:r>
              <w:rPr>
                <w:rFonts w:ascii="Arial" w:cs="Arial" w:eastAsia="Arial" w:hAnsi="Arial"/>
                <w:sz w:val="20"/>
                <w:szCs w:val="20"/>
                <w:color w:val="auto"/>
                <w:w w:val="96"/>
              </w:rPr>
              <w:t>(11,961)</w:t>
            </w:r>
          </w:p>
        </w:tc>
        <w:tc>
          <w:tcPr>
            <w:tcW w:w="100" w:type="dxa"/>
            <w:vAlign w:val="bottom"/>
          </w:tcPr>
          <w:p>
            <w:pPr>
              <w:spacing w:after="0"/>
              <w:rPr>
                <w:sz w:val="19"/>
                <w:szCs w:val="19"/>
                <w:color w:val="auto"/>
              </w:rPr>
            </w:pPr>
          </w:p>
        </w:tc>
        <w:tc>
          <w:tcPr>
            <w:tcW w:w="800" w:type="dxa"/>
            <w:vAlign w:val="bottom"/>
            <w:gridSpan w:val="2"/>
          </w:tcPr>
          <w:p>
            <w:pPr>
              <w:jc w:val="right"/>
              <w:ind w:right="60"/>
              <w:spacing w:after="0" w:line="221" w:lineRule="exact"/>
              <w:rPr>
                <w:sz w:val="20"/>
                <w:szCs w:val="20"/>
                <w:color w:val="auto"/>
              </w:rPr>
            </w:pPr>
            <w:r>
              <w:rPr>
                <w:rFonts w:ascii="Arial" w:cs="Arial" w:eastAsia="Arial" w:hAnsi="Arial"/>
                <w:sz w:val="20"/>
                <w:szCs w:val="20"/>
                <w:color w:val="auto"/>
                <w:w w:val="96"/>
              </w:rPr>
              <w:t>(52,241)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7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Other income (expense):</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760" w:type="dxa"/>
            <w:vAlign w:val="bottom"/>
          </w:tcPr>
          <w:p>
            <w:pPr>
              <w:ind w:left="240"/>
              <w:spacing w:after="0" w:line="187" w:lineRule="exact"/>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6"/>
                <w:szCs w:val="16"/>
                <w:color w:val="auto"/>
              </w:rPr>
            </w:pPr>
          </w:p>
        </w:tc>
        <w:tc>
          <w:tcPr>
            <w:tcW w:w="1120" w:type="dxa"/>
            <w:vAlign w:val="bottom"/>
            <w:gridSpan w:val="2"/>
          </w:tcPr>
          <w:p>
            <w:pPr>
              <w:jc w:val="right"/>
              <w:ind w:right="460"/>
              <w:spacing w:after="0" w:line="187" w:lineRule="exact"/>
              <w:rPr>
                <w:sz w:val="20"/>
                <w:szCs w:val="20"/>
                <w:color w:val="auto"/>
              </w:rPr>
            </w:pPr>
            <w:r>
              <w:rPr>
                <w:rFonts w:ascii="Arial" w:cs="Arial" w:eastAsia="Arial" w:hAnsi="Arial"/>
                <w:sz w:val="17"/>
                <w:szCs w:val="17"/>
                <w:color w:val="auto"/>
              </w:rPr>
              <w:t>159</w:t>
            </w:r>
          </w:p>
        </w:tc>
        <w:tc>
          <w:tcPr>
            <w:tcW w:w="100" w:type="dxa"/>
            <w:vAlign w:val="bottom"/>
          </w:tcPr>
          <w:p>
            <w:pPr>
              <w:spacing w:after="0"/>
              <w:rPr>
                <w:sz w:val="16"/>
                <w:szCs w:val="16"/>
                <w:color w:val="auto"/>
              </w:rPr>
            </w:pPr>
          </w:p>
        </w:tc>
        <w:tc>
          <w:tcPr>
            <w:tcW w:w="8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760" w:type="dxa"/>
            <w:vAlign w:val="bottom"/>
            <w:shd w:val="clear" w:color="auto" w:fill="CCEEFF"/>
          </w:tcPr>
          <w:p>
            <w:pPr>
              <w:ind w:left="240"/>
              <w:spacing w:after="0" w:line="187" w:lineRule="exact"/>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760" w:type="dxa"/>
            <w:vAlign w:val="bottom"/>
          </w:tcPr>
          <w:p>
            <w:pPr>
              <w:ind w:left="240"/>
              <w:spacing w:after="0" w:line="187" w:lineRule="exact"/>
              <w:rPr>
                <w:sz w:val="20"/>
                <w:szCs w:val="20"/>
                <w:color w:val="auto"/>
              </w:rPr>
            </w:pPr>
            <w:r>
              <w:rPr>
                <w:rFonts w:ascii="Arial" w:cs="Arial" w:eastAsia="Arial" w:hAnsi="Arial"/>
                <w:sz w:val="17"/>
                <w:szCs w:val="17"/>
                <w:color w:val="auto"/>
              </w:rPr>
              <w:t>Gain on issuance of convertible notes</w:t>
            </w:r>
          </w:p>
        </w:tc>
        <w:tc>
          <w:tcPr>
            <w:tcW w:w="120" w:type="dxa"/>
            <w:vAlign w:val="bottom"/>
          </w:tcPr>
          <w:p>
            <w:pPr>
              <w:spacing w:after="0"/>
              <w:rPr>
                <w:sz w:val="16"/>
                <w:szCs w:val="16"/>
                <w:color w:val="auto"/>
              </w:rPr>
            </w:pPr>
          </w:p>
        </w:tc>
        <w:tc>
          <w:tcPr>
            <w:tcW w:w="1120" w:type="dxa"/>
            <w:vAlign w:val="bottom"/>
            <w:gridSpan w:val="2"/>
          </w:tcPr>
          <w:p>
            <w:pPr>
              <w:jc w:val="right"/>
              <w:ind w:right="460"/>
              <w:spacing w:after="0" w:line="187"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20"/>
              <w:spacing w:after="0" w:line="187"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760" w:type="dxa"/>
            <w:vAlign w:val="bottom"/>
            <w:shd w:val="clear" w:color="auto" w:fill="CCEEFF"/>
          </w:tcPr>
          <w:p>
            <w:pPr>
              <w:ind w:left="240"/>
              <w:spacing w:after="0" w:line="187" w:lineRule="exact"/>
              <w:rPr>
                <w:sz w:val="20"/>
                <w:szCs w:val="20"/>
                <w:color w:val="auto"/>
              </w:rPr>
            </w:pPr>
            <w:r>
              <w:rPr>
                <w:rFonts w:ascii="Arial" w:cs="Arial" w:eastAsia="Arial" w:hAnsi="Arial"/>
                <w:sz w:val="17"/>
                <w:szCs w:val="17"/>
                <w:color w:val="auto"/>
              </w:rPr>
              <w:t>Change in fair value of convertible notes</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60"/>
              <w:spacing w:after="0" w:line="187"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(1,076)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480"/>
              <w:spacing w:after="0"/>
              <w:rPr>
                <w:sz w:val="20"/>
                <w:szCs w:val="20"/>
                <w:color w:val="auto"/>
              </w:rPr>
            </w:pPr>
            <w:r>
              <w:rPr>
                <w:rFonts w:ascii="Arial" w:cs="Arial" w:eastAsia="Arial" w:hAnsi="Arial"/>
                <w:sz w:val="17"/>
                <w:szCs w:val="17"/>
                <w:color w:val="auto"/>
              </w:rPr>
              <w:t>Total other income (expense)</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60"/>
              <w:spacing w:after="0" w:line="194" w:lineRule="exact"/>
              <w:rPr>
                <w:sz w:val="20"/>
                <w:szCs w:val="20"/>
                <w:color w:val="auto"/>
              </w:rPr>
            </w:pPr>
            <w:r>
              <w:rPr>
                <w:rFonts w:ascii="Arial" w:cs="Arial" w:eastAsia="Arial" w:hAnsi="Arial"/>
                <w:sz w:val="17"/>
                <w:szCs w:val="17"/>
                <w:color w:val="auto"/>
              </w:rPr>
              <w:t>108</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(1,171)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Loss before provision for income taxes</w:t>
            </w:r>
          </w:p>
        </w:tc>
        <w:tc>
          <w:tcPr>
            <w:tcW w:w="120" w:type="dxa"/>
            <w:vAlign w:val="bottom"/>
            <w:shd w:val="clear" w:color="auto" w:fill="CCEEFF"/>
          </w:tcPr>
          <w:p>
            <w:pPr>
              <w:spacing w:after="0" w:line="214" w:lineRule="exact"/>
              <w:rPr>
                <w:sz w:val="20"/>
                <w:szCs w:val="20"/>
                <w:color w:val="auto"/>
              </w:rPr>
            </w:pPr>
            <w:r>
              <w:rPr>
                <w:rFonts w:ascii="Arial" w:cs="Arial" w:eastAsia="Arial" w:hAnsi="Arial"/>
                <w:sz w:val="20"/>
                <w:szCs w:val="20"/>
                <w:color w:val="auto"/>
                <w:w w:val="89"/>
              </w:rPr>
              <w:t>$</w:t>
            </w:r>
          </w:p>
        </w:tc>
        <w:tc>
          <w:tcPr>
            <w:tcW w:w="1120" w:type="dxa"/>
            <w:vAlign w:val="bottom"/>
            <w:gridSpan w:val="2"/>
            <w:shd w:val="clear" w:color="auto" w:fill="CCEEFF"/>
          </w:tcPr>
          <w:p>
            <w:pPr>
              <w:jc w:val="right"/>
              <w:ind w:right="380"/>
              <w:spacing w:after="0" w:line="214" w:lineRule="exact"/>
              <w:rPr>
                <w:sz w:val="20"/>
                <w:szCs w:val="20"/>
                <w:color w:val="auto"/>
              </w:rPr>
            </w:pPr>
            <w:r>
              <w:rPr>
                <w:rFonts w:ascii="Arial" w:cs="Arial" w:eastAsia="Arial" w:hAnsi="Arial"/>
                <w:sz w:val="20"/>
                <w:szCs w:val="20"/>
                <w:color w:val="auto"/>
                <w:w w:val="96"/>
              </w:rPr>
              <w:t>(11,853)</w:t>
            </w:r>
          </w:p>
        </w:tc>
        <w:tc>
          <w:tcPr>
            <w:tcW w:w="100" w:type="dxa"/>
            <w:vAlign w:val="bottom"/>
            <w:shd w:val="clear" w:color="auto" w:fill="CCEEFF"/>
          </w:tcPr>
          <w:p>
            <w:pPr>
              <w:spacing w:after="0" w:line="214" w:lineRule="exact"/>
              <w:rPr>
                <w:sz w:val="20"/>
                <w:szCs w:val="20"/>
                <w:color w:val="auto"/>
              </w:rPr>
            </w:pPr>
            <w:r>
              <w:rPr>
                <w:rFonts w:ascii="Arial" w:cs="Arial" w:eastAsia="Arial" w:hAnsi="Arial"/>
                <w:sz w:val="20"/>
                <w:szCs w:val="20"/>
                <w:color w:val="auto"/>
                <w:w w:val="71"/>
              </w:rPr>
              <w:t>$</w:t>
            </w:r>
          </w:p>
        </w:tc>
        <w:tc>
          <w:tcPr>
            <w:tcW w:w="800" w:type="dxa"/>
            <w:vAlign w:val="bottom"/>
            <w:gridSpan w:val="2"/>
            <w:shd w:val="clear" w:color="auto" w:fill="CCEEFF"/>
          </w:tcPr>
          <w:p>
            <w:pPr>
              <w:jc w:val="right"/>
              <w:ind w:right="60"/>
              <w:spacing w:after="0" w:line="214" w:lineRule="exact"/>
              <w:rPr>
                <w:sz w:val="20"/>
                <w:szCs w:val="20"/>
                <w:color w:val="auto"/>
              </w:rPr>
            </w:pPr>
            <w:r>
              <w:rPr>
                <w:rFonts w:ascii="Arial" w:cs="Arial" w:eastAsia="Arial" w:hAnsi="Arial"/>
                <w:sz w:val="20"/>
                <w:szCs w:val="20"/>
                <w:color w:val="auto"/>
                <w:w w:val="96"/>
              </w:rPr>
              <w:t>(53,412)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760" w:type="dxa"/>
            <w:vAlign w:val="bottom"/>
          </w:tcPr>
          <w:p>
            <w:pPr>
              <w:ind w:left="480"/>
              <w:spacing w:after="0" w:line="187" w:lineRule="exact"/>
              <w:rPr>
                <w:sz w:val="20"/>
                <w:szCs w:val="20"/>
                <w:color w:val="auto"/>
              </w:rPr>
            </w:pPr>
            <w:r>
              <w:rPr>
                <w:rFonts w:ascii="Arial" w:cs="Arial" w:eastAsia="Arial" w:hAnsi="Arial"/>
                <w:sz w:val="17"/>
                <w:szCs w:val="17"/>
                <w:color w:val="auto"/>
              </w:rPr>
              <w:t>Provision for income taxes</w:t>
            </w:r>
          </w:p>
        </w:tc>
        <w:tc>
          <w:tcPr>
            <w:tcW w:w="120" w:type="dxa"/>
            <w:vAlign w:val="bottom"/>
          </w:tcPr>
          <w:p>
            <w:pPr>
              <w:spacing w:after="0"/>
              <w:rPr>
                <w:sz w:val="16"/>
                <w:szCs w:val="16"/>
                <w:color w:val="auto"/>
              </w:rPr>
            </w:pPr>
          </w:p>
        </w:tc>
        <w:tc>
          <w:tcPr>
            <w:tcW w:w="1120" w:type="dxa"/>
            <w:vAlign w:val="bottom"/>
            <w:gridSpan w:val="2"/>
          </w:tcPr>
          <w:p>
            <w:pPr>
              <w:jc w:val="right"/>
              <w:ind w:right="400"/>
              <w:spacing w:after="0" w:line="187" w:lineRule="exact"/>
              <w:rPr>
                <w:sz w:val="20"/>
                <w:szCs w:val="20"/>
                <w:color w:val="auto"/>
              </w:rPr>
            </w:pPr>
            <w:r>
              <w:rPr>
                <w:rFonts w:ascii="Arial" w:cs="Arial" w:eastAsia="Arial" w:hAnsi="Arial"/>
                <w:sz w:val="17"/>
                <w:szCs w:val="17"/>
                <w:color w:val="auto"/>
              </w:rPr>
              <w:t>(1)</w:t>
            </w:r>
          </w:p>
        </w:tc>
        <w:tc>
          <w:tcPr>
            <w:tcW w:w="100" w:type="dxa"/>
            <w:vAlign w:val="bottom"/>
          </w:tcPr>
          <w:p>
            <w:pPr>
              <w:spacing w:after="0"/>
              <w:rPr>
                <w:sz w:val="16"/>
                <w:szCs w:val="16"/>
                <w:color w:val="auto"/>
              </w:rPr>
            </w:pPr>
          </w:p>
        </w:tc>
        <w:tc>
          <w:tcPr>
            <w:tcW w:w="8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876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Net loss and comprehensive loss</w:t>
            </w:r>
          </w:p>
        </w:tc>
        <w:tc>
          <w:tcPr>
            <w:tcW w:w="1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rPr>
              <w:t>(11,854)</w:t>
            </w:r>
          </w:p>
        </w:tc>
        <w:tc>
          <w:tcPr>
            <w:tcW w:w="1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(53,413)</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780" w:type="dxa"/>
            <w:vAlign w:val="bottom"/>
            <w:gridSpan w:val="2"/>
            <w:vMerge w:val="continue"/>
          </w:tcPr>
          <w:p>
            <w:pPr>
              <w:spacing w:after="0"/>
              <w:rPr>
                <w:sz w:val="15"/>
                <w:szCs w:val="15"/>
                <w:color w:val="auto"/>
              </w:rPr>
            </w:pPr>
          </w:p>
        </w:tc>
        <w:tc>
          <w:tcPr>
            <w:tcW w:w="120" w:type="dxa"/>
            <w:vAlign w:val="bottom"/>
          </w:tcPr>
          <w:p>
            <w:pPr>
              <w:spacing w:after="0" w:line="180"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0"/>
              <w:spacing w:after="0" w:line="180" w:lineRule="exact"/>
              <w:rPr>
                <w:sz w:val="20"/>
                <w:szCs w:val="20"/>
                <w:color w:val="auto"/>
              </w:rPr>
            </w:pPr>
            <w:r>
              <w:rPr>
                <w:rFonts w:ascii="Arial" w:cs="Arial" w:eastAsia="Arial" w:hAnsi="Arial"/>
                <w:sz w:val="17"/>
                <w:szCs w:val="17"/>
                <w:color w:val="auto"/>
              </w:rPr>
              <w:t>(40.14)</w:t>
            </w:r>
          </w:p>
        </w:tc>
        <w:tc>
          <w:tcPr>
            <w:tcW w:w="100" w:type="dxa"/>
            <w:vAlign w:val="bottom"/>
          </w:tcPr>
          <w:p>
            <w:pPr>
              <w:spacing w:after="0" w:line="180"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60"/>
              <w:spacing w:after="0" w:line="180" w:lineRule="exact"/>
              <w:rPr>
                <w:sz w:val="20"/>
                <w:szCs w:val="20"/>
                <w:color w:val="auto"/>
              </w:rPr>
            </w:pPr>
            <w:r>
              <w:rPr>
                <w:rFonts w:ascii="Arial" w:cs="Arial" w:eastAsia="Arial" w:hAnsi="Arial"/>
                <w:sz w:val="17"/>
                <w:szCs w:val="17"/>
                <w:color w:val="auto"/>
              </w:rPr>
              <w:t>(166.93)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76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Weighted-average common shares outstanding, basic and diluted</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40"/>
              <w:spacing w:after="0" w:line="180" w:lineRule="exact"/>
              <w:rPr>
                <w:sz w:val="20"/>
                <w:szCs w:val="20"/>
                <w:color w:val="auto"/>
              </w:rPr>
            </w:pPr>
            <w:r>
              <w:rPr>
                <w:rFonts w:ascii="Arial" w:cs="Arial" w:eastAsia="Arial" w:hAnsi="Arial"/>
                <w:sz w:val="17"/>
                <w:szCs w:val="17"/>
                <w:color w:val="auto"/>
              </w:rPr>
              <w:t>295,328</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line="180" w:lineRule="exact"/>
              <w:rPr>
                <w:sz w:val="20"/>
                <w:szCs w:val="20"/>
                <w:color w:val="auto"/>
              </w:rPr>
            </w:pPr>
            <w:r>
              <w:rPr>
                <w:rFonts w:ascii="Arial" w:cs="Arial" w:eastAsia="Arial" w:hAnsi="Arial"/>
                <w:sz w:val="17"/>
                <w:szCs w:val="17"/>
                <w:color w:val="auto"/>
              </w:rPr>
              <w:t>319,963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080"/>
          </w:cols>
          <w:pgMar w:left="320" w:top="456"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Statements of Redeemable Convertible Preferred Stock and Stockholders’ Deficit</w:t>
      </w:r>
    </w:p>
    <w:p>
      <w:pPr>
        <w:jc w:val="center"/>
        <w:ind w:right="-159"/>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234315</wp:posOffset>
            </wp:positionV>
            <wp:extent cx="69297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2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REDEEMABLE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2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72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tcPr>
          <w:p>
            <w:pPr>
              <w:spacing w:after="0"/>
              <w:rPr>
                <w:sz w:val="15"/>
                <w:szCs w:val="15"/>
                <w:color w:val="auto"/>
              </w:rPr>
            </w:pPr>
          </w:p>
        </w:tc>
        <w:tc>
          <w:tcPr>
            <w:tcW w:w="1640" w:type="dxa"/>
            <w:vAlign w:val="bottom"/>
            <w:gridSpan w:val="5"/>
          </w:tcPr>
          <w:p>
            <w:pPr>
              <w:ind w:left="1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PAID-IN</w:t>
            </w:r>
          </w:p>
        </w:tc>
        <w:tc>
          <w:tcPr>
            <w:tcW w:w="10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40" w:type="dxa"/>
            <w:vAlign w:val="bottom"/>
            <w:tcBorders>
              <w:top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AMOUNT</w:t>
            </w: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gridSpan w:val="2"/>
          </w:tcPr>
          <w:p>
            <w:pPr>
              <w:jc w:val="right"/>
              <w:ind w:right="200"/>
              <w:spacing w:after="0" w:line="154" w:lineRule="exact"/>
              <w:rPr>
                <w:sz w:val="20"/>
                <w:szCs w:val="20"/>
                <w:color w:val="auto"/>
              </w:rPr>
            </w:pPr>
            <w:r>
              <w:rPr>
                <w:rFonts w:ascii="Arial" w:cs="Arial" w:eastAsia="Arial" w:hAnsi="Arial"/>
                <w:sz w:val="14"/>
                <w:szCs w:val="14"/>
                <w:b w:val="1"/>
                <w:bCs w:val="1"/>
                <w:color w:val="auto"/>
                <w:w w:val="99"/>
              </w:rPr>
              <w:t>SHARES</w:t>
            </w:r>
          </w:p>
        </w:tc>
        <w:tc>
          <w:tcPr>
            <w:tcW w:w="64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520"/>
              <w:spacing w:after="0" w:line="154"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3"/>
                <w:szCs w:val="13"/>
                <w:color w:val="auto"/>
              </w:rPr>
            </w:pPr>
          </w:p>
        </w:tc>
        <w:tc>
          <w:tcPr>
            <w:tcW w:w="1120" w:type="dxa"/>
            <w:vAlign w:val="bottom"/>
            <w:gridSpan w:val="2"/>
          </w:tcPr>
          <w:p>
            <w:pPr>
              <w:jc w:val="right"/>
              <w:ind w:right="440"/>
              <w:spacing w:after="0" w:line="154"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2018</w:t>
            </w: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3620" w:type="dxa"/>
            <w:vAlign w:val="bottom"/>
            <w:vMerge w:val="continue"/>
            <w:shd w:val="clear" w:color="auto" w:fill="CCEEFF"/>
          </w:tcPr>
          <w:p>
            <w:pPr>
              <w:spacing w:after="0"/>
              <w:rPr>
                <w:sz w:val="13"/>
                <w:szCs w:val="13"/>
                <w:color w:val="auto"/>
              </w:rPr>
            </w:pPr>
          </w:p>
        </w:tc>
        <w:tc>
          <w:tcPr>
            <w:tcW w:w="84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14,015,773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40,095</w:t>
            </w:r>
          </w:p>
        </w:tc>
        <w:tc>
          <w:tcPr>
            <w:tcW w:w="12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4"/>
                <w:szCs w:val="14"/>
                <w:color w:val="auto"/>
              </w:rPr>
              <w:t>312,082</w:t>
            </w:r>
          </w:p>
        </w:tc>
        <w:tc>
          <w:tcPr>
            <w:tcW w:w="280" w:type="dxa"/>
            <w:vAlign w:val="bottom"/>
            <w:shd w:val="clear" w:color="auto" w:fill="CCEEFF"/>
          </w:tcPr>
          <w:p>
            <w:pPr>
              <w:jc w:val="right"/>
              <w:ind w:right="129"/>
              <w:spacing w:after="0" w:line="154"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54" w:lineRule="exact"/>
              <w:rPr>
                <w:sz w:val="20"/>
                <w:szCs w:val="20"/>
                <w:color w:val="auto"/>
              </w:rPr>
            </w:pPr>
            <w:r>
              <w:rPr>
                <w:rFonts w:ascii="Arial" w:cs="Arial" w:eastAsia="Arial" w:hAnsi="Arial"/>
                <w:sz w:val="14"/>
                <w:szCs w:val="14"/>
                <w:color w:val="auto"/>
              </w:rPr>
              <w:t>1,172</w:t>
            </w:r>
          </w:p>
        </w:tc>
        <w:tc>
          <w:tcPr>
            <w:tcW w:w="280" w:type="dxa"/>
            <w:vAlign w:val="bottom"/>
            <w:gridSpan w:val="2"/>
            <w:shd w:val="clear" w:color="auto" w:fill="CCEEFF"/>
          </w:tcPr>
          <w:p>
            <w:pPr>
              <w:ind w:left="100"/>
              <w:spacing w:after="0" w:line="154"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4"/>
                <w:szCs w:val="14"/>
                <w:color w:val="auto"/>
              </w:rPr>
              <w:t>(26,180)</w:t>
            </w:r>
          </w:p>
        </w:tc>
        <w:tc>
          <w:tcPr>
            <w:tcW w:w="22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
              <w:spacing w:after="0" w:line="154" w:lineRule="exact"/>
              <w:rPr>
                <w:sz w:val="20"/>
                <w:szCs w:val="20"/>
                <w:color w:val="auto"/>
              </w:rPr>
            </w:pPr>
            <w:r>
              <w:rPr>
                <w:rFonts w:ascii="Arial" w:cs="Arial" w:eastAsia="Arial" w:hAnsi="Arial"/>
                <w:sz w:val="14"/>
                <w:szCs w:val="14"/>
                <w:color w:val="auto"/>
              </w:rPr>
              <w:t>(25,008)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20" w:type="dxa"/>
            <w:vAlign w:val="bottom"/>
          </w:tcPr>
          <w:p>
            <w:pPr>
              <w:ind w:left="240"/>
              <w:spacing w:after="0"/>
              <w:rPr>
                <w:sz w:val="20"/>
                <w:szCs w:val="20"/>
                <w:color w:val="auto"/>
              </w:rPr>
            </w:pPr>
            <w:r>
              <w:rPr>
                <w:rFonts w:ascii="Arial" w:cs="Arial" w:eastAsia="Arial" w:hAnsi="Arial"/>
                <w:sz w:val="14"/>
                <w:szCs w:val="14"/>
                <w:color w:val="auto"/>
              </w:rPr>
              <w:t>Issuance of Class A common stock upon exercise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ind w:left="480"/>
              <w:spacing w:after="0" w:line="156" w:lineRule="exact"/>
              <w:rPr>
                <w:sz w:val="20"/>
                <w:szCs w:val="20"/>
                <w:color w:val="auto"/>
              </w:rPr>
            </w:pPr>
            <w:r>
              <w:rPr>
                <w:rFonts w:ascii="Arial" w:cs="Arial" w:eastAsia="Arial" w:hAnsi="Arial"/>
                <w:sz w:val="14"/>
                <w:szCs w:val="14"/>
                <w:color w:val="auto"/>
              </w:rPr>
              <w:t>of options</w:t>
            </w: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9,925</w:t>
            </w:r>
          </w:p>
        </w:tc>
        <w:tc>
          <w:tcPr>
            <w:tcW w:w="280" w:type="dxa"/>
            <w:vAlign w:val="bottom"/>
          </w:tcPr>
          <w:p>
            <w:pPr>
              <w:spacing w:after="0"/>
              <w:rPr>
                <w:sz w:val="13"/>
                <w:szCs w:val="13"/>
                <w:color w:val="auto"/>
              </w:rPr>
            </w:pPr>
          </w:p>
        </w:tc>
        <w:tc>
          <w:tcPr>
            <w:tcW w:w="56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ind w:left="24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(11,854)</w:t>
            </w:r>
          </w:p>
        </w:tc>
        <w:tc>
          <w:tcPr>
            <w:tcW w:w="22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(11,854)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14,015,773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40,095</w:t>
            </w:r>
          </w:p>
        </w:tc>
        <w:tc>
          <w:tcPr>
            <w:tcW w:w="12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322,007</w:t>
            </w:r>
          </w:p>
        </w:tc>
        <w:tc>
          <w:tcPr>
            <w:tcW w:w="2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(38,034)</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(36,548)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20" w:type="dxa"/>
            <w:vAlign w:val="bottom"/>
          </w:tcPr>
          <w:p>
            <w:pPr>
              <w:ind w:left="240"/>
              <w:spacing w:after="0"/>
              <w:rPr>
                <w:sz w:val="20"/>
                <w:szCs w:val="20"/>
                <w:color w:val="auto"/>
              </w:rPr>
            </w:pPr>
            <w:r>
              <w:rPr>
                <w:rFonts w:ascii="Arial" w:cs="Arial" w:eastAsia="Arial" w:hAnsi="Arial"/>
                <w:sz w:val="14"/>
                <w:szCs w:val="14"/>
                <w:color w:val="auto"/>
              </w:rPr>
              <w:t>Issuance of Class A common stock upon exercise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ind w:left="480"/>
              <w:spacing w:after="0" w:line="156" w:lineRule="exact"/>
              <w:rPr>
                <w:sz w:val="20"/>
                <w:szCs w:val="20"/>
                <w:color w:val="auto"/>
              </w:rPr>
            </w:pPr>
            <w:r>
              <w:rPr>
                <w:rFonts w:ascii="Arial" w:cs="Arial" w:eastAsia="Arial" w:hAnsi="Arial"/>
                <w:sz w:val="14"/>
                <w:szCs w:val="14"/>
                <w:color w:val="auto"/>
              </w:rPr>
              <w:t>of options</w:t>
            </w: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33,289</w:t>
            </w:r>
          </w:p>
        </w:tc>
        <w:tc>
          <w:tcPr>
            <w:tcW w:w="280" w:type="dxa"/>
            <w:vAlign w:val="bottom"/>
          </w:tcPr>
          <w:p>
            <w:pPr>
              <w:spacing w:after="0"/>
              <w:rPr>
                <w:sz w:val="13"/>
                <w:szCs w:val="13"/>
                <w:color w:val="auto"/>
              </w:rPr>
            </w:pPr>
          </w:p>
        </w:tc>
        <w:tc>
          <w:tcPr>
            <w:tcW w:w="56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282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Series C redeemable convertible</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shd w:val="clear" w:color="auto" w:fill="CCEEFF"/>
          </w:tcPr>
          <w:p>
            <w:pPr>
              <w:ind w:left="480"/>
              <w:spacing w:after="0" w:line="156" w:lineRule="exact"/>
              <w:rPr>
                <w:sz w:val="20"/>
                <w:szCs w:val="20"/>
                <w:color w:val="auto"/>
              </w:rPr>
            </w:pPr>
            <w:r>
              <w:rPr>
                <w:rFonts w:ascii="Arial" w:cs="Arial" w:eastAsia="Arial" w:hAnsi="Arial"/>
                <w:sz w:val="14"/>
                <w:szCs w:val="14"/>
                <w:color w:val="auto"/>
              </w:rPr>
              <w:t>preferred stock, net of issuance costs of $389</w:t>
            </w: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135,180,800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tcBorders>
              <w:right w:val="single" w:sz="8" w:color="auto"/>
            </w:tcBorders>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79,611</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20" w:type="dxa"/>
            <w:vAlign w:val="bottom"/>
          </w:tcPr>
          <w:p>
            <w:pPr>
              <w:ind w:left="240"/>
              <w:spacing w:after="0"/>
              <w:rPr>
                <w:sz w:val="20"/>
                <w:szCs w:val="20"/>
                <w:color w:val="auto"/>
              </w:rPr>
            </w:pPr>
            <w:r>
              <w:rPr>
                <w:rFonts w:ascii="Arial" w:cs="Arial" w:eastAsia="Arial" w:hAnsi="Arial"/>
                <w:sz w:val="14"/>
                <w:szCs w:val="14"/>
                <w:color w:val="auto"/>
              </w:rPr>
              <w:t>Issuance of Series C redeemable convertible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ind w:left="480"/>
              <w:spacing w:after="0"/>
              <w:rPr>
                <w:sz w:val="20"/>
                <w:szCs w:val="20"/>
                <w:color w:val="auto"/>
              </w:rPr>
            </w:pPr>
            <w:r>
              <w:rPr>
                <w:rFonts w:ascii="Arial" w:cs="Arial" w:eastAsia="Arial" w:hAnsi="Arial"/>
                <w:sz w:val="14"/>
                <w:szCs w:val="14"/>
                <w:color w:val="auto"/>
              </w:rPr>
              <w:t>preferred stock upon extinguishment of</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ind w:left="480"/>
              <w:spacing w:after="0" w:line="156" w:lineRule="exact"/>
              <w:rPr>
                <w:sz w:val="20"/>
                <w:szCs w:val="20"/>
                <w:color w:val="auto"/>
              </w:rPr>
            </w:pPr>
            <w:r>
              <w:rPr>
                <w:rFonts w:ascii="Arial" w:cs="Arial" w:eastAsia="Arial" w:hAnsi="Arial"/>
                <w:sz w:val="14"/>
                <w:szCs w:val="14"/>
                <w:color w:val="auto"/>
              </w:rPr>
              <w:t>convertible notes</w:t>
            </w: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11,404,246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120"/>
              <w:spacing w:after="0" w:line="156" w:lineRule="exact"/>
              <w:rPr>
                <w:sz w:val="20"/>
                <w:szCs w:val="20"/>
                <w:color w:val="auto"/>
              </w:rPr>
            </w:pPr>
            <w:r>
              <w:rPr>
                <w:rFonts w:ascii="Arial" w:cs="Arial" w:eastAsia="Arial" w:hAnsi="Arial"/>
                <w:sz w:val="14"/>
                <w:szCs w:val="14"/>
                <w:color w:val="auto"/>
              </w:rPr>
              <w:t>6,749</w:t>
            </w:r>
          </w:p>
        </w:tc>
        <w:tc>
          <w:tcPr>
            <w:tcW w:w="140" w:type="dxa"/>
            <w:vAlign w:val="bottom"/>
          </w:tcPr>
          <w:p>
            <w:pPr>
              <w:spacing w:after="0"/>
              <w:rPr>
                <w:sz w:val="13"/>
                <w:szCs w:val="13"/>
                <w:color w:val="auto"/>
              </w:rPr>
            </w:pPr>
          </w:p>
        </w:tc>
        <w:tc>
          <w:tcPr>
            <w:tcW w:w="80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6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Series C redeemable convertible</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shd w:val="clear" w:color="auto" w:fill="CCEEFF"/>
          </w:tcPr>
          <w:p>
            <w:pPr>
              <w:ind w:left="480"/>
              <w:spacing w:after="0" w:line="156" w:lineRule="exact"/>
              <w:rPr>
                <w:sz w:val="20"/>
                <w:szCs w:val="20"/>
                <w:color w:val="auto"/>
              </w:rPr>
            </w:pPr>
            <w:r>
              <w:rPr>
                <w:rFonts w:ascii="Arial" w:cs="Arial" w:eastAsia="Arial" w:hAnsi="Arial"/>
                <w:sz w:val="14"/>
                <w:szCs w:val="14"/>
                <w:color w:val="auto"/>
              </w:rPr>
              <w:t>preferred stock for license</w:t>
            </w: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22,171,553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tcBorders>
              <w:right w:val="single" w:sz="8" w:color="auto"/>
            </w:tcBorders>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13,121</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(53,413)</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(53,413)</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as of December 31, 2020</w:t>
            </w: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640" w:type="dxa"/>
            <w:vAlign w:val="bottom"/>
            <w:gridSpan w:val="2"/>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182,772,372</w:t>
            </w:r>
          </w:p>
        </w:tc>
        <w:tc>
          <w:tcPr>
            <w:tcW w:w="1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139,576</w:t>
            </w: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355,296</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2,099</w:t>
            </w:r>
          </w:p>
        </w:tc>
        <w:tc>
          <w:tcPr>
            <w:tcW w:w="2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(91,447)</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(89,348)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080"/>
          </w:cols>
          <w:pgMar w:left="320" w:top="456"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Statements of Cash Flows</w:t>
      </w: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158115</wp:posOffset>
            </wp:positionV>
            <wp:extent cx="69297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7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r>
      <w:tr>
        <w:trPr>
          <w:trHeight w:val="154"/>
        </w:trPr>
        <w:tc>
          <w:tcPr>
            <w:tcW w:w="78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40"/>
              <w:spacing w:after="0" w:line="154"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0"/>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167"/>
        </w:trPr>
        <w:tc>
          <w:tcPr>
            <w:tcW w:w="7820" w:type="dxa"/>
            <w:vAlign w:val="bottom"/>
            <w:shd w:val="clear" w:color="auto" w:fill="CCEEFF"/>
          </w:tcPr>
          <w:p>
            <w:pPr>
              <w:spacing w:after="0" w:line="168" w:lineRule="exact"/>
              <w:rPr>
                <w:sz w:val="20"/>
                <w:szCs w:val="20"/>
                <w:color w:val="auto"/>
              </w:rPr>
            </w:pPr>
            <w:r>
              <w:rPr>
                <w:rFonts w:ascii="Arial" w:cs="Arial" w:eastAsia="Arial" w:hAnsi="Arial"/>
                <w:sz w:val="16"/>
                <w:szCs w:val="16"/>
                <w:b w:val="1"/>
                <w:bCs w:val="1"/>
                <w:color w:val="auto"/>
              </w:rPr>
              <w:t>Cash flows from operating activities</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7"/>
        </w:trPr>
        <w:tc>
          <w:tcPr>
            <w:tcW w:w="7820" w:type="dxa"/>
            <w:vAlign w:val="bottom"/>
          </w:tcPr>
          <w:p>
            <w:pPr>
              <w:spacing w:after="0"/>
              <w:rPr>
                <w:sz w:val="20"/>
                <w:szCs w:val="20"/>
                <w:color w:val="auto"/>
              </w:rPr>
            </w:pPr>
            <w:r>
              <w:rPr>
                <w:rFonts w:ascii="Arial" w:cs="Arial" w:eastAsia="Arial" w:hAnsi="Arial"/>
                <w:sz w:val="16"/>
                <w:szCs w:val="16"/>
                <w:color w:val="auto"/>
              </w:rPr>
              <w:t>Net loss</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(11,854)</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(53,413)</w:t>
            </w:r>
          </w:p>
        </w:tc>
      </w:tr>
      <w:tr>
        <w:trPr>
          <w:trHeight w:val="187"/>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7"/>
        </w:trPr>
        <w:tc>
          <w:tcPr>
            <w:tcW w:w="782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251</w:t>
            </w:r>
          </w:p>
        </w:tc>
      </w:tr>
      <w:tr>
        <w:trPr>
          <w:trHeight w:val="187"/>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Impairment loss on property and equipment and intangible assets</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1,185</w:t>
            </w:r>
          </w:p>
        </w:tc>
      </w:tr>
      <w:tr>
        <w:trPr>
          <w:trHeight w:val="187"/>
        </w:trPr>
        <w:tc>
          <w:tcPr>
            <w:tcW w:w="7820" w:type="dxa"/>
            <w:vAlign w:val="bottom"/>
          </w:tcPr>
          <w:p>
            <w:pPr>
              <w:ind w:left="260"/>
              <w:spacing w:after="0"/>
              <w:rPr>
                <w:sz w:val="20"/>
                <w:szCs w:val="20"/>
                <w:color w:val="auto"/>
              </w:rPr>
            </w:pPr>
            <w:r>
              <w:rPr>
                <w:rFonts w:ascii="Arial" w:cs="Arial" w:eastAsia="Arial" w:hAnsi="Arial"/>
                <w:sz w:val="16"/>
                <w:szCs w:val="16"/>
                <w:color w:val="auto"/>
              </w:rPr>
              <w:t>Loss on disposal of property and equipment</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7"/>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Stock-based compensation</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331</w:t>
            </w:r>
          </w:p>
        </w:tc>
      </w:tr>
      <w:tr>
        <w:trPr>
          <w:trHeight w:val="187"/>
        </w:trPr>
        <w:tc>
          <w:tcPr>
            <w:tcW w:w="7820" w:type="dxa"/>
            <w:vAlign w:val="bottom"/>
          </w:tcPr>
          <w:p>
            <w:pPr>
              <w:ind w:left="260"/>
              <w:spacing w:after="0"/>
              <w:rPr>
                <w:sz w:val="20"/>
                <w:szCs w:val="20"/>
                <w:color w:val="auto"/>
              </w:rPr>
            </w:pPr>
            <w:r>
              <w:rPr>
                <w:rFonts w:ascii="Arial" w:cs="Arial" w:eastAsia="Arial" w:hAnsi="Arial"/>
                <w:sz w:val="16"/>
                <w:szCs w:val="16"/>
                <w:color w:val="auto"/>
              </w:rPr>
              <w:t>Issuance of Series C redeemable convertible preferred stock for license</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13,121</w:t>
            </w:r>
          </w:p>
        </w:tc>
        <w:tc>
          <w:tcPr>
            <w:tcW w:w="100" w:type="dxa"/>
            <w:vAlign w:val="bottom"/>
          </w:tcPr>
          <w:p>
            <w:pPr>
              <w:spacing w:after="0"/>
              <w:rPr>
                <w:sz w:val="16"/>
                <w:szCs w:val="16"/>
                <w:color w:val="auto"/>
              </w:rPr>
            </w:pPr>
          </w:p>
        </w:tc>
      </w:tr>
      <w:tr>
        <w:trPr>
          <w:trHeight w:val="187"/>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Restructuring costs, net of cash paid</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2,423</w:t>
            </w:r>
          </w:p>
        </w:tc>
      </w:tr>
      <w:tr>
        <w:trPr>
          <w:trHeight w:val="187"/>
        </w:trPr>
        <w:tc>
          <w:tcPr>
            <w:tcW w:w="7820" w:type="dxa"/>
            <w:vAlign w:val="bottom"/>
          </w:tcPr>
          <w:p>
            <w:pPr>
              <w:ind w:left="260"/>
              <w:spacing w:after="0"/>
              <w:rPr>
                <w:sz w:val="20"/>
                <w:szCs w:val="20"/>
                <w:color w:val="auto"/>
              </w:rPr>
            </w:pPr>
            <w:r>
              <w:rPr>
                <w:rFonts w:ascii="Arial" w:cs="Arial" w:eastAsia="Arial" w:hAnsi="Arial"/>
                <w:sz w:val="16"/>
                <w:szCs w:val="16"/>
                <w:color w:val="auto"/>
              </w:rPr>
              <w:t>Non-cash interest expense on convertible notes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134</w:t>
            </w:r>
          </w:p>
        </w:tc>
      </w:tr>
      <w:tr>
        <w:trPr>
          <w:trHeight w:val="187"/>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Issuance costs for convertible notes</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w:t>
            </w:r>
          </w:p>
        </w:tc>
      </w:tr>
      <w:tr>
        <w:trPr>
          <w:trHeight w:val="187"/>
        </w:trPr>
        <w:tc>
          <w:tcPr>
            <w:tcW w:w="7820" w:type="dxa"/>
            <w:vAlign w:val="bottom"/>
          </w:tcPr>
          <w:p>
            <w:pPr>
              <w:ind w:left="260"/>
              <w:spacing w:after="0"/>
              <w:rPr>
                <w:sz w:val="20"/>
                <w:szCs w:val="20"/>
                <w:color w:val="auto"/>
              </w:rPr>
            </w:pPr>
            <w:r>
              <w:rPr>
                <w:rFonts w:ascii="Arial" w:cs="Arial" w:eastAsia="Arial" w:hAnsi="Arial"/>
                <w:sz w:val="16"/>
                <w:szCs w:val="16"/>
                <w:color w:val="auto"/>
              </w:rPr>
              <w:t>Gain on issuance of convertible notes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r>
      <w:tr>
        <w:trPr>
          <w:trHeight w:val="187"/>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Change in fair value of convertible notes</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1,076</w:t>
            </w:r>
          </w:p>
        </w:tc>
      </w:tr>
      <w:tr>
        <w:trPr>
          <w:trHeight w:val="187"/>
        </w:trPr>
        <w:tc>
          <w:tcPr>
            <w:tcW w:w="782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78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Prepaid expense and other current assets</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(135)</w:t>
            </w:r>
          </w:p>
        </w:tc>
      </w:tr>
      <w:tr>
        <w:trPr>
          <w:trHeight w:val="187"/>
        </w:trPr>
        <w:tc>
          <w:tcPr>
            <w:tcW w:w="782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59</w:t>
            </w:r>
          </w:p>
        </w:tc>
      </w:tr>
      <w:tr>
        <w:trPr>
          <w:trHeight w:val="187"/>
        </w:trPr>
        <w:tc>
          <w:tcPr>
            <w:tcW w:w="78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Grants receivable</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7"/>
        </w:trPr>
        <w:tc>
          <w:tcPr>
            <w:tcW w:w="782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(291)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567</w:t>
            </w:r>
          </w:p>
        </w:tc>
      </w:tr>
      <w:tr>
        <w:trPr>
          <w:trHeight w:val="187"/>
        </w:trPr>
        <w:tc>
          <w:tcPr>
            <w:tcW w:w="78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Accrued and other current liabilities</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w:t>
            </w:r>
          </w:p>
        </w:tc>
      </w:tr>
      <w:tr>
        <w:trPr>
          <w:trHeight w:val="187"/>
        </w:trPr>
        <w:tc>
          <w:tcPr>
            <w:tcW w:w="782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(478)</w:t>
            </w:r>
          </w:p>
        </w:tc>
      </w:tr>
      <w:tr>
        <w:trPr>
          <w:trHeight w:val="27"/>
        </w:trPr>
        <w:tc>
          <w:tcPr>
            <w:tcW w:w="7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78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operating activities</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(10,289)</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(34,809)</w:t>
            </w:r>
          </w:p>
        </w:tc>
      </w:tr>
      <w:tr>
        <w:trPr>
          <w:trHeight w:val="194"/>
        </w:trPr>
        <w:tc>
          <w:tcPr>
            <w:tcW w:w="78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5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 of property and equipment</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w:t>
            </w:r>
          </w:p>
        </w:tc>
      </w:tr>
      <w:tr>
        <w:trPr>
          <w:trHeight w:val="187"/>
        </w:trPr>
        <w:tc>
          <w:tcPr>
            <w:tcW w:w="7820" w:type="dxa"/>
            <w:vAlign w:val="bottom"/>
          </w:tcPr>
          <w:p>
            <w:pPr>
              <w:ind w:left="260"/>
              <w:spacing w:after="0"/>
              <w:rPr>
                <w:sz w:val="20"/>
                <w:szCs w:val="20"/>
                <w:color w:val="auto"/>
              </w:rPr>
            </w:pPr>
            <w:r>
              <w:rPr>
                <w:rFonts w:ascii="Arial" w:cs="Arial" w:eastAsia="Arial" w:hAnsi="Arial"/>
                <w:sz w:val="16"/>
                <w:szCs w:val="16"/>
                <w:color w:val="auto"/>
              </w:rPr>
              <w:t>Proceeds from the sale of property and equipment</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57</w:t>
            </w:r>
          </w:p>
        </w:tc>
      </w:tr>
      <w:tr>
        <w:trPr>
          <w:trHeight w:val="27"/>
        </w:trPr>
        <w:tc>
          <w:tcPr>
            <w:tcW w:w="7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78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investing activities</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w:t>
            </w:r>
          </w:p>
        </w:tc>
      </w:tr>
      <w:tr>
        <w:trPr>
          <w:trHeight w:val="194"/>
        </w:trPr>
        <w:tc>
          <w:tcPr>
            <w:tcW w:w="78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5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230</w:t>
            </w:r>
          </w:p>
        </w:tc>
      </w:tr>
      <w:tr>
        <w:trPr>
          <w:trHeight w:val="187"/>
        </w:trPr>
        <w:tc>
          <w:tcPr>
            <w:tcW w:w="7820" w:type="dxa"/>
            <w:vAlign w:val="bottom"/>
          </w:tcPr>
          <w:p>
            <w:pPr>
              <w:ind w:left="260"/>
              <w:spacing w:after="0"/>
              <w:rPr>
                <w:sz w:val="20"/>
                <w:szCs w:val="20"/>
                <w:color w:val="auto"/>
              </w:rPr>
            </w:pPr>
            <w:r>
              <w:rPr>
                <w:rFonts w:ascii="Arial" w:cs="Arial" w:eastAsia="Arial" w:hAnsi="Arial"/>
                <w:sz w:val="16"/>
                <w:szCs w:val="16"/>
                <w:color w:val="auto"/>
              </w:rPr>
              <w:t>Proceeds from issuance of Series C redeemable convertible preferred stock</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tcPr>
          <w:p>
            <w:pPr>
              <w:spacing w:after="0"/>
              <w:rPr>
                <w:sz w:val="16"/>
                <w:szCs w:val="16"/>
                <w:color w:val="auto"/>
              </w:rPr>
            </w:pPr>
          </w:p>
        </w:tc>
      </w:tr>
      <w:tr>
        <w:trPr>
          <w:trHeight w:val="187"/>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Payment of issuance costs related to issuance of redeemable convertible preferred stock</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(389)</w:t>
            </w:r>
          </w:p>
        </w:tc>
      </w:tr>
      <w:tr>
        <w:trPr>
          <w:trHeight w:val="187"/>
        </w:trPr>
        <w:tc>
          <w:tcPr>
            <w:tcW w:w="7820" w:type="dxa"/>
            <w:vAlign w:val="bottom"/>
          </w:tcPr>
          <w:p>
            <w:pPr>
              <w:ind w:left="260"/>
              <w:spacing w:after="0"/>
              <w:rPr>
                <w:sz w:val="20"/>
                <w:szCs w:val="20"/>
                <w:color w:val="auto"/>
              </w:rPr>
            </w:pPr>
            <w:r>
              <w:rPr>
                <w:rFonts w:ascii="Arial" w:cs="Arial" w:eastAsia="Arial" w:hAnsi="Arial"/>
                <w:sz w:val="16"/>
                <w:szCs w:val="16"/>
                <w:color w:val="auto"/>
              </w:rPr>
              <w:t>Proceeds from issuance of convertible notes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5,602</w:t>
            </w:r>
          </w:p>
        </w:tc>
      </w:tr>
      <w:tr>
        <w:trPr>
          <w:trHeight w:val="187"/>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Payment of issuance costs related to convertible notes</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r>
      <w:tr>
        <w:trPr>
          <w:trHeight w:val="187"/>
        </w:trPr>
        <w:tc>
          <w:tcPr>
            <w:tcW w:w="7820" w:type="dxa"/>
            <w:vAlign w:val="bottom"/>
          </w:tcPr>
          <w:p>
            <w:pPr>
              <w:ind w:left="260"/>
              <w:spacing w:after="0"/>
              <w:rPr>
                <w:sz w:val="20"/>
                <w:szCs w:val="20"/>
                <w:color w:val="auto"/>
              </w:rPr>
            </w:pPr>
            <w:r>
              <w:rPr>
                <w:rFonts w:ascii="Arial" w:cs="Arial" w:eastAsia="Arial" w:hAnsi="Arial"/>
                <w:sz w:val="16"/>
                <w:szCs w:val="16"/>
                <w:color w:val="auto"/>
              </w:rPr>
              <w:t>Payment on capital lease obligations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(188)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(130)</w:t>
            </w:r>
          </w:p>
        </w:tc>
      </w:tr>
      <w:tr>
        <w:trPr>
          <w:trHeight w:val="27"/>
        </w:trPr>
        <w:tc>
          <w:tcPr>
            <w:tcW w:w="7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78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provided by financing activities</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85,290</w:t>
            </w:r>
          </w:p>
        </w:tc>
        <w:tc>
          <w:tcPr>
            <w:tcW w:w="100" w:type="dxa"/>
            <w:vAlign w:val="bottom"/>
            <w:shd w:val="clear" w:color="auto" w:fill="CCEEFF"/>
          </w:tcPr>
          <w:p>
            <w:pPr>
              <w:spacing w:after="0"/>
              <w:rPr>
                <w:sz w:val="16"/>
                <w:szCs w:val="16"/>
                <w:color w:val="auto"/>
              </w:rPr>
            </w:pPr>
          </w:p>
        </w:tc>
      </w:tr>
      <w:tr>
        <w:trPr>
          <w:trHeight w:val="20"/>
        </w:trPr>
        <w:tc>
          <w:tcPr>
            <w:tcW w:w="7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7820" w:type="dxa"/>
            <w:vAlign w:val="bottom"/>
          </w:tcPr>
          <w:p>
            <w:pPr>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(10,551)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50,439</w:t>
            </w:r>
          </w:p>
        </w:tc>
        <w:tc>
          <w:tcPr>
            <w:tcW w:w="100" w:type="dxa"/>
            <w:vAlign w:val="bottom"/>
          </w:tcPr>
          <w:p>
            <w:pPr>
              <w:spacing w:after="0"/>
              <w:rPr>
                <w:sz w:val="16"/>
                <w:szCs w:val="16"/>
                <w:color w:val="auto"/>
              </w:rPr>
            </w:pPr>
          </w:p>
        </w:tc>
      </w:tr>
      <w:tr>
        <w:trPr>
          <w:trHeight w:val="187"/>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beginning of year</w:t>
            </w:r>
          </w:p>
        </w:tc>
        <w:tc>
          <w:tcPr>
            <w:tcW w:w="5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14,109</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3,558</w:t>
            </w:r>
          </w:p>
        </w:tc>
        <w:tc>
          <w:tcPr>
            <w:tcW w:w="100" w:type="dxa"/>
            <w:vAlign w:val="bottom"/>
            <w:shd w:val="clear" w:color="auto" w:fill="CCEEFF"/>
          </w:tcPr>
          <w:p>
            <w:pPr>
              <w:spacing w:after="0"/>
              <w:rPr>
                <w:sz w:val="16"/>
                <w:szCs w:val="16"/>
                <w:color w:val="auto"/>
              </w:rPr>
            </w:pPr>
          </w:p>
        </w:tc>
      </w:tr>
      <w:tr>
        <w:trPr>
          <w:trHeight w:val="194"/>
        </w:trPr>
        <w:tc>
          <w:tcPr>
            <w:tcW w:w="7820" w:type="dxa"/>
            <w:vAlign w:val="bottom"/>
          </w:tcPr>
          <w:p>
            <w:pPr>
              <w:spacing w:after="0"/>
              <w:rPr>
                <w:sz w:val="20"/>
                <w:szCs w:val="20"/>
                <w:color w:val="auto"/>
              </w:rPr>
            </w:pPr>
            <w:r>
              <w:rPr>
                <w:rFonts w:ascii="Arial" w:cs="Arial" w:eastAsia="Arial" w:hAnsi="Arial"/>
                <w:sz w:val="16"/>
                <w:szCs w:val="16"/>
                <w:color w:val="auto"/>
              </w:rPr>
              <w:t>Cash, cash equivalents and restricted cash, end of year</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3,558</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53,997</w:t>
            </w:r>
          </w:p>
        </w:tc>
        <w:tc>
          <w:tcPr>
            <w:tcW w:w="100" w:type="dxa"/>
            <w:vAlign w:val="bottom"/>
          </w:tcPr>
          <w:p>
            <w:pPr>
              <w:spacing w:after="0"/>
              <w:rPr>
                <w:sz w:val="16"/>
                <w:szCs w:val="16"/>
                <w:color w:val="auto"/>
              </w:rPr>
            </w:pPr>
          </w:p>
        </w:tc>
      </w:tr>
      <w:tr>
        <w:trPr>
          <w:trHeight w:val="20"/>
        </w:trPr>
        <w:tc>
          <w:tcPr>
            <w:tcW w:w="7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78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Reconciliation of cash and cash equivalents and restricted cash to the balance sheets</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7"/>
        </w:trPr>
        <w:tc>
          <w:tcPr>
            <w:tcW w:w="78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3,195</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53,654</w:t>
            </w:r>
          </w:p>
        </w:tc>
        <w:tc>
          <w:tcPr>
            <w:tcW w:w="100" w:type="dxa"/>
            <w:vAlign w:val="bottom"/>
          </w:tcPr>
          <w:p>
            <w:pPr>
              <w:spacing w:after="0"/>
              <w:rPr>
                <w:sz w:val="16"/>
                <w:szCs w:val="16"/>
                <w:color w:val="auto"/>
              </w:rPr>
            </w:pPr>
          </w:p>
        </w:tc>
      </w:tr>
      <w:tr>
        <w:trPr>
          <w:trHeight w:val="187"/>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5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6"/>
                <w:szCs w:val="16"/>
                <w:color w:val="auto"/>
              </w:rPr>
            </w:pPr>
          </w:p>
        </w:tc>
      </w:tr>
      <w:tr>
        <w:trPr>
          <w:trHeight w:val="194"/>
        </w:trPr>
        <w:tc>
          <w:tcPr>
            <w:tcW w:w="7820" w:type="dxa"/>
            <w:vAlign w:val="bottom"/>
          </w:tcPr>
          <w:p>
            <w:pPr>
              <w:spacing w:after="0"/>
              <w:rPr>
                <w:sz w:val="20"/>
                <w:szCs w:val="20"/>
                <w:color w:val="auto"/>
              </w:rPr>
            </w:pPr>
            <w:r>
              <w:rPr>
                <w:rFonts w:ascii="Arial" w:cs="Arial" w:eastAsia="Arial" w:hAnsi="Arial"/>
                <w:sz w:val="16"/>
                <w:szCs w:val="16"/>
                <w:color w:val="auto"/>
              </w:rPr>
              <w:t>Total cash and cash equivalents and restricted cash</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3,558</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53,997</w:t>
            </w:r>
          </w:p>
        </w:tc>
        <w:tc>
          <w:tcPr>
            <w:tcW w:w="100" w:type="dxa"/>
            <w:vAlign w:val="bottom"/>
          </w:tcPr>
          <w:p>
            <w:pPr>
              <w:spacing w:after="0"/>
              <w:rPr>
                <w:sz w:val="16"/>
                <w:szCs w:val="16"/>
                <w:color w:val="auto"/>
              </w:rPr>
            </w:pPr>
          </w:p>
        </w:tc>
      </w:tr>
      <w:tr>
        <w:trPr>
          <w:trHeight w:val="20"/>
        </w:trPr>
        <w:tc>
          <w:tcPr>
            <w:tcW w:w="7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78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7"/>
        </w:trPr>
        <w:tc>
          <w:tcPr>
            <w:tcW w:w="7820" w:type="dxa"/>
            <w:vAlign w:val="bottom"/>
          </w:tcPr>
          <w:p>
            <w:pPr>
              <w:spacing w:after="0"/>
              <w:rPr>
                <w:sz w:val="20"/>
                <w:szCs w:val="20"/>
                <w:color w:val="auto"/>
              </w:rPr>
            </w:pPr>
            <w:r>
              <w:rPr>
                <w:rFonts w:ascii="Arial" w:cs="Arial" w:eastAsia="Arial" w:hAnsi="Arial"/>
                <w:sz w:val="16"/>
                <w:szCs w:val="16"/>
                <w:color w:val="auto"/>
              </w:rPr>
              <w:t>Cash paid for interest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51</w:t>
            </w:r>
          </w:p>
        </w:tc>
        <w:tc>
          <w:tcPr>
            <w:tcW w:w="28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32</w:t>
            </w:r>
          </w:p>
        </w:tc>
      </w:tr>
      <w:tr>
        <w:trPr>
          <w:trHeight w:val="187"/>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 through capital leases</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7"/>
        </w:trPr>
        <w:tc>
          <w:tcPr>
            <w:tcW w:w="7820" w:type="dxa"/>
            <w:vAlign w:val="bottom"/>
          </w:tcPr>
          <w:p>
            <w:pPr>
              <w:spacing w:after="0"/>
              <w:rPr>
                <w:sz w:val="20"/>
                <w:szCs w:val="20"/>
                <w:color w:val="auto"/>
              </w:rPr>
            </w:pPr>
            <w:r>
              <w:rPr>
                <w:rFonts w:ascii="Arial" w:cs="Arial" w:eastAsia="Arial" w:hAnsi="Arial"/>
                <w:sz w:val="16"/>
                <w:szCs w:val="16"/>
                <w:color w:val="auto"/>
              </w:rPr>
              <w:t>Issuance of Series C redeemable convertible preferred stock for license</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13,121</w:t>
            </w:r>
          </w:p>
        </w:tc>
        <w:tc>
          <w:tcPr>
            <w:tcW w:w="100" w:type="dxa"/>
            <w:vAlign w:val="bottom"/>
          </w:tcPr>
          <w:p>
            <w:pPr>
              <w:spacing w:after="0"/>
              <w:rPr>
                <w:sz w:val="16"/>
                <w:szCs w:val="16"/>
                <w:color w:val="auto"/>
              </w:rPr>
            </w:pPr>
          </w:p>
        </w:tc>
      </w:tr>
      <w:tr>
        <w:trPr>
          <w:trHeight w:val="187"/>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Issuance of Series C redeemable convertible preferred stock upon extinguishment of convertible notes</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5,736</w:t>
            </w:r>
          </w:p>
        </w:tc>
      </w:tr>
      <w:tr>
        <w:trPr>
          <w:trHeight w:val="195"/>
        </w:trPr>
        <w:tc>
          <w:tcPr>
            <w:tcW w:w="7820" w:type="dxa"/>
            <w:vAlign w:val="bottom"/>
          </w:tcPr>
          <w:p>
            <w:pPr>
              <w:spacing w:after="0"/>
              <w:rPr>
                <w:sz w:val="20"/>
                <w:szCs w:val="20"/>
                <w:color w:val="auto"/>
              </w:rPr>
            </w:pPr>
            <w:r>
              <w:rPr>
                <w:rFonts w:ascii="Arial" w:cs="Arial" w:eastAsia="Arial" w:hAnsi="Arial"/>
                <w:sz w:val="16"/>
                <w:szCs w:val="16"/>
                <w:color w:val="auto"/>
              </w:rPr>
              <w:t>Receivables on exercise of stock options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130810</wp:posOffset>
            </wp:positionV>
            <wp:extent cx="69297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080"/>
          </w:cols>
          <w:pgMar w:left="320" w:top="456"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jc w:val="center"/>
        <w:ind w:right="-17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186" w:lineRule="exact"/>
        <w:rPr>
          <w:sz w:val="20"/>
          <w:szCs w:val="20"/>
          <w:color w:val="auto"/>
        </w:rPr>
      </w:pPr>
    </w:p>
    <w:p>
      <w:pPr>
        <w:ind w:left="160" w:right="6860" w:firstLine="7"/>
        <w:spacing w:after="0" w:line="319" w:lineRule="auto"/>
        <w:tabs>
          <w:tab w:leader="none" w:pos="358"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Description of the Business </w:t>
      </w:r>
      <w:r>
        <w:rPr>
          <w:rFonts w:ascii="Arial" w:cs="Arial" w:eastAsia="Arial" w:hAnsi="Arial"/>
          <w:sz w:val="16"/>
          <w:szCs w:val="16"/>
          <w:b w:val="1"/>
          <w:bCs w:val="1"/>
          <w:i w:val="1"/>
          <w:iCs w:val="1"/>
          <w:color w:val="auto"/>
        </w:rPr>
        <w:t>Description of business</w:t>
      </w:r>
    </w:p>
    <w:p>
      <w:pPr>
        <w:spacing w:after="0" w:line="1" w:lineRule="exact"/>
        <w:rPr>
          <w:sz w:val="20"/>
          <w:szCs w:val="20"/>
          <w:color w:val="auto"/>
        </w:rPr>
      </w:pPr>
    </w:p>
    <w:p>
      <w:pPr>
        <w:ind w:left="160" w:right="200" w:firstLine="436"/>
        <w:spacing w:after="0" w:line="234" w:lineRule="auto"/>
        <w:rPr>
          <w:sz w:val="20"/>
          <w:szCs w:val="20"/>
          <w:color w:val="auto"/>
        </w:rPr>
      </w:pPr>
      <w:r>
        <w:rPr>
          <w:rFonts w:ascii="Arial" w:cs="Arial" w:eastAsia="Arial" w:hAnsi="Arial"/>
          <w:sz w:val="17"/>
          <w:szCs w:val="17"/>
          <w:color w:val="auto"/>
        </w:rPr>
        <w:t>Vera Therapeutics, Inc., (the “Company”) is a clinical stage biotechnology company focused on developing and commercializing transformative treatments for patients with serious immunological diseases. The Company is headquartered in South San Francisco, California and was incorporated in May 2016 in Delaware. In 2017, the Company acquired all of the outstanding shares of PNA Innovations, Inc. (“PNAi”), which was based in Woburn, Massachusetts.</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Liquidity</w:t>
      </w:r>
    </w:p>
    <w:p>
      <w:pPr>
        <w:spacing w:after="0" w:line="52" w:lineRule="exact"/>
        <w:rPr>
          <w:sz w:val="20"/>
          <w:szCs w:val="20"/>
          <w:color w:val="auto"/>
        </w:rPr>
      </w:pPr>
    </w:p>
    <w:p>
      <w:pPr>
        <w:ind w:left="160" w:right="140"/>
        <w:spacing w:after="0" w:line="234"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w:t>
      </w:r>
    </w:p>
    <w:p>
      <w:pPr>
        <w:spacing w:after="0" w:line="147" w:lineRule="exact"/>
        <w:rPr>
          <w:sz w:val="20"/>
          <w:szCs w:val="20"/>
          <w:color w:val="auto"/>
        </w:rPr>
      </w:pPr>
    </w:p>
    <w:p>
      <w:pPr>
        <w:ind w:left="160" w:right="260"/>
        <w:spacing w:after="0" w:line="234" w:lineRule="auto"/>
        <w:rPr>
          <w:sz w:val="20"/>
          <w:szCs w:val="20"/>
          <w:color w:val="auto"/>
        </w:rPr>
      </w:pPr>
      <w:r>
        <w:rPr>
          <w:rFonts w:ascii="Arial" w:cs="Arial" w:eastAsia="Arial" w:hAnsi="Arial"/>
          <w:sz w:val="17"/>
          <w:szCs w:val="17"/>
          <w:color w:val="auto"/>
        </w:rPr>
        <w:t>The Company has incurred recurring net operating losses since its inception and had an accumulated deficit of $91,447 as of December 31, 2020. The Company had cash and cash equivalents of $53,654 as of December 31, 2020 and has not generated positive cash flow from operations. To date, the Company has been able to fund its operation primarily through the issuance of redeemable convertible preferred stock and convertible notes.</w:t>
      </w:r>
    </w:p>
    <w:p>
      <w:pPr>
        <w:spacing w:after="0" w:line="147"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The Company expects to continue to generate operating losses for the foreseeable future. There can be no assurance that the Company will ever earn revenues or achieve profitability or, if achieved, that they will be sustained on a continuing basis. If the Company is unable to obtain funding, the Company will be forced to delay or reduce some or all of its product development programs, which could adversely affect its business prospects, or the Company may be unable to continue operations. Although the Company continues to pursue these plans, there is no assurance that the Company will be successful in obtaining sufficient future funding on terms acceptable to the Company to fund continuing operations, if at all.</w:t>
      </w:r>
    </w:p>
    <w:p>
      <w:pPr>
        <w:spacing w:after="0" w:line="145" w:lineRule="exact"/>
        <w:rPr>
          <w:sz w:val="20"/>
          <w:szCs w:val="20"/>
          <w:color w:val="auto"/>
        </w:rPr>
      </w:pPr>
    </w:p>
    <w:p>
      <w:pPr>
        <w:ind w:left="160" w:right="80"/>
        <w:spacing w:after="0" w:line="234" w:lineRule="auto"/>
        <w:rPr>
          <w:sz w:val="20"/>
          <w:szCs w:val="20"/>
          <w:color w:val="auto"/>
        </w:rPr>
      </w:pPr>
      <w:r>
        <w:rPr>
          <w:rFonts w:ascii="Arial" w:cs="Arial" w:eastAsia="Arial" w:hAnsi="Arial"/>
          <w:sz w:val="17"/>
          <w:szCs w:val="17"/>
          <w:color w:val="auto"/>
        </w:rPr>
        <w:t>The Company believes that it has sufficient resources to fund its operating expenses and capital expenditure requirements for at least 12 months from the issuance date of these financial statements. While the Company believes that its current cash and cash equivalents are adequate to meet its needs for the next 12 months, the Company may need to raise additional equity or borrow funds in order to achieve its longer-term business objectives.</w:t>
      </w:r>
    </w:p>
    <w:p>
      <w:pPr>
        <w:spacing w:after="0" w:line="184" w:lineRule="exact"/>
        <w:rPr>
          <w:sz w:val="20"/>
          <w:szCs w:val="20"/>
          <w:color w:val="auto"/>
        </w:rPr>
      </w:pPr>
    </w:p>
    <w:p>
      <w:pPr>
        <w:ind w:left="160" w:right="5820" w:firstLine="7"/>
        <w:spacing w:after="0" w:line="296" w:lineRule="auto"/>
        <w:tabs>
          <w:tab w:leader="none" w:pos="358"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6"/>
          <w:szCs w:val="16"/>
          <w:b w:val="1"/>
          <w:bCs w:val="1"/>
          <w:i w:val="1"/>
          <w:iCs w:val="1"/>
          <w:color w:val="auto"/>
        </w:rPr>
        <w:t>Basis of Presentation</w:t>
      </w:r>
    </w:p>
    <w:p>
      <w:pPr>
        <w:spacing w:after="0" w:line="1" w:lineRule="exact"/>
        <w:rPr>
          <w:sz w:val="20"/>
          <w:szCs w:val="20"/>
          <w:color w:val="auto"/>
        </w:rPr>
      </w:pPr>
    </w:p>
    <w:p>
      <w:pPr>
        <w:ind w:left="160" w:right="220"/>
        <w:spacing w:after="0" w:line="239" w:lineRule="auto"/>
        <w:rPr>
          <w:sz w:val="20"/>
          <w:szCs w:val="20"/>
          <w:color w:val="auto"/>
        </w:rPr>
      </w:pPr>
      <w:r>
        <w:rPr>
          <w:rFonts w:ascii="Arial" w:cs="Arial" w:eastAsia="Arial" w:hAnsi="Arial"/>
          <w:sz w:val="17"/>
          <w:szCs w:val="17"/>
          <w:color w:val="auto"/>
        </w:rPr>
        <w:t>The accompanying financial statements have been prepared in conformity with accounting principles generally accepted in the United States of America (“GAAP”). The U.S. dollar is the Company’s functional and reporting currency.</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Reclassification</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Certain reclassification of prior period amounts related to restructuring activities has been made to conform to the current year presentation.</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52" w:lineRule="exact"/>
        <w:rPr>
          <w:sz w:val="20"/>
          <w:szCs w:val="20"/>
          <w:color w:val="auto"/>
        </w:rPr>
      </w:pPr>
    </w:p>
    <w:p>
      <w:pPr>
        <w:ind w:left="160"/>
        <w:spacing w:after="0" w:line="244"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certain new or revised accounting standards that have different effective dates for public and private companies until the earlier of the date that it</w:t>
      </w:r>
    </w:p>
    <w:p>
      <w:pPr>
        <w:spacing w:after="0" w:line="1" w:lineRule="exact"/>
        <w:rPr>
          <w:sz w:val="20"/>
          <w:szCs w:val="20"/>
          <w:color w:val="auto"/>
        </w:rPr>
      </w:pPr>
    </w:p>
    <w:p>
      <w:pPr>
        <w:ind w:left="160" w:right="160" w:firstLine="7"/>
        <w:spacing w:after="0" w:line="236" w:lineRule="auto"/>
        <w:tabs>
          <w:tab w:leader="none" w:pos="41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is no longer an emerging growth company or (2)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080"/>
          </w:cols>
          <w:pgMar w:left="320" w:top="456"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jc w:val="center"/>
        <w:ind w:right="-17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52" w:lineRule="exact"/>
        <w:rPr>
          <w:sz w:val="20"/>
          <w:szCs w:val="20"/>
          <w:color w:val="auto"/>
        </w:rPr>
      </w:pPr>
    </w:p>
    <w:p>
      <w:pPr>
        <w:ind w:left="160" w:right="120"/>
        <w:spacing w:after="0" w:line="249" w:lineRule="auto"/>
        <w:rPr>
          <w:sz w:val="20"/>
          <w:szCs w:val="20"/>
          <w:color w:val="auto"/>
        </w:rPr>
      </w:pPr>
      <w:r>
        <w:rPr>
          <w:rFonts w:ascii="Arial" w:cs="Arial" w:eastAsia="Arial" w:hAnsi="Arial"/>
          <w:sz w:val="16"/>
          <w:szCs w:val="16"/>
          <w:color w:val="auto"/>
        </w:rPr>
        <w:t>The preparation of the Company’s financial statements requires management to make estimates and assumptions that affect the reported amounts of assets and liabilities and disclosure of contingent assets and liabilities at the date of the financial statements and the reported amounts of expenses during the reporting period. Management estimates that affect the reported amounts of assets and liabilities include useful lives of fixed and intangible assets, the accrual of research and development expenses, restructuring liabilities, fair value of common stock and stock-based compensation expense, and the valuation allowance for deferred tax assets. The Company evaluates and adjusts its estimates and assumptions on an ongoing basis using historical experience and other factors. Actual results could differ materially from those estimates.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52" w:lineRule="exact"/>
        <w:rPr>
          <w:sz w:val="20"/>
          <w:szCs w:val="20"/>
          <w:color w:val="auto"/>
        </w:rPr>
      </w:pPr>
    </w:p>
    <w:p>
      <w:pPr>
        <w:ind w:left="160" w:right="160"/>
        <w:spacing w:after="0" w:line="236" w:lineRule="auto"/>
        <w:rPr>
          <w:sz w:val="20"/>
          <w:szCs w:val="20"/>
          <w:color w:val="auto"/>
        </w:rPr>
      </w:pPr>
      <w:r>
        <w:rPr>
          <w:rFonts w:ascii="Arial" w:cs="Arial" w:eastAsia="Arial" w:hAnsi="Arial"/>
          <w:sz w:val="17"/>
          <w:szCs w:val="17"/>
          <w:color w:val="auto"/>
        </w:rPr>
        <w:t>The Company operates as a single operating segment. The Company’s chief operating decisionmaker, its Chief Executive Officer, manages the Company’s entire operations as a whole for the purposes of allocating resources, making operating decisions and evaluating financial performance.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52"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and cash equivalents. The Company maintains bank deposits in a federally insured financial institution and these deposits may exceed federally insured limits. The Company is exposed to credit risk in the event of default by the financial institution holding its cash and cash equivalents to the extent recorded in the balance sheet. The Company has not experienced any losses on its deposits of cash and cash equivalents.</w:t>
      </w:r>
    </w:p>
    <w:p>
      <w:pPr>
        <w:spacing w:after="0" w:line="147"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48" w:lineRule="exact"/>
        <w:rPr>
          <w:sz w:val="20"/>
          <w:szCs w:val="20"/>
          <w:color w:val="auto"/>
        </w:rPr>
      </w:pPr>
    </w:p>
    <w:p>
      <w:pPr>
        <w:ind w:left="160" w:right="180"/>
        <w:spacing w:after="0" w:line="234" w:lineRule="auto"/>
        <w:rPr>
          <w:sz w:val="20"/>
          <w:szCs w:val="20"/>
          <w:color w:val="auto"/>
        </w:rPr>
      </w:pPr>
      <w:r>
        <w:rPr>
          <w:rFonts w:ascii="Arial" w:cs="Arial" w:eastAsia="Arial" w:hAnsi="Arial"/>
          <w:sz w:val="17"/>
          <w:szCs w:val="17"/>
          <w:color w:val="auto"/>
        </w:rPr>
        <w:t>The Company’s product candidates require approvals from the U.S. Food and Drug Administration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Impact of the COVID-19 Coronavirus</w:t>
      </w:r>
    </w:p>
    <w:p>
      <w:pPr>
        <w:spacing w:after="0" w:line="52" w:lineRule="exact"/>
        <w:rPr>
          <w:sz w:val="20"/>
          <w:szCs w:val="20"/>
          <w:color w:val="auto"/>
        </w:rPr>
      </w:pPr>
    </w:p>
    <w:p>
      <w:pPr>
        <w:ind w:left="160"/>
        <w:spacing w:after="0" w:line="231" w:lineRule="auto"/>
        <w:rPr>
          <w:sz w:val="20"/>
          <w:szCs w:val="20"/>
          <w:color w:val="auto"/>
        </w:rPr>
      </w:pPr>
      <w:r>
        <w:rPr>
          <w:rFonts w:ascii="Arial" w:cs="Arial" w:eastAsia="Arial" w:hAnsi="Arial"/>
          <w:sz w:val="17"/>
          <w:szCs w:val="17"/>
          <w:color w:val="auto"/>
        </w:rPr>
        <w:t>The COVID-19 pandemic continues to rapidly evolve. The extent of the impact of the COVID-19 pandemic on the Company’s business, operations and development timelines and plans remains uncertain, and will depend on certain developments, including the duration and spread of the outbreak and its impact on the Company’s development activities, planned clinical trial enrollment, future trial sites, contract research organizations, third-party manufacturers, and other third parties with whom the Company does business, as well as its impact on regulatory authorities and the Company’s key scientific and management personnel. The ultimate impact of the COVID-19 pandemic or a similar health epidemic is highly uncertain and subject to change. To the extent possible, the Company is conducting business as usual, with necessary or advisable modifications to employee travel and with the Company’s employees working remotely. The Company will continue to actively monitor the rapidly evolving situation related to the COVID-19 pandemic and may take further actions that alter the Company’s operations, including those that may be required by federal, state or local authorities, or that the Company determines are in the best interests of its employees and other third parties with whom the Company does business. At this point, the extent to which the COVID-19 pandemic may affect the Company’s business, operations and development timelines and plans, including the resulting impact on expenditures and capital needs, remains uncertain.</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060"/>
          </w:cols>
          <w:pgMar w:left="320" w:top="456" w:right="5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jc w:val="center"/>
        <w:ind w:right="-17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Company considers all highly liquid investments with an original maturity of three months or less when purchased to be cash equivalents.</w:t>
      </w:r>
    </w:p>
    <w:p>
      <w:pPr>
        <w:ind w:left="160"/>
        <w:spacing w:after="0"/>
        <w:rPr>
          <w:sz w:val="20"/>
          <w:szCs w:val="20"/>
          <w:color w:val="auto"/>
        </w:rPr>
      </w:pPr>
      <w:r>
        <w:rPr>
          <w:rFonts w:ascii="Arial" w:cs="Arial" w:eastAsia="Arial" w:hAnsi="Arial"/>
          <w:sz w:val="17"/>
          <w:szCs w:val="17"/>
          <w:color w:val="auto"/>
        </w:rPr>
        <w:t>Cash equivalents consist of money market funds and are stated at fair value.</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Restricted Cash</w:t>
      </w:r>
    </w:p>
    <w:p>
      <w:pPr>
        <w:spacing w:after="0" w:line="52" w:lineRule="exact"/>
        <w:rPr>
          <w:sz w:val="20"/>
          <w:szCs w:val="20"/>
          <w:color w:val="auto"/>
        </w:rPr>
      </w:pPr>
    </w:p>
    <w:p>
      <w:pPr>
        <w:ind w:left="160" w:right="780"/>
        <w:spacing w:after="0" w:line="269" w:lineRule="auto"/>
        <w:rPr>
          <w:sz w:val="20"/>
          <w:szCs w:val="20"/>
          <w:color w:val="auto"/>
        </w:rPr>
      </w:pPr>
      <w:r>
        <w:rPr>
          <w:rFonts w:ascii="Arial" w:cs="Arial" w:eastAsia="Arial" w:hAnsi="Arial"/>
          <w:sz w:val="16"/>
          <w:szCs w:val="16"/>
          <w:color w:val="auto"/>
        </w:rPr>
        <w:t>Restricted cash represents cash held by a financial institution as collateral for a letter of credit securing its operating lease for office and laboratory space and as collateral for a credit card, which are classified within current and non-current assets on the balance sheets.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52" w:lineRule="exact"/>
        <w:rPr>
          <w:sz w:val="20"/>
          <w:szCs w:val="20"/>
          <w:color w:val="auto"/>
        </w:rPr>
      </w:pPr>
    </w:p>
    <w:p>
      <w:pPr>
        <w:ind w:left="160" w:right="180"/>
        <w:spacing w:after="0" w:line="236" w:lineRule="auto"/>
        <w:rPr>
          <w:sz w:val="20"/>
          <w:szCs w:val="20"/>
          <w:color w:val="auto"/>
        </w:rPr>
      </w:pPr>
      <w:r>
        <w:rPr>
          <w:rFonts w:ascii="Arial" w:cs="Arial" w:eastAsia="Arial" w:hAnsi="Arial"/>
          <w:sz w:val="17"/>
          <w:szCs w:val="17"/>
          <w:color w:val="auto"/>
        </w:rPr>
        <w:t>Comprehensive loss consists of net loss and other gains and losses affecting redeemable convertible preferred stock and stockholders’ deficit that, under U.S. GAAP, are excluded from net loss. The Company has no items of other comprehensive loss for the years ended December 31, 2019 and 2020. As such, net loss equals comprehensive loss.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52"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Property and equipment are recorded at cost, less accumulated depreciation. Depreciation expense is recognized using the straight-line method over the useful life of the asset category, for which each category the useful life is estimated at five years. Leasehold improvements are capitalized and amortized over the shorter of the lease term or the estimated useful life of the related asset. Expenditures for repairs and maintenance of assets are charged to expense as incurred, whereas major improvements are capitalized as additions to property and equipment. Amortization of assets under capital leases is included in depreciation expense. Upon retirement or sale, the cost and related accumulated depreciation of assets disposed of are removed from the accounts and any resulting gain or loss is reflected in the statement of operations and comprehensive loss.</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52"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The Company reviews its long-lived assets, including property and equipment and intangible assets, for impairment whenever events or changes in circumstances indicate that the carrying amount of an asset may not be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During the years ended December 31, 2019 and 2020, the Company recorded asset impairments totaling $10 and $1,185, respectively, on certain intangible assets and certain laboratory and office equipment (see Note 3).</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52"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Research and development costs are expensed as incurred and consist primarily of employees’ salaries and related benefits, including stock-based compensation and termination expenses for employees engaged in research and development efforts, allocated overhead including rent, depreciation, information technology and utilities, contracted services, license fees, and external expenses to conduct and support the Company’s operations that are directly attributable to the Company’s research and development efforts. Payments made to third parties under these arrangements in advance of the performance of the related services by the third parties are recorded as prepaid expenses until the services are rendered.</w:t>
      </w:r>
    </w:p>
    <w:p>
      <w:pPr>
        <w:spacing w:after="0" w:line="145" w:lineRule="exact"/>
        <w:rPr>
          <w:sz w:val="20"/>
          <w:szCs w:val="20"/>
          <w:color w:val="auto"/>
        </w:rPr>
      </w:pPr>
    </w:p>
    <w:p>
      <w:pPr>
        <w:jc w:val="both"/>
        <w:ind w:left="160" w:right="240"/>
        <w:spacing w:after="0" w:line="236" w:lineRule="auto"/>
        <w:rPr>
          <w:sz w:val="20"/>
          <w:szCs w:val="20"/>
          <w:color w:val="auto"/>
        </w:rPr>
      </w:pPr>
      <w:r>
        <w:rPr>
          <w:rFonts w:ascii="Arial" w:cs="Arial" w:eastAsia="Arial" w:hAnsi="Arial"/>
          <w:sz w:val="17"/>
          <w:szCs w:val="17"/>
          <w:color w:val="auto"/>
        </w:rPr>
        <w:t>Costs incurred in obtaining technology licenses including upfront and milestone payments incurred under the Company’s licensing agreements are recorded as expense in the period in which they are incurred, provided that the licensed technology, method or process has no alternative future uses other than for the Company’s research and development activities.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Research Contract Costs and Accruals</w:t>
      </w:r>
    </w:p>
    <w:p>
      <w:pPr>
        <w:spacing w:after="0" w:line="52" w:lineRule="exact"/>
        <w:rPr>
          <w:sz w:val="20"/>
          <w:szCs w:val="20"/>
          <w:color w:val="auto"/>
        </w:rPr>
      </w:pPr>
    </w:p>
    <w:p>
      <w:pPr>
        <w:ind w:left="160" w:right="20"/>
        <w:spacing w:after="0" w:line="234" w:lineRule="auto"/>
        <w:rPr>
          <w:sz w:val="20"/>
          <w:szCs w:val="20"/>
          <w:color w:val="auto"/>
        </w:rPr>
      </w:pPr>
      <w:r>
        <w:rPr>
          <w:rFonts w:ascii="Arial" w:cs="Arial" w:eastAsia="Arial" w:hAnsi="Arial"/>
          <w:sz w:val="17"/>
          <w:szCs w:val="17"/>
          <w:color w:val="auto"/>
        </w:rPr>
        <w:t>The Company enters into various research and development and other agreements with commercial firms, researchers, and others for provisions of goods and services from time to time. These agreements are generally cancellable, and the related costs are recorded as research and development expenses as incurred. The Company records accruals for estimated ongoing research and development costs. When evaluating the adequacy of the</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060"/>
          </w:cols>
          <w:pgMar w:left="320" w:top="456" w:right="5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jc w:val="center"/>
        <w:ind w:right="-17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p>
      <w:pPr>
        <w:ind w:left="160" w:right="120"/>
        <w:spacing w:after="0" w:line="236" w:lineRule="auto"/>
        <w:rPr>
          <w:sz w:val="20"/>
          <w:szCs w:val="20"/>
          <w:color w:val="auto"/>
        </w:rPr>
      </w:pPr>
      <w:r>
        <w:rPr>
          <w:rFonts w:ascii="Arial" w:cs="Arial" w:eastAsia="Arial" w:hAnsi="Arial"/>
          <w:sz w:val="17"/>
          <w:szCs w:val="17"/>
          <w:color w:val="auto"/>
        </w:rPr>
        <w:t>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materially from the Company’s estimates.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Redeemable Convertible Preferred Stock</w:t>
      </w:r>
    </w:p>
    <w:p>
      <w:pPr>
        <w:spacing w:after="0" w:line="39"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The Company records all shares of redeemable convertible preferred stock at their respective fair values on the dates of issuance, net of issuance costs. The carrying value of the Company’s redeemable convertible preferred stock is adjusted to reflect dividends if and when declared by the Company’s board of directors. No dividends have been declared by the board of directors since inception. The Company classifies its redeemable convertible preferred stock separate from total stockholders’ deficit, as the redemption of such stock is not solely under the control of the Company.</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39" w:lineRule="exact"/>
        <w:rPr>
          <w:sz w:val="20"/>
          <w:szCs w:val="20"/>
          <w:color w:val="auto"/>
        </w:rPr>
      </w:pPr>
    </w:p>
    <w:p>
      <w:pPr>
        <w:ind w:left="160" w:right="200"/>
        <w:spacing w:after="0" w:line="233" w:lineRule="auto"/>
        <w:rPr>
          <w:sz w:val="20"/>
          <w:szCs w:val="20"/>
          <w:color w:val="auto"/>
        </w:rPr>
      </w:pPr>
      <w:r>
        <w:rPr>
          <w:rFonts w:ascii="Arial" w:cs="Arial" w:eastAsia="Arial" w:hAnsi="Arial"/>
          <w:sz w:val="17"/>
          <w:szCs w:val="17"/>
          <w:color w:val="auto"/>
        </w:rPr>
        <w:t>The Company recognizes compensation expense based on estimated fair values for all stock-based payment awards made to the Company’s employees, nonemployee directors and consultants that are expected to vest. The valuation of stock option awards is determined at the date of grant using the Black-Scholes option pricing model. The Black-Scholes option pricing model requires the Company to make assumptions and judgements about the inputs used in the calculations, such as the fair value of the common stock, expected term, expected volatility of the Company’s common stock, risk-free interest rate and expected dividend yield. The valuation of restricted stock awards is measured by the fair value of the Company’s common stock on the date of the grant.</w:t>
      </w:r>
    </w:p>
    <w:p>
      <w:pPr>
        <w:spacing w:after="0" w:line="145"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For all stock options granted, the Company calculated the expected term using the simplified method (derived from the average midpoint between the weighted average vesting period and the contractual term of the award) for “plain vanilla” stock option awards, as the Company has limited historical information to develop expectations about future exercise patterns and post vesting employment termination behavior. The estimate of expected volatility is based on comparative companies’ volatility. The risk-free rate is based on the yield available on United States Treasury zero-coupon issues corresponding to the expected term of the award. The Company records forfeitures when they occur.</w:t>
      </w:r>
    </w:p>
    <w:p>
      <w:pPr>
        <w:spacing w:after="0" w:line="148" w:lineRule="exact"/>
        <w:rPr>
          <w:sz w:val="20"/>
          <w:szCs w:val="20"/>
          <w:color w:val="auto"/>
        </w:rPr>
      </w:pPr>
    </w:p>
    <w:p>
      <w:pPr>
        <w:ind w:left="160" w:right="280"/>
        <w:spacing w:after="0" w:line="233" w:lineRule="auto"/>
        <w:rPr>
          <w:sz w:val="20"/>
          <w:szCs w:val="20"/>
          <w:color w:val="auto"/>
        </w:rPr>
      </w:pPr>
      <w:r>
        <w:rPr>
          <w:rFonts w:ascii="Arial" w:cs="Arial" w:eastAsia="Arial" w:hAnsi="Arial"/>
          <w:sz w:val="17"/>
          <w:szCs w:val="17"/>
          <w:color w:val="auto"/>
        </w:rPr>
        <w:t>The fair value of the shares of common stock underlying the stock options has historically been determined by the board of directors with the assistance of management and input from an independent third-party valuation firm, as there was no public market for the common stock. The board of directors determines the fair value of the Company’s common stock by considering a number of objective and subjective factors, including the valuation of comparable companies, sales of redeemable convertible preferred stock, the Company’s operating and financial performance, the lack of liquidity of common stock, and general and industry specific economic outlook, amongst other factors.</w:t>
      </w:r>
    </w:p>
    <w:p>
      <w:pPr>
        <w:spacing w:after="0" w:line="148" w:lineRule="exact"/>
        <w:rPr>
          <w:sz w:val="20"/>
          <w:szCs w:val="20"/>
          <w:color w:val="auto"/>
        </w:rPr>
      </w:pPr>
    </w:p>
    <w:p>
      <w:pPr>
        <w:ind w:left="160" w:right="20"/>
        <w:spacing w:after="0" w:line="236" w:lineRule="auto"/>
        <w:rPr>
          <w:sz w:val="20"/>
          <w:szCs w:val="20"/>
          <w:color w:val="auto"/>
        </w:rPr>
      </w:pPr>
      <w:r>
        <w:rPr>
          <w:rFonts w:ascii="Arial" w:cs="Arial" w:eastAsia="Arial" w:hAnsi="Arial"/>
          <w:sz w:val="17"/>
          <w:szCs w:val="17"/>
          <w:color w:val="auto"/>
        </w:rPr>
        <w:t>The Company records compensation expense for service-based awards on a straight-line basis over the requisite service period, which is generally the vesting period of the award. The amount of stock-based compensation expense recognized during a period is based on the value of the portion of the awards that are ultimately expected to vest.</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Income Taxes</w:t>
      </w:r>
    </w:p>
    <w:p>
      <w:pPr>
        <w:spacing w:after="0" w:line="39"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060"/>
          </w:cols>
          <w:pgMar w:left="320" w:top="456" w:right="5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jc w:val="center"/>
        <w:ind w:right="-17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is more likely than not of being realized upon ultimate settlement. The provision for income taxes includes the effects of any resulting tax allowance, or unrecognized tax benefits, that are considered appropriate as well as the related net interest and penalties.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39" w:lineRule="exact"/>
        <w:rPr>
          <w:sz w:val="20"/>
          <w:szCs w:val="20"/>
          <w:color w:val="auto"/>
        </w:rPr>
      </w:pPr>
    </w:p>
    <w:p>
      <w:pPr>
        <w:ind w:left="160" w:right="200"/>
        <w:spacing w:after="0" w:line="233" w:lineRule="auto"/>
        <w:rPr>
          <w:sz w:val="20"/>
          <w:szCs w:val="20"/>
          <w:color w:val="auto"/>
        </w:rPr>
      </w:pPr>
      <w:r>
        <w:rPr>
          <w:rFonts w:ascii="Arial" w:cs="Arial" w:eastAsia="Arial" w:hAnsi="Arial"/>
          <w:sz w:val="17"/>
          <w:szCs w:val="17"/>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45"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The Company’s participating securities include the Company’s redeemable convertible preferred stock, as the holders are entitled to receive noncumulative dividends on a pari passu basis in the event that a dividend is paid on common stock. The Company also considers any shares issued on the early exercise of stock options subject to repurchase to be participating securities because holders of such shares have non-forfeitable dividend rights in the event a dividend is paid on common stock. The holders of redeemable convertible preferred stock, as well as the holders of early exercised shares subject to repurchase, do not have a contractual obligation to share in losses of the Company, and therefore during periods of loss there is no allocation required under the two-class method.</w:t>
      </w:r>
    </w:p>
    <w:p>
      <w:pPr>
        <w:spacing w:after="0" w:line="145" w:lineRule="exact"/>
        <w:rPr>
          <w:sz w:val="20"/>
          <w:szCs w:val="20"/>
          <w:color w:val="auto"/>
        </w:rPr>
      </w:pPr>
    </w:p>
    <w:p>
      <w:pPr>
        <w:ind w:left="160" w:right="300"/>
        <w:spacing w:after="0" w:line="236"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199" w:lineRule="exact"/>
        <w:rPr>
          <w:sz w:val="20"/>
          <w:szCs w:val="20"/>
          <w:color w:val="auto"/>
        </w:rPr>
      </w:pPr>
    </w:p>
    <w:p>
      <w:pPr>
        <w:ind w:left="160" w:right="120"/>
        <w:spacing w:after="0" w:line="234" w:lineRule="auto"/>
        <w:rPr>
          <w:sz w:val="20"/>
          <w:szCs w:val="20"/>
          <w:color w:val="auto"/>
        </w:rPr>
      </w:pPr>
      <w:r>
        <w:rPr>
          <w:rFonts w:ascii="Arial" w:cs="Arial" w:eastAsia="Arial" w:hAnsi="Arial"/>
          <w:sz w:val="17"/>
          <w:szCs w:val="17"/>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Leases</w:t>
      </w:r>
    </w:p>
    <w:p>
      <w:pPr>
        <w:spacing w:after="0" w:line="39" w:lineRule="exact"/>
        <w:rPr>
          <w:sz w:val="20"/>
          <w:szCs w:val="20"/>
          <w:color w:val="auto"/>
        </w:rPr>
      </w:pPr>
    </w:p>
    <w:p>
      <w:pPr>
        <w:ind w:left="160" w:right="60"/>
        <w:spacing w:after="0" w:line="233" w:lineRule="auto"/>
        <w:rPr>
          <w:sz w:val="20"/>
          <w:szCs w:val="20"/>
          <w:color w:val="auto"/>
        </w:rPr>
      </w:pPr>
      <w:r>
        <w:rPr>
          <w:rFonts w:ascii="Arial" w:cs="Arial" w:eastAsia="Arial" w:hAnsi="Arial"/>
          <w:sz w:val="17"/>
          <w:szCs w:val="17"/>
          <w:color w:val="auto"/>
        </w:rPr>
        <w:t>The Company leases office and laboratory space under operating leases and laboratory equipment under capital leases. Leases for which the Company assumes substantially all risks and rewards incidental to ownership of the leased assets are classified as capital leases. The leased assets and the corresponding lease liabilities (net of interest charges) are recognized on the balance sheet as property and equipment, based on the cost of the equipment, and borrowings, respectively, at the inception of the related lease. Each lease payment is apportioned between the reduction of the outstanding lease liability and the related interest expense. The interest expense is recorded on a basis that reflects a constant periodic rate of interest on the outstanding finance lease liability.</w:t>
      </w:r>
    </w:p>
    <w:p>
      <w:pPr>
        <w:spacing w:after="0" w:line="145" w:lineRule="exact"/>
        <w:rPr>
          <w:sz w:val="20"/>
          <w:szCs w:val="20"/>
          <w:color w:val="auto"/>
        </w:rPr>
      </w:pPr>
    </w:p>
    <w:p>
      <w:pPr>
        <w:ind w:left="160" w:right="240"/>
        <w:spacing w:after="0" w:line="236" w:lineRule="auto"/>
        <w:rPr>
          <w:sz w:val="20"/>
          <w:szCs w:val="20"/>
          <w:color w:val="auto"/>
        </w:rPr>
      </w:pPr>
      <w:r>
        <w:rPr>
          <w:rFonts w:ascii="Arial" w:cs="Arial" w:eastAsia="Arial" w:hAnsi="Arial"/>
          <w:sz w:val="17"/>
          <w:szCs w:val="17"/>
          <w:color w:val="auto"/>
        </w:rPr>
        <w:t>Leases for which substantially all risks and rewards incidental to ownership are retained by the lessors are classified as operating leases. Payments made under operating leases (net of any incentive received from the lessors) are recorded on a straight-line basis over the period of the lease.</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060"/>
          </w:cols>
          <w:pgMar w:left="320" w:top="456" w:right="5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jc w:val="center"/>
        <w:ind w:right="-17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Restructuring Costs</w:t>
      </w:r>
    </w:p>
    <w:p>
      <w:pPr>
        <w:spacing w:after="0" w:line="52"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Restructuring costs primarily consist of contract termination costs related to leases and employee termination costs. The Company recognizes restructuring charges when the liability has been incurred. Key assumptions in determining the restructuring costs include the terms and payments that may be negotiated to terminate certain contractual obligations, cease use date of leased property and equipment, and the timing of employees leaving the Company. Accretion expenses related to restructuring costs are included in general and administrative expenses.</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Fair Value Option</w:t>
      </w:r>
    </w:p>
    <w:p>
      <w:pPr>
        <w:spacing w:after="0" w:line="52" w:lineRule="exact"/>
        <w:rPr>
          <w:sz w:val="20"/>
          <w:szCs w:val="20"/>
          <w:color w:val="auto"/>
        </w:rPr>
      </w:pPr>
    </w:p>
    <w:p>
      <w:pPr>
        <w:ind w:left="160" w:right="320"/>
        <w:spacing w:after="0" w:line="236" w:lineRule="auto"/>
        <w:rPr>
          <w:sz w:val="20"/>
          <w:szCs w:val="20"/>
          <w:color w:val="auto"/>
        </w:rPr>
      </w:pPr>
      <w:r>
        <w:rPr>
          <w:rFonts w:ascii="Arial" w:cs="Arial" w:eastAsia="Arial" w:hAnsi="Arial"/>
          <w:sz w:val="17"/>
          <w:szCs w:val="17"/>
          <w:color w:val="auto"/>
        </w:rPr>
        <w:t>The convertible notes issued in 2020, for which the Company elected the fair value option, are accounted for at fair value on a recurring basis with changes in fair value recognized in the statement of operations and comprehensive loss. Interest accrued on the convertible notes is recorded to interest expense.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52"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Fair value is defined as the exchange price to sell an asset or transfer a liability (exit price) in the principal or most advantageous market for the asset or liability in an orderly transaction between market participants at the measurement date. Fair value should be based on the assumptions market participants would use when pricing the asset or liability. The valuation hierarchy is based upon the transparency of inputs to the valuation of an asset or liability as of the measurement date.</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Fair value measurements are classified and disclosed in one of the following three categories:</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Level 1 – Quoted unadjusted prices for identical instruments in active markets.</w:t>
      </w:r>
    </w:p>
    <w:p>
      <w:pPr>
        <w:spacing w:after="0" w:line="152" w:lineRule="exact"/>
        <w:rPr>
          <w:sz w:val="20"/>
          <w:szCs w:val="20"/>
          <w:color w:val="auto"/>
        </w:rPr>
      </w:pPr>
    </w:p>
    <w:p>
      <w:pPr>
        <w:ind w:left="600" w:right="240"/>
        <w:spacing w:after="0" w:line="239"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in which all observable inputs and significant value drivers are observable in active markets.</w:t>
      </w:r>
    </w:p>
    <w:p>
      <w:pPr>
        <w:spacing w:after="0" w:line="146" w:lineRule="exact"/>
        <w:rPr>
          <w:sz w:val="20"/>
          <w:szCs w:val="20"/>
          <w:color w:val="auto"/>
        </w:rPr>
      </w:pPr>
    </w:p>
    <w:p>
      <w:pPr>
        <w:ind w:left="600" w:right="820"/>
        <w:spacing w:after="0" w:line="239" w:lineRule="auto"/>
        <w:rPr>
          <w:sz w:val="20"/>
          <w:szCs w:val="20"/>
          <w:color w:val="auto"/>
        </w:rPr>
      </w:pPr>
      <w:r>
        <w:rPr>
          <w:rFonts w:ascii="Arial" w:cs="Arial" w:eastAsia="Arial" w:hAnsi="Arial"/>
          <w:sz w:val="17"/>
          <w:szCs w:val="17"/>
          <w:color w:val="auto"/>
        </w:rPr>
        <w:t>Level 3 – Model derived valuations in which one or more significant inputs or significant value drivers are unobservable, including assumptions developed by the Company.</w:t>
      </w:r>
    </w:p>
    <w:p>
      <w:pPr>
        <w:spacing w:after="0" w:line="146" w:lineRule="exact"/>
        <w:rPr>
          <w:sz w:val="20"/>
          <w:szCs w:val="20"/>
          <w:color w:val="auto"/>
        </w:rPr>
      </w:pPr>
    </w:p>
    <w:p>
      <w:pPr>
        <w:ind w:left="160" w:right="160"/>
        <w:spacing w:after="0" w:line="239" w:lineRule="auto"/>
        <w:rPr>
          <w:sz w:val="20"/>
          <w:szCs w:val="20"/>
          <w:color w:val="auto"/>
        </w:rPr>
      </w:pPr>
      <w:r>
        <w:rPr>
          <w:rFonts w:ascii="Arial" w:cs="Arial" w:eastAsia="Arial" w:hAnsi="Arial"/>
          <w:sz w:val="17"/>
          <w:szCs w:val="17"/>
          <w:color w:val="auto"/>
        </w:rPr>
        <w:t>The carrying amounts of the Company’s cash and cash equivalents, prepaid expenses and other current assets, accounts payable and accrued expenses approximate their fair value due to their short-term nature.</w:t>
      </w:r>
    </w:p>
    <w:p>
      <w:pPr>
        <w:spacing w:after="0" w:line="146"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Money market funds are highly liquid investments that are actively traded. The pricing information for the Company’s money market funds are readily available and can be independently validated as of the measurement date. This approach results in the classification of these securities as Level 1 of the fair value hierarchy. There were no transfers between Levels 1, 2, or 3 for any of the periods presented. As of December 31, 2019, and 2020, the Company held $2,470 and $52,301, respectively, in money market funds with no unrealized gains or losses.</w:t>
      </w:r>
    </w:p>
    <w:p>
      <w:pPr>
        <w:spacing w:after="0" w:line="147"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The estimated fair value of the convertible notes, which is classified as Level 3 of the fair value hierarchy, is determined by using a scenario-based analysis that estimates the fair value of the convertible notes based on the probability-weighted present value of expected future investment returns, considering possible outcomes available to the noteholder, including conversions in subsequent equity financings, change of control transactions, settlement and dissolution.</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34" w:lineRule="exact"/>
        <w:rPr>
          <w:sz w:val="20"/>
          <w:szCs w:val="20"/>
          <w:color w:val="auto"/>
        </w:rPr>
      </w:pPr>
    </w:p>
    <w:p>
      <w:pPr>
        <w:ind w:left="160" w:right="100"/>
        <w:spacing w:after="0" w:line="238" w:lineRule="auto"/>
        <w:rPr>
          <w:sz w:val="20"/>
          <w:szCs w:val="20"/>
          <w:color w:val="auto"/>
        </w:rPr>
      </w:pPr>
      <w:r>
        <w:rPr>
          <w:rFonts w:ascii="Arial" w:cs="Arial" w:eastAsia="Arial" w:hAnsi="Arial"/>
          <w:sz w:val="17"/>
          <w:szCs w:val="17"/>
          <w:color w:val="auto"/>
        </w:rPr>
        <w:t xml:space="preserve">In November 2016, the FASB issued Accounting Standards Update (“ASU”) 2016-18, </w:t>
      </w:r>
      <w:r>
        <w:rPr>
          <w:rFonts w:ascii="Arial" w:cs="Arial" w:eastAsia="Arial" w:hAnsi="Arial"/>
          <w:sz w:val="17"/>
          <w:szCs w:val="17"/>
          <w:i w:val="1"/>
          <w:iCs w:val="1"/>
          <w:color w:val="auto"/>
        </w:rPr>
        <w:t>Statement of Cash Flows – Restricted Cash (Topic 230)</w:t>
      </w:r>
      <w:r>
        <w:rPr>
          <w:rFonts w:ascii="Arial" w:cs="Arial" w:eastAsia="Arial" w:hAnsi="Arial"/>
          <w:sz w:val="17"/>
          <w:szCs w:val="17"/>
          <w:color w:val="auto"/>
        </w:rPr>
        <w:t>. This standard requires companies to include amounts generally described as restricted cash and restricted cash equivalents in cash and cash equivalents when reconciling beginning-of-period and end-of-period total amounts shown on the statement of cash flows. The Company adopted this standard as of January 1, 2019 on a retrospective basis. The adoption of this standard did not have a material impact on its financial statements.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060"/>
          </w:cols>
          <w:pgMar w:left="320" w:top="456" w:right="5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Financial Statements</w:t>
      </w:r>
    </w:p>
    <w:p>
      <w:pPr>
        <w:jc w:val="center"/>
        <w:ind w:right="-1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1" w:lineRule="exact"/>
        <w:rPr>
          <w:sz w:val="20"/>
          <w:szCs w:val="20"/>
          <w:color w:val="auto"/>
        </w:rPr>
      </w:pPr>
    </w:p>
    <w:p>
      <w:pPr>
        <w:ind w:left="160" w:right="20"/>
        <w:spacing w:after="0" w:line="236" w:lineRule="auto"/>
        <w:rPr>
          <w:sz w:val="20"/>
          <w:szCs w:val="20"/>
          <w:color w:val="auto"/>
        </w:rPr>
      </w:pPr>
      <w:r>
        <w:rPr>
          <w:rFonts w:ascii="Arial" w:cs="Arial" w:eastAsia="Arial" w:hAnsi="Arial"/>
          <w:sz w:val="17"/>
          <w:szCs w:val="17"/>
          <w:color w:val="auto"/>
        </w:rPr>
        <w:t xml:space="preserve">On June 20, 2018, the FASB issued ASU No. 2018-07, </w:t>
      </w:r>
      <w:r>
        <w:rPr>
          <w:rFonts w:ascii="Arial" w:cs="Arial" w:eastAsia="Arial" w:hAnsi="Arial"/>
          <w:sz w:val="17"/>
          <w:szCs w:val="17"/>
          <w:i w:val="1"/>
          <w:iCs w:val="1"/>
          <w:color w:val="auto"/>
        </w:rPr>
        <w:t>Compensation—Stock Compensation (Topic 718): Improvements to Nonemployee Share-Based Payment Accounting</w:t>
      </w:r>
      <w:r>
        <w:rPr>
          <w:rFonts w:ascii="Arial" w:cs="Arial" w:eastAsia="Arial" w:hAnsi="Arial"/>
          <w:sz w:val="17"/>
          <w:szCs w:val="17"/>
          <w:color w:val="auto"/>
        </w:rPr>
        <w:t>, to reduce cost and complexity and to improve financial reporting for share-based payments issued to nonemployees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(for example, service providers, external legal counsel, suppliers, etc.). This includes allowing for the measurement of awards at the grant date and recognition of awards with performance conditions when those conditions are probable, both of which are earlier than under current guidance for nonemployee awards. The Company adopted this standard as of January 1, 2020 on a retrospective basis. The adoption of this standard did not have a material impact on its financial statements.</w:t>
      </w:r>
    </w:p>
    <w:p>
      <w:pPr>
        <w:spacing w:after="0" w:line="131" w:lineRule="exact"/>
        <w:rPr>
          <w:sz w:val="20"/>
          <w:szCs w:val="20"/>
          <w:color w:val="auto"/>
        </w:rPr>
      </w:pPr>
    </w:p>
    <w:p>
      <w:pPr>
        <w:ind w:left="160" w:right="860"/>
        <w:spacing w:after="0"/>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Disclosure Framework – 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which amends ASC 820, Fair Value Measurement. This standard modifies the disclosure requirements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by removing, modifying, or adding certain disclosures. The Company adopted this standard as of January 1, 2020 on a retrospective basis. The adoption of this standard did not have a material impact on its financial statements.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8" w:lineRule="exact"/>
        <w:rPr>
          <w:sz w:val="20"/>
          <w:szCs w:val="20"/>
          <w:color w:val="auto"/>
        </w:rPr>
      </w:pPr>
    </w:p>
    <w:p>
      <w:pPr>
        <w:ind w:left="160" w:right="40"/>
        <w:spacing w:after="0" w:line="232" w:lineRule="auto"/>
        <w:rPr>
          <w:sz w:val="20"/>
          <w:szCs w:val="20"/>
          <w:color w:val="auto"/>
        </w:rPr>
      </w:pPr>
      <w:r>
        <w:rPr>
          <w:rFonts w:ascii="Arial" w:cs="Arial" w:eastAsia="Arial" w:hAnsi="Arial"/>
          <w:sz w:val="17"/>
          <w:szCs w:val="17"/>
          <w:color w:val="auto"/>
        </w:rPr>
        <w:t>In February 2016, the FASB issued ASU No. 2016-02</w:t>
      </w:r>
      <w:r>
        <w:rPr>
          <w:rFonts w:ascii="Arial" w:cs="Arial" w:eastAsia="Arial" w:hAnsi="Arial"/>
          <w:sz w:val="17"/>
          <w:szCs w:val="17"/>
          <w:i w:val="1"/>
          <w:iCs w:val="1"/>
          <w:color w:val="auto"/>
        </w:rPr>
        <w:t>, Leases (Topic 842)</w:t>
      </w:r>
      <w:r>
        <w:rPr>
          <w:rFonts w:ascii="Arial" w:cs="Arial" w:eastAsia="Arial" w:hAnsi="Arial"/>
          <w:sz w:val="17"/>
          <w:szCs w:val="17"/>
          <w:color w:val="auto"/>
        </w:rPr>
        <w:t>, subsequently amended by ASU 2018-10, ASU 2018-11, ASU 2018-20, ASU 2019-01 and ASU 2019-10, which sets out the principles for the recognition, measurement, presentation and disclosure of leases for both lessors and lessees of a contract.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on the balance sheets. Leases with a term of 12 months or less may be accounted for similar to existing guidance for operating leases today. The Company intends to utilize the modified retrospective approach to adopt this standard effective January 1, 2022. Additionally, the Company intends to utilize the package of available practical expedients, which allows it to (i) not reassess whether any expired or existing contracts are or contain leases; (ii) not reassess the lease classification for expired or existing leases; and (iii) not reassess the treatment of initial direct costs for any existing leases. The Company is currently evaluating the impact this standard will have on its financial statements and related disclosures.</w:t>
      </w:r>
    </w:p>
    <w:p>
      <w:pPr>
        <w:spacing w:after="0" w:line="133" w:lineRule="exact"/>
        <w:rPr>
          <w:sz w:val="20"/>
          <w:szCs w:val="20"/>
          <w:color w:val="auto"/>
        </w:rPr>
      </w:pPr>
    </w:p>
    <w:p>
      <w:pPr>
        <w:ind w:left="160" w:right="300"/>
        <w:spacing w:after="0"/>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is intended to simplify the accounting for income taxes. This standard removes certain exceptions to the general principles in Topic 740 and also clarifies and amends existing standards to improve consistent application. The new standard will be effective beginning January 1, 2022. The Company is currently evaluating the impact this standard will have on its financial statements and related disclosures.</w:t>
      </w:r>
    </w:p>
    <w:p>
      <w:pPr>
        <w:spacing w:after="0" w:line="128" w:lineRule="exact"/>
        <w:rPr>
          <w:sz w:val="20"/>
          <w:szCs w:val="20"/>
          <w:color w:val="auto"/>
        </w:rPr>
      </w:pPr>
    </w:p>
    <w:p>
      <w:pPr>
        <w:ind w:left="160"/>
        <w:spacing w:after="0" w:line="236"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Debt—Debt with Conversion and Other Options (Subtopic 470-20)</w:t>
      </w:r>
      <w:r>
        <w:rPr>
          <w:rFonts w:ascii="Arial" w:cs="Arial" w:eastAsia="Arial" w:hAnsi="Arial"/>
          <w:sz w:val="17"/>
          <w:szCs w:val="17"/>
          <w:color w:val="auto"/>
        </w:rPr>
        <w:t xml:space="preserve"> and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Hedging—Contracts in Entity’s Own Equity (Subtopic 815-40)</w:t>
      </w:r>
      <w:r>
        <w:rPr>
          <w:rFonts w:ascii="Arial" w:cs="Arial" w:eastAsia="Arial" w:hAnsi="Arial"/>
          <w:sz w:val="17"/>
          <w:szCs w:val="17"/>
          <w:color w:val="auto"/>
        </w:rPr>
        <w:t>. This standard simplifies the accounting for convertible debt instruments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preferred stock by removing the existing guidance in ASC 470-20 that requires entities to account for beneficial conversion features and cash conversion features in equity, separately from the host convertible debt or preferred stock. ASU 2020-06 is effective for the Company for annual reporting periods, and interim reporting periods within those annual periods, beginning after December 15, 2023, and early adoption is permitted. The Company is currently evaluating the impact this standard will have on its financial statements.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060"/>
          </w:cols>
          <w:pgMar w:left="320" w:top="456" w:right="5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jc w:val="center"/>
        <w:ind w:right="-15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2" w:lineRule="exact"/>
        <w:rPr>
          <w:sz w:val="20"/>
          <w:szCs w:val="20"/>
          <w:color w:val="auto"/>
        </w:rPr>
      </w:pPr>
    </w:p>
    <w:p>
      <w:pPr>
        <w:ind w:left="160" w:right="6680" w:firstLine="7"/>
        <w:spacing w:after="0" w:line="393" w:lineRule="auto"/>
        <w:tabs>
          <w:tab w:leader="none" w:pos="358"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OTHER FINANCIAL STATEMENT INFORMATION Prepaid Expense and Other Current Assets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Prepaid expenses and other current assets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8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Prepaid expenses</w:t>
            </w:r>
          </w:p>
        </w:tc>
        <w:tc>
          <w:tcPr>
            <w:tcW w:w="18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98"/>
              </w:rPr>
              <w:t>$ 332</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right w:val="single" w:sz="8" w:color="CCEEFF"/>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98"/>
              </w:rPr>
              <w:t>$ 336</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780" w:type="dxa"/>
            <w:vAlign w:val="bottom"/>
          </w:tcPr>
          <w:p>
            <w:pPr>
              <w:spacing w:after="0" w:line="187" w:lineRule="exact"/>
              <w:rPr>
                <w:sz w:val="20"/>
                <w:szCs w:val="20"/>
                <w:color w:val="auto"/>
              </w:rPr>
            </w:pPr>
            <w:r>
              <w:rPr>
                <w:rFonts w:ascii="Arial" w:cs="Arial" w:eastAsia="Arial" w:hAnsi="Arial"/>
                <w:sz w:val="17"/>
                <w:szCs w:val="17"/>
                <w:color w:val="auto"/>
              </w:rPr>
              <w:t>Deposits</w:t>
            </w:r>
          </w:p>
        </w:tc>
        <w:tc>
          <w:tcPr>
            <w:tcW w:w="2420" w:type="dxa"/>
            <w:vAlign w:val="bottom"/>
            <w:gridSpan w:val="3"/>
          </w:tcPr>
          <w:p>
            <w:pPr>
              <w:jc w:val="right"/>
              <w:ind w:right="180"/>
              <w:spacing w:after="0" w:line="187" w:lineRule="exact"/>
              <w:rPr>
                <w:sz w:val="20"/>
                <w:szCs w:val="20"/>
                <w:color w:val="auto"/>
              </w:rPr>
            </w:pPr>
            <w:r>
              <w:rPr>
                <w:rFonts w:ascii="Arial" w:cs="Arial" w:eastAsia="Arial" w:hAnsi="Arial"/>
                <w:sz w:val="17"/>
                <w:szCs w:val="17"/>
                <w:color w:val="auto"/>
              </w:rPr>
              <w:t>34</w:t>
            </w:r>
          </w:p>
        </w:tc>
        <w:tc>
          <w:tcPr>
            <w:tcW w:w="700" w:type="dxa"/>
            <w:vAlign w:val="bottom"/>
            <w:gridSpan w:val="3"/>
          </w:tcPr>
          <w:p>
            <w:pPr>
              <w:jc w:val="right"/>
              <w:ind w:right="60"/>
              <w:spacing w:after="0" w:line="187"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Receivables on exercise of options</w:t>
            </w:r>
          </w:p>
        </w:tc>
        <w:tc>
          <w:tcPr>
            <w:tcW w:w="18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line="187"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780" w:type="dxa"/>
            <w:vAlign w:val="bottom"/>
          </w:tcPr>
          <w:p>
            <w:pPr>
              <w:spacing w:after="0" w:line="187" w:lineRule="exact"/>
              <w:rPr>
                <w:sz w:val="20"/>
                <w:szCs w:val="20"/>
                <w:color w:val="auto"/>
              </w:rPr>
            </w:pPr>
            <w:r>
              <w:rPr>
                <w:rFonts w:ascii="Arial" w:cs="Arial" w:eastAsia="Arial" w:hAnsi="Arial"/>
                <w:sz w:val="17"/>
                <w:szCs w:val="17"/>
                <w:color w:val="auto"/>
              </w:rPr>
              <w:t>Other</w:t>
            </w:r>
          </w:p>
        </w:tc>
        <w:tc>
          <w:tcPr>
            <w:tcW w:w="1800" w:type="dxa"/>
            <w:vAlign w:val="bottom"/>
          </w:tcPr>
          <w:p>
            <w:pPr>
              <w:spacing w:after="0"/>
              <w:rPr>
                <w:sz w:val="16"/>
                <w:szCs w:val="16"/>
                <w:color w:val="auto"/>
              </w:rPr>
            </w:pPr>
          </w:p>
        </w:tc>
        <w:tc>
          <w:tcPr>
            <w:tcW w:w="440" w:type="dxa"/>
            <w:vAlign w:val="bottom"/>
          </w:tcPr>
          <w:p>
            <w:pPr>
              <w:jc w:val="right"/>
              <w:spacing w:after="0" w:line="187" w:lineRule="exact"/>
              <w:rPr>
                <w:sz w:val="20"/>
                <w:szCs w:val="20"/>
                <w:color w:val="auto"/>
              </w:rPr>
            </w:pPr>
            <w:r>
              <w:rPr>
                <w:rFonts w:ascii="Arial" w:cs="Arial" w:eastAsia="Arial" w:hAnsi="Arial"/>
                <w:sz w:val="17"/>
                <w:szCs w:val="17"/>
                <w:color w:val="auto"/>
              </w:rPr>
              <w:t>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7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Total prepaid expenses and other current assets</w:t>
            </w:r>
          </w:p>
        </w:tc>
        <w:tc>
          <w:tcPr>
            <w:tcW w:w="18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98"/>
              </w:rPr>
              <w:t>$ 370</w:t>
            </w:r>
          </w:p>
        </w:tc>
        <w:tc>
          <w:tcPr>
            <w:tcW w:w="1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$ 557</w:t>
            </w:r>
          </w:p>
        </w:tc>
        <w:tc>
          <w:tcPr>
            <w:tcW w:w="0" w:type="dxa"/>
            <w:vAlign w:val="bottom"/>
          </w:tcPr>
          <w:p>
            <w:pPr>
              <w:spacing w:after="0"/>
              <w:rPr>
                <w:sz w:val="1"/>
                <w:szCs w:val="1"/>
                <w:color w:val="auto"/>
              </w:rPr>
            </w:pPr>
          </w:p>
        </w:tc>
      </w:tr>
      <w:tr>
        <w:trPr>
          <w:trHeight w:val="20"/>
        </w:trPr>
        <w:tc>
          <w:tcPr>
            <w:tcW w:w="78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7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800" w:type="dxa"/>
            <w:vAlign w:val="bottom"/>
            <w:gridSpan w:val="2"/>
          </w:tcPr>
          <w:p>
            <w:pPr>
              <w:spacing w:after="0"/>
              <w:rPr>
                <w:sz w:val="20"/>
                <w:szCs w:val="20"/>
                <w:color w:val="auto"/>
              </w:rPr>
            </w:pPr>
            <w:r>
              <w:rPr>
                <w:rFonts w:ascii="Arial" w:cs="Arial" w:eastAsia="Arial" w:hAnsi="Arial"/>
                <w:sz w:val="17"/>
                <w:szCs w:val="17"/>
                <w:color w:val="auto"/>
              </w:rPr>
              <w:t>Property and equipment, net consists of the following as of December 31, 2019.</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800" w:type="dxa"/>
            <w:vAlign w:val="bottom"/>
            <w:tcBorders>
              <w:bottom w:val="single" w:sz="8" w:color="auto"/>
            </w:tcBorders>
            <w:gridSpan w:val="2"/>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restart"/>
          </w:tcPr>
          <w:p>
            <w:pPr>
              <w:spacing w:after="0"/>
              <w:rPr>
                <w:sz w:val="20"/>
                <w:szCs w:val="20"/>
                <w:color w:val="auto"/>
              </w:rPr>
            </w:pPr>
          </w:p>
        </w:tc>
        <w:tc>
          <w:tcPr>
            <w:tcW w:w="77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7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Equipment under capital lease</w:t>
            </w:r>
          </w:p>
        </w:tc>
        <w:tc>
          <w:tcPr>
            <w:tcW w:w="1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   929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780" w:type="dxa"/>
            <w:vAlign w:val="bottom"/>
          </w:tcPr>
          <w:p>
            <w:pPr>
              <w:spacing w:after="0" w:line="187" w:lineRule="exact"/>
              <w:rPr>
                <w:sz w:val="20"/>
                <w:szCs w:val="20"/>
                <w:color w:val="auto"/>
              </w:rPr>
            </w:pPr>
            <w:r>
              <w:rPr>
                <w:rFonts w:ascii="Arial" w:cs="Arial" w:eastAsia="Arial" w:hAnsi="Arial"/>
                <w:sz w:val="17"/>
                <w:szCs w:val="17"/>
                <w:color w:val="auto"/>
              </w:rPr>
              <w:t>Laboratory equipment</w:t>
            </w:r>
          </w:p>
        </w:tc>
        <w:tc>
          <w:tcPr>
            <w:tcW w:w="1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734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Leasehold improvements</w:t>
            </w:r>
          </w:p>
        </w:tc>
        <w:tc>
          <w:tcPr>
            <w:tcW w:w="1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421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780" w:type="dxa"/>
            <w:vAlign w:val="bottom"/>
          </w:tcPr>
          <w:p>
            <w:pPr>
              <w:spacing w:after="0" w:line="187" w:lineRule="exact"/>
              <w:rPr>
                <w:sz w:val="20"/>
                <w:szCs w:val="20"/>
                <w:color w:val="auto"/>
              </w:rPr>
            </w:pPr>
            <w:r>
              <w:rPr>
                <w:rFonts w:ascii="Arial" w:cs="Arial" w:eastAsia="Arial" w:hAnsi="Arial"/>
                <w:sz w:val="17"/>
                <w:szCs w:val="17"/>
                <w:color w:val="auto"/>
              </w:rPr>
              <w:t>Furniture and fixtures</w:t>
            </w:r>
          </w:p>
        </w:tc>
        <w:tc>
          <w:tcPr>
            <w:tcW w:w="1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spacing w:after="0" w:line="187" w:lineRule="exact"/>
              <w:rPr>
                <w:sz w:val="20"/>
                <w:szCs w:val="20"/>
                <w:color w:val="auto"/>
              </w:rPr>
            </w:pPr>
            <w:r>
              <w:rPr>
                <w:rFonts w:ascii="Arial" w:cs="Arial" w:eastAsia="Arial" w:hAnsi="Arial"/>
                <w:sz w:val="17"/>
                <w:szCs w:val="17"/>
                <w:color w:val="auto"/>
              </w:rPr>
              <w:t>269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Office equipment</w:t>
            </w:r>
          </w:p>
        </w:tc>
        <w:tc>
          <w:tcPr>
            <w:tcW w:w="1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tcBorders>
              <w:bottom w:val="single" w:sz="8" w:color="auto"/>
              <w:right w:val="single" w:sz="8" w:color="CCEEFF"/>
            </w:tcBorders>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61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780" w:type="dxa"/>
            <w:vAlign w:val="bottom"/>
          </w:tcPr>
          <w:p>
            <w:pPr>
              <w:ind w:left="480"/>
              <w:spacing w:after="0" w:line="194" w:lineRule="exact"/>
              <w:rPr>
                <w:sz w:val="20"/>
                <w:szCs w:val="20"/>
                <w:color w:val="auto"/>
              </w:rPr>
            </w:pPr>
            <w:r>
              <w:rPr>
                <w:rFonts w:ascii="Arial" w:cs="Arial" w:eastAsia="Arial" w:hAnsi="Arial"/>
                <w:sz w:val="17"/>
                <w:szCs w:val="17"/>
                <w:color w:val="auto"/>
              </w:rPr>
              <w:t>Total property and equipment</w:t>
            </w:r>
          </w:p>
        </w:tc>
        <w:tc>
          <w:tcPr>
            <w:tcW w:w="1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2,414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Accumulated depreciation and amortization</w:t>
            </w:r>
          </w:p>
        </w:tc>
        <w:tc>
          <w:tcPr>
            <w:tcW w:w="1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(1,020)</w:t>
            </w:r>
          </w:p>
        </w:tc>
        <w:tc>
          <w:tcPr>
            <w:tcW w:w="0" w:type="dxa"/>
            <w:vAlign w:val="bottom"/>
          </w:tcPr>
          <w:p>
            <w:pPr>
              <w:spacing w:after="0"/>
              <w:rPr>
                <w:sz w:val="1"/>
                <w:szCs w:val="1"/>
                <w:color w:val="auto"/>
              </w:rPr>
            </w:pPr>
          </w:p>
        </w:tc>
      </w:tr>
      <w:tr>
        <w:trPr>
          <w:trHeight w:val="194"/>
        </w:trPr>
        <w:tc>
          <w:tcPr>
            <w:tcW w:w="7800" w:type="dxa"/>
            <w:vAlign w:val="bottom"/>
            <w:gridSpan w:val="2"/>
          </w:tcPr>
          <w:p>
            <w:pPr>
              <w:spacing w:after="0" w:line="194" w:lineRule="exact"/>
              <w:rPr>
                <w:sz w:val="20"/>
                <w:szCs w:val="20"/>
                <w:color w:val="auto"/>
              </w:rPr>
            </w:pPr>
            <w:r>
              <w:rPr>
                <w:rFonts w:ascii="Arial" w:cs="Arial" w:eastAsia="Arial" w:hAnsi="Arial"/>
                <w:sz w:val="17"/>
                <w:szCs w:val="17"/>
                <w:color w:val="auto"/>
              </w:rPr>
              <w:t>Total property and equipment, net</w:t>
            </w:r>
          </w:p>
        </w:tc>
        <w:tc>
          <w:tcPr>
            <w:tcW w:w="1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top w:val="single" w:sz="8" w:color="auto"/>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$ 1,394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7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right="920"/>
        <w:spacing w:after="0" w:line="269" w:lineRule="auto"/>
        <w:rPr>
          <w:sz w:val="20"/>
          <w:szCs w:val="20"/>
          <w:color w:val="auto"/>
        </w:rPr>
      </w:pPr>
      <w:r>
        <w:rPr>
          <w:rFonts w:ascii="Arial" w:cs="Arial" w:eastAsia="Arial" w:hAnsi="Arial"/>
          <w:sz w:val="16"/>
          <w:szCs w:val="16"/>
          <w:color w:val="auto"/>
        </w:rPr>
        <w:t>Depreciation and amortization expense for the years ended December 31, 2019 and 2020 was $432 and $251, respectively, including amortization expense related to capital leases of $184 and $108 for the years ended December 31, 2019 and 2020, respectively.</w:t>
      </w:r>
    </w:p>
    <w:p>
      <w:pPr>
        <w:spacing w:after="0" w:line="123" w:lineRule="exact"/>
        <w:rPr>
          <w:sz w:val="20"/>
          <w:szCs w:val="20"/>
          <w:color w:val="auto"/>
        </w:rPr>
      </w:pPr>
    </w:p>
    <w:p>
      <w:pPr>
        <w:ind w:left="160" w:right="140"/>
        <w:spacing w:after="0" w:line="239" w:lineRule="auto"/>
        <w:rPr>
          <w:sz w:val="20"/>
          <w:szCs w:val="20"/>
          <w:color w:val="auto"/>
        </w:rPr>
      </w:pPr>
      <w:r>
        <w:rPr>
          <w:rFonts w:ascii="Arial" w:cs="Arial" w:eastAsia="Arial" w:hAnsi="Arial"/>
          <w:sz w:val="17"/>
          <w:szCs w:val="17"/>
          <w:color w:val="auto"/>
        </w:rPr>
        <w:t>During the year ended December 31, 2019, the Company disposed of certain laboratory equipment, incurring a loss on disposal of $94, which is included in research and development expense in the Company’s statement of operations and comprehensive loss.</w:t>
      </w:r>
    </w:p>
    <w:p>
      <w:pPr>
        <w:spacing w:after="0" w:line="146" w:lineRule="exact"/>
        <w:rPr>
          <w:sz w:val="20"/>
          <w:szCs w:val="20"/>
          <w:color w:val="auto"/>
        </w:rPr>
      </w:pPr>
    </w:p>
    <w:p>
      <w:pPr>
        <w:ind w:left="160" w:right="100"/>
        <w:spacing w:after="0" w:line="236" w:lineRule="auto"/>
        <w:rPr>
          <w:sz w:val="20"/>
          <w:szCs w:val="20"/>
          <w:color w:val="auto"/>
        </w:rPr>
      </w:pPr>
      <w:r>
        <w:rPr>
          <w:rFonts w:ascii="Arial" w:cs="Arial" w:eastAsia="Arial" w:hAnsi="Arial"/>
          <w:sz w:val="17"/>
          <w:szCs w:val="17"/>
          <w:color w:val="auto"/>
        </w:rPr>
        <w:t>During the year ended December 31, 2020, the Company determined that its property and equipment had no future alternative use and recorded an impairment charge of $1,185. The Company recorded an impairment charge of $1,039 for laboratory equipment and furniture and $146 for office equipment to research and development and general and administrative expense, respectively.</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080"/>
          </w:cols>
          <w:pgMar w:left="320" w:top="456"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jc w:val="center"/>
        <w:ind w:right="-15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Accrued and Other Current Liabilities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Accrued and other current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9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96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6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Accrued expenses</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93"/>
              </w:rPr>
              <w:t>$ 318</w:t>
            </w: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98"/>
              </w:rPr>
              <w:t>$ 128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600" w:type="dxa"/>
            <w:vAlign w:val="bottom"/>
          </w:tcPr>
          <w:p>
            <w:pPr>
              <w:spacing w:after="0" w:line="187" w:lineRule="exact"/>
              <w:rPr>
                <w:sz w:val="20"/>
                <w:szCs w:val="20"/>
                <w:color w:val="auto"/>
              </w:rPr>
            </w:pPr>
            <w:r>
              <w:rPr>
                <w:rFonts w:ascii="Arial" w:cs="Arial" w:eastAsia="Arial" w:hAnsi="Arial"/>
                <w:sz w:val="17"/>
                <w:szCs w:val="17"/>
                <w:color w:val="auto"/>
              </w:rPr>
              <w:t>Accrued payroll</w:t>
            </w:r>
          </w:p>
        </w:tc>
        <w:tc>
          <w:tcPr>
            <w:tcW w:w="460" w:type="dxa"/>
            <w:vAlign w:val="bottom"/>
            <w:gridSpan w:val="3"/>
          </w:tcPr>
          <w:p>
            <w:pPr>
              <w:jc w:val="right"/>
              <w:ind w:right="20"/>
              <w:spacing w:after="0" w:line="187" w:lineRule="exact"/>
              <w:rPr>
                <w:sz w:val="20"/>
                <w:szCs w:val="20"/>
                <w:color w:val="auto"/>
              </w:rPr>
            </w:pPr>
            <w:r>
              <w:rPr>
                <w:rFonts w:ascii="Arial" w:cs="Arial" w:eastAsia="Arial" w:hAnsi="Arial"/>
                <w:sz w:val="17"/>
                <w:szCs w:val="17"/>
                <w:color w:val="auto"/>
              </w:rPr>
              <w:t>58</w:t>
            </w:r>
          </w:p>
        </w:tc>
        <w:tc>
          <w:tcPr>
            <w:tcW w:w="360" w:type="dxa"/>
            <w:vAlign w:val="bottom"/>
          </w:tcPr>
          <w:p>
            <w:pPr>
              <w:spacing w:after="0"/>
              <w:rPr>
                <w:sz w:val="16"/>
                <w:szCs w:val="16"/>
                <w:color w:val="auto"/>
              </w:rPr>
            </w:pPr>
          </w:p>
        </w:tc>
        <w:tc>
          <w:tcPr>
            <w:tcW w:w="500" w:type="dxa"/>
            <w:vAlign w:val="bottom"/>
            <w:gridSpan w:val="2"/>
          </w:tcPr>
          <w:p>
            <w:pPr>
              <w:jc w:val="right"/>
              <w:ind w:right="60"/>
              <w:spacing w:after="0" w:line="187" w:lineRule="exact"/>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187"/>
        </w:trPr>
        <w:tc>
          <w:tcPr>
            <w:tcW w:w="96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47</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7"/>
                <w:szCs w:val="17"/>
                <w:color w:val="auto"/>
              </w:rPr>
              <w:t>Total accrued expenses and other current liabilities</w:t>
            </w: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600" w:type="dxa"/>
            <w:vAlign w:val="bottom"/>
            <w:vMerge w:val="continue"/>
          </w:tcPr>
          <w:p>
            <w:pPr>
              <w:spacing w:after="0"/>
              <w:rPr>
                <w:sz w:val="16"/>
                <w:szCs w:val="16"/>
                <w:color w:val="auto"/>
              </w:rPr>
            </w:pPr>
          </w:p>
        </w:tc>
        <w:tc>
          <w:tcPr>
            <w:tcW w:w="46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w w:val="98"/>
              </w:rPr>
              <w:t>$ 423</w:t>
            </w:r>
          </w:p>
        </w:tc>
        <w:tc>
          <w:tcPr>
            <w:tcW w:w="360" w:type="dxa"/>
            <w:vAlign w:val="bottom"/>
          </w:tcPr>
          <w:p>
            <w:pPr>
              <w:spacing w:after="0"/>
              <w:rPr>
                <w:sz w:val="16"/>
                <w:szCs w:val="16"/>
                <w:color w:val="auto"/>
              </w:rPr>
            </w:pPr>
          </w:p>
        </w:tc>
        <w:tc>
          <w:tcPr>
            <w:tcW w:w="50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w w:val="98"/>
              </w:rPr>
              <w:t>$ 533</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 CONVERTIBLE NOTES</w:t>
      </w:r>
    </w:p>
    <w:p>
      <w:pPr>
        <w:spacing w:after="0" w:line="91" w:lineRule="exact"/>
        <w:rPr>
          <w:sz w:val="20"/>
          <w:szCs w:val="20"/>
          <w:color w:val="auto"/>
        </w:rPr>
      </w:pPr>
    </w:p>
    <w:p>
      <w:pPr>
        <w:ind w:left="160"/>
        <w:spacing w:after="0" w:line="232" w:lineRule="auto"/>
        <w:rPr>
          <w:sz w:val="20"/>
          <w:szCs w:val="20"/>
          <w:color w:val="auto"/>
        </w:rPr>
      </w:pPr>
      <w:r>
        <w:rPr>
          <w:rFonts w:ascii="Arial" w:cs="Arial" w:eastAsia="Arial" w:hAnsi="Arial"/>
          <w:sz w:val="17"/>
          <w:szCs w:val="17"/>
          <w:color w:val="auto"/>
        </w:rPr>
        <w:t>In March, April, and May 2020, the Company issued convertible notes to certain existing investors of the Company for cash. The principal amount of the convertible notes was $5,602 in the aggregate with a fixed accrued interest rate of 4% per annum. The convertible notes were either due on or after December 31, 2020 or upon a change of control of the Company, unless earlier converted. No principal or interest was payable prior to maturity as the convertible notes and any accrued interest would automatically convert upon a qualified financing event at a conversion price equal to 85% of the price per share of the qualified financing. Holders also had the option to convert their notes to shares of Series B redeemable convertible stock at a conversion price equal to $4.2926 per share on the maturity date or upon a change of control of the Company, if no qualified financing occurred prior to such date.</w:t>
      </w:r>
    </w:p>
    <w:p>
      <w:pPr>
        <w:spacing w:after="0" w:line="148" w:lineRule="exact"/>
        <w:rPr>
          <w:sz w:val="20"/>
          <w:szCs w:val="20"/>
          <w:color w:val="auto"/>
        </w:rPr>
      </w:pPr>
    </w:p>
    <w:p>
      <w:pPr>
        <w:ind w:left="160" w:right="400"/>
        <w:spacing w:after="0" w:line="239" w:lineRule="auto"/>
        <w:rPr>
          <w:sz w:val="20"/>
          <w:szCs w:val="20"/>
          <w:color w:val="auto"/>
        </w:rPr>
      </w:pPr>
      <w:r>
        <w:rPr>
          <w:rFonts w:ascii="Arial" w:cs="Arial" w:eastAsia="Arial" w:hAnsi="Arial"/>
          <w:sz w:val="17"/>
          <w:szCs w:val="17"/>
          <w:color w:val="auto"/>
        </w:rPr>
        <w:t>Due to certain embedded features within the convertible notes, the Company elected to account for the convertible notes under the fair value option.</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provides the changes in the fair value of the convertible notes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10220" w:type="dxa"/>
            <w:vAlign w:val="bottom"/>
            <w:shd w:val="clear" w:color="auto" w:fill="CCEEFF"/>
          </w:tcPr>
          <w:p>
            <w:pPr>
              <w:spacing w:after="0"/>
              <w:rPr>
                <w:sz w:val="20"/>
                <w:szCs w:val="20"/>
                <w:color w:val="auto"/>
              </w:rPr>
            </w:pPr>
            <w:r>
              <w:rPr>
                <w:rFonts w:ascii="Arial" w:cs="Arial" w:eastAsia="Arial" w:hAnsi="Arial"/>
                <w:sz w:val="17"/>
                <w:szCs w:val="17"/>
                <w:color w:val="auto"/>
              </w:rPr>
              <w:t>Issuance of 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5,539</w:t>
            </w:r>
          </w:p>
        </w:tc>
      </w:tr>
      <w:tr>
        <w:trPr>
          <w:trHeight w:val="187"/>
        </w:trPr>
        <w:tc>
          <w:tcPr>
            <w:tcW w:w="10220" w:type="dxa"/>
            <w:vAlign w:val="bottom"/>
          </w:tcPr>
          <w:p>
            <w:pPr>
              <w:spacing w:after="0" w:line="187" w:lineRule="exact"/>
              <w:rPr>
                <w:sz w:val="20"/>
                <w:szCs w:val="20"/>
                <w:color w:val="auto"/>
              </w:rPr>
            </w:pPr>
            <w:r>
              <w:rPr>
                <w:rFonts w:ascii="Arial" w:cs="Arial" w:eastAsia="Arial" w:hAnsi="Arial"/>
                <w:sz w:val="17"/>
                <w:szCs w:val="17"/>
                <w:color w:val="auto"/>
              </w:rPr>
              <w:t>Change in fair value of convertible notes</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1,210</w:t>
            </w:r>
          </w:p>
        </w:tc>
      </w:tr>
      <w:tr>
        <w:trPr>
          <w:trHeight w:val="187"/>
        </w:trPr>
        <w:tc>
          <w:tcPr>
            <w:tcW w:w="102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Conversion into Series C redeemable convertible preferred stock</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(6,749)</w:t>
            </w:r>
          </w:p>
        </w:tc>
      </w:tr>
      <w:tr>
        <w:trPr>
          <w:trHeight w:val="194"/>
        </w:trPr>
        <w:tc>
          <w:tcPr>
            <w:tcW w:w="10220" w:type="dxa"/>
            <w:vAlign w:val="bottom"/>
          </w:tcPr>
          <w:p>
            <w:pPr>
              <w:spacing w:after="0" w:line="194" w:lineRule="exact"/>
              <w:rPr>
                <w:sz w:val="20"/>
                <w:szCs w:val="20"/>
                <w:color w:val="auto"/>
              </w:rPr>
            </w:pPr>
            <w:r>
              <w:rPr>
                <w:rFonts w:ascii="Arial" w:cs="Arial" w:eastAsia="Arial" w:hAnsi="Arial"/>
                <w:sz w:val="17"/>
                <w:szCs w:val="17"/>
                <w:color w:val="auto"/>
              </w:rPr>
              <w:t>Balance as of December 31, 2020</w:t>
            </w:r>
          </w:p>
        </w:tc>
        <w:tc>
          <w:tcPr>
            <w:tcW w:w="1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r>
      <w:tr>
        <w:trPr>
          <w:trHeight w:val="20"/>
        </w:trPr>
        <w:tc>
          <w:tcPr>
            <w:tcW w:w="10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10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4" w:lineRule="exact"/>
        <w:rPr>
          <w:sz w:val="20"/>
          <w:szCs w:val="20"/>
          <w:color w:val="auto"/>
        </w:rPr>
      </w:pPr>
    </w:p>
    <w:p>
      <w:pPr>
        <w:ind w:left="160" w:right="120"/>
        <w:spacing w:after="0" w:line="234" w:lineRule="auto"/>
        <w:rPr>
          <w:sz w:val="20"/>
          <w:szCs w:val="20"/>
          <w:color w:val="auto"/>
        </w:rPr>
      </w:pPr>
      <w:r>
        <w:rPr>
          <w:rFonts w:ascii="Arial" w:cs="Arial" w:eastAsia="Arial" w:hAnsi="Arial"/>
          <w:sz w:val="17"/>
          <w:szCs w:val="17"/>
          <w:color w:val="auto"/>
        </w:rPr>
        <w:t>In October 2020, the outstanding principal, and accrued interest of $134, were automatically converted into 11,404,246 shares of the Company’s Series C redeemable convertible preferred stock in connection with the closing of the Company’s Series C redeemable convertible preferred stock financing (see Note 5) at a conversion price of $0.5030 per share, which was 85% of the $0.5918 original issuance price of the Series C redeemable convertible preferred stock.</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080"/>
          </w:cols>
          <w:pgMar w:left="320" w:top="456" w:right="4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jc w:val="center"/>
        <w:ind w:right="-15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5. REDEEMABLE CONVERTIBLE PREFERRED STOCK</w:t>
      </w:r>
    </w:p>
    <w:p>
      <w:pPr>
        <w:spacing w:after="0" w:line="91" w:lineRule="exact"/>
        <w:rPr>
          <w:sz w:val="20"/>
          <w:szCs w:val="20"/>
          <w:color w:val="auto"/>
        </w:rPr>
      </w:pPr>
    </w:p>
    <w:p>
      <w:pPr>
        <w:ind w:left="160"/>
        <w:spacing w:after="0" w:line="239" w:lineRule="auto"/>
        <w:rPr>
          <w:sz w:val="20"/>
          <w:szCs w:val="20"/>
          <w:color w:val="auto"/>
        </w:rPr>
      </w:pPr>
      <w:r>
        <w:rPr>
          <w:rFonts w:ascii="Arial" w:cs="Arial" w:eastAsia="Arial" w:hAnsi="Arial"/>
          <w:sz w:val="17"/>
          <w:szCs w:val="17"/>
          <w:color w:val="auto"/>
        </w:rPr>
        <w:t>As of December 31, 2020, the Company’s redeemable convertible preferred stock consisted of the following balances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ISSUE</w:t>
            </w: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1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SHARES ISSUED AND</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4"/>
        </w:trPr>
        <w:tc>
          <w:tcPr>
            <w:tcW w:w="29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PRICE</w:t>
            </w:r>
          </w:p>
        </w:tc>
        <w:tc>
          <w:tcPr>
            <w:tcW w:w="13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AUTHORIZED</w:t>
            </w: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5"/>
                <w:szCs w:val="15"/>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81"/>
        </w:trPr>
        <w:tc>
          <w:tcPr>
            <w:tcW w:w="290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Series Seed</w:t>
            </w:r>
          </w:p>
        </w:tc>
        <w:tc>
          <w:tcPr>
            <w:tcW w:w="18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98"/>
              </w:rPr>
              <w:t>$1.01</w:t>
            </w:r>
          </w:p>
        </w:tc>
        <w:tc>
          <w:tcPr>
            <w:tcW w:w="3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1,010,456</w:t>
            </w: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1,010,456</w:t>
            </w: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1,789</w:t>
            </w:r>
          </w:p>
        </w:tc>
        <w:tc>
          <w:tcPr>
            <w:tcW w:w="3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1,020</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900" w:type="dxa"/>
            <w:vAlign w:val="bottom"/>
          </w:tcPr>
          <w:p>
            <w:pPr>
              <w:spacing w:after="0" w:line="187" w:lineRule="exact"/>
              <w:rPr>
                <w:sz w:val="20"/>
                <w:szCs w:val="20"/>
                <w:color w:val="auto"/>
              </w:rPr>
            </w:pPr>
            <w:r>
              <w:rPr>
                <w:rFonts w:ascii="Arial" w:cs="Arial" w:eastAsia="Arial" w:hAnsi="Arial"/>
                <w:sz w:val="17"/>
                <w:szCs w:val="17"/>
                <w:color w:val="auto"/>
              </w:rPr>
              <w:t>Series Seed-1</w:t>
            </w:r>
          </w:p>
        </w:tc>
        <w:tc>
          <w:tcPr>
            <w:tcW w:w="2640" w:type="dxa"/>
            <w:vAlign w:val="bottom"/>
            <w:gridSpan w:val="3"/>
          </w:tcPr>
          <w:p>
            <w:pPr>
              <w:jc w:val="right"/>
              <w:ind w:right="380"/>
              <w:spacing w:after="0" w:line="187" w:lineRule="exact"/>
              <w:rPr>
                <w:sz w:val="20"/>
                <w:szCs w:val="20"/>
                <w:color w:val="auto"/>
              </w:rPr>
            </w:pPr>
            <w:r>
              <w:rPr>
                <w:rFonts w:ascii="Arial" w:cs="Arial" w:eastAsia="Arial" w:hAnsi="Arial"/>
                <w:sz w:val="17"/>
                <w:szCs w:val="17"/>
                <w:color w:val="auto"/>
              </w:rPr>
              <w:t>1.92</w:t>
            </w:r>
          </w:p>
        </w:tc>
        <w:tc>
          <w:tcPr>
            <w:tcW w:w="10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1,787,640</w:t>
            </w:r>
          </w:p>
        </w:tc>
        <w:tc>
          <w:tcPr>
            <w:tcW w:w="340" w:type="dxa"/>
            <w:vAlign w:val="bottom"/>
          </w:tcPr>
          <w:p>
            <w:pPr>
              <w:spacing w:after="0"/>
              <w:rPr>
                <w:sz w:val="16"/>
                <w:szCs w:val="16"/>
                <w:color w:val="auto"/>
              </w:rPr>
            </w:pPr>
          </w:p>
        </w:tc>
        <w:tc>
          <w:tcPr>
            <w:tcW w:w="188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1,787,640</w:t>
            </w:r>
          </w:p>
        </w:tc>
        <w:tc>
          <w:tcPr>
            <w:tcW w:w="120" w:type="dxa"/>
            <w:vAlign w:val="bottom"/>
          </w:tcPr>
          <w:p>
            <w:pPr>
              <w:spacing w:after="0"/>
              <w:rPr>
                <w:sz w:val="16"/>
                <w:szCs w:val="16"/>
                <w:color w:val="auto"/>
              </w:rPr>
            </w:pPr>
          </w:p>
        </w:tc>
        <w:tc>
          <w:tcPr>
            <w:tcW w:w="100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3,718</w:t>
            </w:r>
          </w:p>
        </w:tc>
        <w:tc>
          <w:tcPr>
            <w:tcW w:w="240" w:type="dxa"/>
            <w:vAlign w:val="bottom"/>
          </w:tcPr>
          <w:p>
            <w:pPr>
              <w:spacing w:after="0"/>
              <w:rPr>
                <w:sz w:val="16"/>
                <w:szCs w:val="16"/>
                <w:color w:val="auto"/>
              </w:rPr>
            </w:pPr>
          </w:p>
        </w:tc>
        <w:tc>
          <w:tcPr>
            <w:tcW w:w="78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3,430</w:t>
            </w:r>
          </w:p>
        </w:tc>
        <w:tc>
          <w:tcPr>
            <w:tcW w:w="0" w:type="dxa"/>
            <w:vAlign w:val="bottom"/>
          </w:tcPr>
          <w:p>
            <w:pPr>
              <w:spacing w:after="0"/>
              <w:rPr>
                <w:sz w:val="1"/>
                <w:szCs w:val="1"/>
                <w:color w:val="auto"/>
              </w:rPr>
            </w:pPr>
          </w:p>
        </w:tc>
      </w:tr>
      <w:tr>
        <w:trPr>
          <w:trHeight w:val="187"/>
        </w:trPr>
        <w:tc>
          <w:tcPr>
            <w:tcW w:w="29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Series A</w:t>
            </w:r>
          </w:p>
        </w:tc>
        <w:tc>
          <w:tcPr>
            <w:tcW w:w="2640" w:type="dxa"/>
            <w:vAlign w:val="bottom"/>
            <w:gridSpan w:val="3"/>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2.15</w:t>
            </w:r>
          </w:p>
        </w:tc>
        <w:tc>
          <w:tcPr>
            <w:tcW w:w="102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6,120,111</w:t>
            </w:r>
          </w:p>
        </w:tc>
        <w:tc>
          <w:tcPr>
            <w:tcW w:w="34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6,120,111</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12,851</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13,136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00" w:type="dxa"/>
            <w:vAlign w:val="bottom"/>
          </w:tcPr>
          <w:p>
            <w:pPr>
              <w:spacing w:after="0" w:line="187" w:lineRule="exact"/>
              <w:rPr>
                <w:sz w:val="20"/>
                <w:szCs w:val="20"/>
                <w:color w:val="auto"/>
              </w:rPr>
            </w:pPr>
            <w:r>
              <w:rPr>
                <w:rFonts w:ascii="Arial" w:cs="Arial" w:eastAsia="Arial" w:hAnsi="Arial"/>
                <w:sz w:val="17"/>
                <w:szCs w:val="17"/>
                <w:color w:val="auto"/>
              </w:rPr>
              <w:t>Series B</w:t>
            </w:r>
          </w:p>
        </w:tc>
        <w:tc>
          <w:tcPr>
            <w:tcW w:w="2640" w:type="dxa"/>
            <w:vAlign w:val="bottom"/>
            <w:gridSpan w:val="3"/>
          </w:tcPr>
          <w:p>
            <w:pPr>
              <w:jc w:val="right"/>
              <w:ind w:right="380"/>
              <w:spacing w:after="0" w:line="187" w:lineRule="exact"/>
              <w:rPr>
                <w:sz w:val="20"/>
                <w:szCs w:val="20"/>
                <w:color w:val="auto"/>
              </w:rPr>
            </w:pPr>
            <w:r>
              <w:rPr>
                <w:rFonts w:ascii="Arial" w:cs="Arial" w:eastAsia="Arial" w:hAnsi="Arial"/>
                <w:sz w:val="17"/>
                <w:szCs w:val="17"/>
                <w:color w:val="auto"/>
              </w:rPr>
              <w:t>4.29</w:t>
            </w:r>
          </w:p>
        </w:tc>
        <w:tc>
          <w:tcPr>
            <w:tcW w:w="10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5,097,566</w:t>
            </w:r>
          </w:p>
        </w:tc>
        <w:tc>
          <w:tcPr>
            <w:tcW w:w="340" w:type="dxa"/>
            <w:vAlign w:val="bottom"/>
          </w:tcPr>
          <w:p>
            <w:pPr>
              <w:spacing w:after="0"/>
              <w:rPr>
                <w:sz w:val="16"/>
                <w:szCs w:val="16"/>
                <w:color w:val="auto"/>
              </w:rPr>
            </w:pPr>
          </w:p>
        </w:tc>
        <w:tc>
          <w:tcPr>
            <w:tcW w:w="188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5,097,566</w:t>
            </w:r>
          </w:p>
        </w:tc>
        <w:tc>
          <w:tcPr>
            <w:tcW w:w="120" w:type="dxa"/>
            <w:vAlign w:val="bottom"/>
          </w:tcPr>
          <w:p>
            <w:pPr>
              <w:spacing w:after="0"/>
              <w:rPr>
                <w:sz w:val="16"/>
                <w:szCs w:val="16"/>
                <w:color w:val="auto"/>
              </w:rPr>
            </w:pPr>
          </w:p>
        </w:tc>
        <w:tc>
          <w:tcPr>
            <w:tcW w:w="1000" w:type="dxa"/>
            <w:vAlign w:val="bottom"/>
            <w:gridSpan w:val="2"/>
          </w:tcPr>
          <w:p>
            <w:pPr>
              <w:jc w:val="right"/>
              <w:ind w:right="360"/>
              <w:spacing w:after="0" w:line="187" w:lineRule="exact"/>
              <w:rPr>
                <w:sz w:val="20"/>
                <w:szCs w:val="20"/>
                <w:color w:val="auto"/>
              </w:rPr>
            </w:pPr>
            <w:r>
              <w:rPr>
                <w:rFonts w:ascii="Arial" w:cs="Arial" w:eastAsia="Arial" w:hAnsi="Arial"/>
                <w:sz w:val="17"/>
                <w:szCs w:val="17"/>
                <w:color w:val="auto"/>
              </w:rPr>
              <w:t>21,737</w:t>
            </w:r>
          </w:p>
        </w:tc>
        <w:tc>
          <w:tcPr>
            <w:tcW w:w="240" w:type="dxa"/>
            <w:vAlign w:val="bottom"/>
          </w:tcPr>
          <w:p>
            <w:pPr>
              <w:spacing w:after="0"/>
              <w:rPr>
                <w:sz w:val="16"/>
                <w:szCs w:val="16"/>
                <w:color w:val="auto"/>
              </w:rPr>
            </w:pPr>
          </w:p>
        </w:tc>
        <w:tc>
          <w:tcPr>
            <w:tcW w:w="740" w:type="dxa"/>
            <w:vAlign w:val="bottom"/>
          </w:tcPr>
          <w:p>
            <w:pPr>
              <w:jc w:val="right"/>
              <w:spacing w:after="0" w:line="187" w:lineRule="exact"/>
              <w:rPr>
                <w:sz w:val="20"/>
                <w:szCs w:val="20"/>
                <w:color w:val="auto"/>
              </w:rPr>
            </w:pPr>
            <w:r>
              <w:rPr>
                <w:rFonts w:ascii="Arial" w:cs="Arial" w:eastAsia="Arial" w:hAnsi="Arial"/>
                <w:sz w:val="17"/>
                <w:szCs w:val="17"/>
                <w:color w:val="auto"/>
              </w:rPr>
              <w:t>21,882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Series C</w:t>
            </w:r>
          </w:p>
        </w:tc>
        <w:tc>
          <w:tcPr>
            <w:tcW w:w="2640" w:type="dxa"/>
            <w:vAlign w:val="bottom"/>
            <w:gridSpan w:val="3"/>
            <w:shd w:val="clear" w:color="auto" w:fill="CCEEFF"/>
          </w:tcPr>
          <w:p>
            <w:pPr>
              <w:jc w:val="right"/>
              <w:ind w:right="380"/>
              <w:spacing w:after="0" w:line="187" w:lineRule="exact"/>
              <w:rPr>
                <w:sz w:val="20"/>
                <w:szCs w:val="20"/>
                <w:color w:val="auto"/>
              </w:rPr>
            </w:pPr>
            <w:r>
              <w:rPr>
                <w:rFonts w:ascii="Arial" w:cs="Arial" w:eastAsia="Arial" w:hAnsi="Arial"/>
                <w:sz w:val="17"/>
                <w:szCs w:val="17"/>
                <w:color w:val="auto"/>
              </w:rPr>
              <w:t>0.59</w:t>
            </w:r>
          </w:p>
        </w:tc>
        <w:tc>
          <w:tcPr>
            <w:tcW w:w="10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168,756,599</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168,756,599</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99,481</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99,870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90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182,772,372</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jc w:val="right"/>
              <w:spacing w:after="0" w:line="194" w:lineRule="exact"/>
              <w:rPr>
                <w:sz w:val="20"/>
                <w:szCs w:val="20"/>
                <w:color w:val="auto"/>
              </w:rPr>
            </w:pPr>
            <w:r>
              <w:rPr>
                <w:rFonts w:ascii="Arial" w:cs="Arial" w:eastAsia="Arial" w:hAnsi="Arial"/>
                <w:sz w:val="17"/>
                <w:szCs w:val="17"/>
                <w:color w:val="auto"/>
              </w:rPr>
              <w:t>182,772,372</w:t>
            </w:r>
          </w:p>
        </w:tc>
        <w:tc>
          <w:tcPr>
            <w:tcW w:w="360" w:type="dxa"/>
            <w:vAlign w:val="bottom"/>
          </w:tcPr>
          <w:p>
            <w:pPr>
              <w:spacing w:after="0"/>
              <w:rPr>
                <w:sz w:val="16"/>
                <w:szCs w:val="16"/>
                <w:color w:val="auto"/>
              </w:rPr>
            </w:pPr>
          </w:p>
        </w:tc>
        <w:tc>
          <w:tcPr>
            <w:tcW w:w="12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60"/>
              <w:spacing w:after="0" w:line="194" w:lineRule="exact"/>
              <w:rPr>
                <w:sz w:val="20"/>
                <w:szCs w:val="20"/>
                <w:color w:val="auto"/>
              </w:rPr>
            </w:pPr>
            <w:r>
              <w:rPr>
                <w:rFonts w:ascii="Arial" w:cs="Arial" w:eastAsia="Arial" w:hAnsi="Arial"/>
                <w:sz w:val="17"/>
                <w:szCs w:val="17"/>
                <w:color w:val="auto"/>
              </w:rPr>
              <w:t>139,576</w:t>
            </w:r>
          </w:p>
        </w:tc>
        <w:tc>
          <w:tcPr>
            <w:tcW w:w="24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139,338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9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In October 2020, the Company issued 135,180,800 shares of Series C redeemable convertible preferred stock for a purchase price of $0.5918 per share, payable in cash. Gross proceeds to the Company were $80,000. The Series C redeemable convertible preferred stock financing triggered the automatic conversion of the Company’s outstanding convertible notes into 11,404,246 shares of Series C redeemable convertible preferred stock based on price of $0.5030 per share (85% of the $0.5918 original issuance price of the Series C redeemable convertible preferred stock). In addition, the Company issued 22,171,553 shares of Series C redeemable convertible preferred stock to Ares Trading S.A. (“Ares”), an affiliate of Merck KGaA, Darmstadt, Germany, as the initial payment for the Company’s license of atacicept from Ares (see Note 9).</w:t>
      </w:r>
    </w:p>
    <w:p>
      <w:pPr>
        <w:spacing w:after="0" w:line="145" w:lineRule="exact"/>
        <w:rPr>
          <w:sz w:val="20"/>
          <w:szCs w:val="20"/>
          <w:color w:val="auto"/>
        </w:rPr>
      </w:pPr>
    </w:p>
    <w:p>
      <w:pPr>
        <w:ind w:left="160" w:right="400"/>
        <w:spacing w:after="0" w:line="269" w:lineRule="auto"/>
        <w:rPr>
          <w:sz w:val="20"/>
          <w:szCs w:val="20"/>
          <w:color w:val="auto"/>
        </w:rPr>
      </w:pPr>
      <w:r>
        <w:rPr>
          <w:rFonts w:ascii="Arial" w:cs="Arial" w:eastAsia="Arial" w:hAnsi="Arial"/>
          <w:sz w:val="16"/>
          <w:szCs w:val="16"/>
          <w:color w:val="auto"/>
        </w:rPr>
        <w:t>The holders of the Series Seed, Seed-1, A, B, and C redeemable convertible preferred stock (together the “redeemable convertible preferred stock”) have various rights, preferences, privileges, and restrictions, with respect to voting, dividends, liquidation, and conversion as follows:</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Voting</w:t>
      </w:r>
    </w:p>
    <w:p>
      <w:pPr>
        <w:spacing w:after="0" w:line="39" w:lineRule="exact"/>
        <w:rPr>
          <w:sz w:val="20"/>
          <w:szCs w:val="20"/>
          <w:color w:val="auto"/>
        </w:rPr>
      </w:pPr>
    </w:p>
    <w:p>
      <w:pPr>
        <w:ind w:left="160" w:right="120"/>
        <w:spacing w:after="0" w:line="250" w:lineRule="auto"/>
        <w:rPr>
          <w:sz w:val="20"/>
          <w:szCs w:val="20"/>
          <w:color w:val="auto"/>
        </w:rPr>
      </w:pPr>
      <w:r>
        <w:rPr>
          <w:rFonts w:ascii="Arial" w:cs="Arial" w:eastAsia="Arial" w:hAnsi="Arial"/>
          <w:sz w:val="16"/>
          <w:szCs w:val="16"/>
          <w:color w:val="auto"/>
        </w:rPr>
        <w:t>On any matter presented to the stockholders of the Company for their action or consideration at any meeting of stockholders of the Company (or by written consent of stockholders in lieu of meeting), each holder of outstanding shares of redeemable convertible preferred stock is entitled to cast the number of votes equal to the number of whole shares of common stock into which the shares of redeemable convertible preferred stock held by such holder are convertible as of the record date for determining stockholders entitled to vote on such matter. Holders of redeemable convertible preferred stock may vote, on an as-converted basis, together with the holders of Class A common stock as a single class.</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Dividends</w:t>
      </w:r>
    </w:p>
    <w:p>
      <w:pPr>
        <w:spacing w:after="0" w:line="39" w:lineRule="exact"/>
        <w:rPr>
          <w:sz w:val="20"/>
          <w:szCs w:val="20"/>
          <w:color w:val="auto"/>
        </w:rPr>
      </w:pPr>
    </w:p>
    <w:p>
      <w:pPr>
        <w:ind w:left="160" w:right="80"/>
        <w:spacing w:after="0" w:line="231" w:lineRule="auto"/>
        <w:rPr>
          <w:sz w:val="20"/>
          <w:szCs w:val="20"/>
          <w:color w:val="auto"/>
        </w:rPr>
      </w:pPr>
      <w:r>
        <w:rPr>
          <w:rFonts w:ascii="Arial" w:cs="Arial" w:eastAsia="Arial" w:hAnsi="Arial"/>
          <w:sz w:val="17"/>
          <w:szCs w:val="17"/>
          <w:color w:val="auto"/>
        </w:rPr>
        <w:t>Through December 31, 2020, no dividends have been authorized, declared, or paid. The Company may not declare, pay or set aside any dividends on any other class or series of capital stock (other than dividends on shares of common stock payable in shares of common stock) unless the holders of redeemable convertible preferred stock then outstanding first or simultaneously receive a dividend on each outstanding share of redeemable convertible preferred stock in an amount at least equal to (a) in the case of a dividend on common stock or any class or series that is convertible into common stock, that dividend per share to equal the product of (i) the dividend payable on each share of such class or series determined, if applicable, as if all shares of such class or series had been converted into common stock and (ii) the number of shares of common stock issuable upon conversion of such share of redeemable convertible preferred stock, in each case calculated on the record date for determination of holders entitled to receive such dividend or (b) in the case of a dividend on any class or series that is not convertible into common stock, at a rate per share determined by (i) dividing the amount of the dividend payable on each share of such class or series of capital stock by the Original Issuance Price of such class or series of capital stock (subject to</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080"/>
          </w:cols>
          <w:pgMar w:left="320" w:top="456"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jc w:val="center"/>
        <w:ind w:right="-17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p>
      <w:pPr>
        <w:ind w:left="160" w:right="60"/>
        <w:spacing w:after="0" w:line="234" w:lineRule="auto"/>
        <w:rPr>
          <w:sz w:val="20"/>
          <w:szCs w:val="20"/>
          <w:color w:val="auto"/>
        </w:rPr>
      </w:pPr>
      <w:r>
        <w:rPr>
          <w:rFonts w:ascii="Arial" w:cs="Arial" w:eastAsia="Arial" w:hAnsi="Arial"/>
          <w:sz w:val="17"/>
          <w:szCs w:val="17"/>
          <w:color w:val="auto"/>
        </w:rPr>
        <w:t>appropriate adjustment in the event of any stock dividend, stock split, combination or other similar recapitalization with respect to such class or series) and (ii) multiplying this fraction by an amount equal to the applicable original issue price; provided that, if the Company declares, pays or sets aside, on the same date, a dividend payable to the holders of redeemable convertible preferred stock is calculated based on the dividend on the class or series of capital stock that would result in the highest preferred stock dividend.</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Conversion</w:t>
      </w:r>
    </w:p>
    <w:p>
      <w:pPr>
        <w:spacing w:after="0" w:line="39" w:lineRule="exact"/>
        <w:rPr>
          <w:sz w:val="20"/>
          <w:szCs w:val="20"/>
          <w:color w:val="auto"/>
        </w:rPr>
      </w:pPr>
    </w:p>
    <w:p>
      <w:pPr>
        <w:ind w:left="160" w:right="20"/>
        <w:spacing w:after="0" w:line="232" w:lineRule="auto"/>
        <w:rPr>
          <w:sz w:val="20"/>
          <w:szCs w:val="20"/>
          <w:color w:val="auto"/>
        </w:rPr>
      </w:pPr>
      <w:r>
        <w:rPr>
          <w:rFonts w:ascii="Arial" w:cs="Arial" w:eastAsia="Arial" w:hAnsi="Arial"/>
          <w:sz w:val="17"/>
          <w:szCs w:val="17"/>
          <w:color w:val="auto"/>
        </w:rPr>
        <w:t>Each share of redeemable convertible preferred stock is convertible, at the option of the holder, at any time and from time to time, and without the payment of additional consideration by the holder, into such number of fully paid and nonassessable shares of common stock as is determined by dividing the applicable original issue price by the applicable preferred stock conversion price in effect at the time of conversion. The preferred stock conversion price for each share of redeemable convertible preferred stock is initially equal to the original issue price applicable to such share. Each such initial preferred stock conversion price, and the rate at which shares of redeemable convertible preferred stock may be converted into shares of common stock, is subject to adjustment. No fractional shares of common stock will be issued upon conversion of redeemable convertible preferred stock. In lieu of any fractional shares, the Company will pay cash equal to the fraction multiplied by the fair market value of a share of common stock.</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Liquidation Preference</w:t>
      </w:r>
    </w:p>
    <w:p>
      <w:pPr>
        <w:spacing w:after="0" w:line="39" w:lineRule="exact"/>
        <w:rPr>
          <w:sz w:val="20"/>
          <w:szCs w:val="20"/>
          <w:color w:val="auto"/>
        </w:rPr>
      </w:pPr>
    </w:p>
    <w:p>
      <w:pPr>
        <w:ind w:left="160" w:right="80"/>
        <w:spacing w:after="0" w:line="232" w:lineRule="auto"/>
        <w:rPr>
          <w:sz w:val="20"/>
          <w:szCs w:val="20"/>
          <w:color w:val="auto"/>
        </w:rPr>
      </w:pPr>
      <w:r>
        <w:rPr>
          <w:rFonts w:ascii="Arial" w:cs="Arial" w:eastAsia="Arial" w:hAnsi="Arial"/>
          <w:sz w:val="17"/>
          <w:szCs w:val="17"/>
          <w:color w:val="auto"/>
        </w:rPr>
        <w:t>In the event of any voluntary or involuntary liquidation, dissolution or winding up of the Company, the holders of shares of Series C redeemable convertible preferred stock then outstanding are entitled to be paid out of the assets of the Company available for distribution to its stockholders, before any payment shall be made to the holders of Series Seed, Series Seed-1, Series A, and Series B redeemable convertible preferred stock, equal to one times the original issue price of the Series C redeemable convertible preferred stock. If upon any such liquidation, dissolution or winding up of the Company the assets of the Company available for distribution to its stockholders are insufficient to pay the holders of shares of Series C redeemable convertible preferred stock the full amount to which they shall be entitled, such holders will share ratably in any distribution of the assets available for distribution in proportion to the respective amounts that would otherwise be payable in respect of the shares of Series C redeemable convertible preferred stock held by them upon such distribution if all amounts payable on or with respect to such shares were paid in full.</w:t>
      </w:r>
    </w:p>
    <w:p>
      <w:pPr>
        <w:spacing w:after="0" w:line="145" w:lineRule="exact"/>
        <w:rPr>
          <w:sz w:val="20"/>
          <w:szCs w:val="20"/>
          <w:color w:val="auto"/>
        </w:rPr>
      </w:pPr>
    </w:p>
    <w:p>
      <w:pPr>
        <w:ind w:left="160" w:right="40"/>
        <w:spacing w:after="0" w:line="231" w:lineRule="auto"/>
        <w:rPr>
          <w:sz w:val="20"/>
          <w:szCs w:val="20"/>
          <w:color w:val="auto"/>
        </w:rPr>
      </w:pPr>
      <w:r>
        <w:rPr>
          <w:rFonts w:ascii="Arial" w:cs="Arial" w:eastAsia="Arial" w:hAnsi="Arial"/>
          <w:sz w:val="17"/>
          <w:szCs w:val="17"/>
          <w:color w:val="auto"/>
        </w:rPr>
        <w:t>Thereafter, the holders of Series Seed, Series Seed-1, Series A and Series B redeemable convertible preferred stock then outstanding are entitled to be paid out of the assets of the Company available for distribution to its stockholders, before any payment shall be made to the holders of common stock, an amount per share equal to the greater of (i) one times the applicable original issue price, plus any dividends declared but unpaid thereon, or (ii) such amount per share as would have been payable had all shares of such series of redeemable convertible preferred stock been converted into common stock immediately prior to such liquidation, dissolution, or winding up. If upon any such liquidation, dissolution or winding up of the Company the assets of the Company available for distribution to its stockholders are insufficient to pay the holders of shares of redeemable convertible preferred stock the full amount to which they shall be entitled, the holders of shares of Series Seed, Series Seed-1, Series A, and Series B redeemable convertible preferred stock will share ratably in any distribution of the assets available for distribution in proportion to the respective amounts that would otherwise be payable in respect of the shares held by them upon such distribution if all amounts payable on or with respect to such shares were paid in full.</w:t>
      </w:r>
    </w:p>
    <w:p>
      <w:pPr>
        <w:spacing w:after="0" w:line="151"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After the payment of all preferential amounts required to be paid to the holders of shares of redeemable convertible preferred stock, the remaining assets of the Company available for distribution to its stockholders will be distributed among the holders of shares of Series C redeemable convertible preferred stock and common stock, pro rata based on the number of shares held by each such holder on an as-converted basis.</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Redemption</w:t>
      </w:r>
    </w:p>
    <w:p>
      <w:pPr>
        <w:spacing w:after="0" w:line="39" w:lineRule="exact"/>
        <w:rPr>
          <w:sz w:val="20"/>
          <w:szCs w:val="20"/>
          <w:color w:val="auto"/>
        </w:rPr>
      </w:pPr>
    </w:p>
    <w:p>
      <w:pPr>
        <w:jc w:val="both"/>
        <w:ind w:left="160" w:right="580"/>
        <w:spacing w:after="0" w:line="236" w:lineRule="auto"/>
        <w:rPr>
          <w:sz w:val="20"/>
          <w:szCs w:val="20"/>
          <w:color w:val="auto"/>
        </w:rPr>
      </w:pPr>
      <w:r>
        <w:rPr>
          <w:rFonts w:ascii="Arial" w:cs="Arial" w:eastAsia="Arial" w:hAnsi="Arial"/>
          <w:sz w:val="17"/>
          <w:szCs w:val="17"/>
          <w:color w:val="auto"/>
        </w:rPr>
        <w:t>The holders of the Company’s redeemable convertible preferred stock have no rights to cause the redemption of their shares outside of a liquidation or winding up of the Company, a change in control, or a sale of substantially all of the Company’s assets (a “deemed liquidation event”). A deemed liquidation event would constitute a redemption event</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060"/>
          </w:cols>
          <w:pgMar w:left="320" w:top="456" w:right="5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jc w:val="center"/>
        <w:ind w:right="-15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p>
      <w:pPr>
        <w:ind w:left="160" w:right="160"/>
        <w:spacing w:after="0" w:line="233" w:lineRule="auto"/>
        <w:rPr>
          <w:sz w:val="20"/>
          <w:szCs w:val="20"/>
          <w:color w:val="auto"/>
        </w:rPr>
      </w:pPr>
      <w:r>
        <w:rPr>
          <w:rFonts w:ascii="Arial" w:cs="Arial" w:eastAsia="Arial" w:hAnsi="Arial"/>
          <w:sz w:val="17"/>
          <w:szCs w:val="17"/>
          <w:color w:val="auto"/>
        </w:rPr>
        <w:t>that may be outside of the Company’s control as a result of the preferred stockholders’ control of the Company’s board of directors. Accordingly, the redeemable convertible preferred shares are considered contingently redeemable and are classified as temporary equity on the balance sheets. The carrying value of the redeemable convertible preferred stock has not been adjusted to its redemption value as redemption was not probable as of the balance sheet dates presented. The carrying value of the redeemable convertible preferred stock will be adjusted to its redemption value in the future, if redemption becomes probable.</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Classification</w:t>
      </w:r>
    </w:p>
    <w:p>
      <w:pPr>
        <w:spacing w:after="0" w:line="39" w:lineRule="exact"/>
        <w:rPr>
          <w:sz w:val="20"/>
          <w:szCs w:val="20"/>
          <w:color w:val="auto"/>
        </w:rPr>
      </w:pPr>
    </w:p>
    <w:p>
      <w:pPr>
        <w:ind w:left="160" w:right="40"/>
        <w:spacing w:after="0" w:line="234" w:lineRule="auto"/>
        <w:rPr>
          <w:sz w:val="20"/>
          <w:szCs w:val="20"/>
          <w:color w:val="auto"/>
        </w:rPr>
      </w:pPr>
      <w:r>
        <w:rPr>
          <w:rFonts w:ascii="Arial" w:cs="Arial" w:eastAsia="Arial" w:hAnsi="Arial"/>
          <w:sz w:val="17"/>
          <w:szCs w:val="17"/>
          <w:color w:val="auto"/>
        </w:rPr>
        <w:t>The Company has classified its redeemable convertible preferred stock separate from total stockholders’ deficit in the balance sheets as the redeemable convertible preferred shares are contingently redeemable upon a deemed liquidation event and in that event there is no guarantee that all stockholders would be entitled to receive the same form of consideration. No accretion to redemption value was recorded during the years ended December 31, 2019 and 2020 as a deemed liquidation event was not considered probable.</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6. COMMON STOCK</w:t>
      </w:r>
    </w:p>
    <w:p>
      <w:pPr>
        <w:spacing w:after="0" w:line="91" w:lineRule="exact"/>
        <w:rPr>
          <w:sz w:val="20"/>
          <w:szCs w:val="20"/>
          <w:color w:val="auto"/>
        </w:rPr>
      </w:pPr>
    </w:p>
    <w:p>
      <w:pPr>
        <w:ind w:left="160" w:right="40"/>
        <w:spacing w:after="0" w:line="233" w:lineRule="auto"/>
        <w:rPr>
          <w:sz w:val="20"/>
          <w:szCs w:val="20"/>
          <w:color w:val="auto"/>
        </w:rPr>
      </w:pPr>
      <w:r>
        <w:rPr>
          <w:rFonts w:ascii="Arial" w:cs="Arial" w:eastAsia="Arial" w:hAnsi="Arial"/>
          <w:sz w:val="17"/>
          <w:szCs w:val="17"/>
          <w:color w:val="auto"/>
        </w:rPr>
        <w:t>As of December 31, 2020, the Company’s certificate of incorporation, as amended and restated, authorized the Company to issue 273,986,920 shares of Class A common stock and 21,593,607 shares of Class B common stock, each with a par value of $0.001 per share. Each share of Class A common stock entitles the holder to one vote on all matters submitted to a vote of the Company’s stockholders. Class B common stock is non-voting. The holders of Class A common stock, voting exclusively and as a separate class, have the exclusive right to vote for the election of one director of the Company. Class A common stockholders and holders of Class B common stock are entitled to receive dividends, as may be declared by the board of directors. Through December 31, 2020, no cash dividends had been declared or paid.</w:t>
      </w:r>
    </w:p>
    <w:p>
      <w:pPr>
        <w:spacing w:after="0" w:line="182" w:lineRule="exact"/>
        <w:rPr>
          <w:sz w:val="20"/>
          <w:szCs w:val="20"/>
          <w:color w:val="auto"/>
        </w:rPr>
      </w:pPr>
    </w:p>
    <w:p>
      <w:pPr>
        <w:ind w:left="160" w:right="8600" w:firstLine="7"/>
        <w:spacing w:after="0" w:line="314" w:lineRule="auto"/>
        <w:tabs>
          <w:tab w:leader="none" w:pos="358"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 COMPENSATION </w:t>
      </w:r>
      <w:r>
        <w:rPr>
          <w:rFonts w:ascii="Arial" w:cs="Arial" w:eastAsia="Arial" w:hAnsi="Arial"/>
          <w:sz w:val="15"/>
          <w:szCs w:val="15"/>
          <w:b w:val="1"/>
          <w:bCs w:val="1"/>
          <w:i w:val="1"/>
          <w:iCs w:val="1"/>
          <w:color w:val="auto"/>
        </w:rPr>
        <w:t>2017 Equity Incentive Plan</w:t>
      </w:r>
    </w:p>
    <w:p>
      <w:pPr>
        <w:ind w:left="160" w:right="100"/>
        <w:spacing w:after="0" w:line="233" w:lineRule="auto"/>
        <w:rPr>
          <w:sz w:val="20"/>
          <w:szCs w:val="20"/>
          <w:color w:val="auto"/>
        </w:rPr>
      </w:pPr>
      <w:r>
        <w:rPr>
          <w:rFonts w:ascii="Arial" w:cs="Arial" w:eastAsia="Arial" w:hAnsi="Arial"/>
          <w:sz w:val="17"/>
          <w:szCs w:val="17"/>
          <w:color w:val="auto"/>
        </w:rPr>
        <w:t>In 2017, the Company’s Board of Directors adopted the Vera Therapeutics, Inc. 2017 Equity Incentive Plan, which provides for the grant of qualified stock options, nonqualified stock options and other awards, including restricted stock awards, to the Company’s employees, directors, and consultants to purchase up to 286,578 shares of the Company’s Class A common stock. The grants of stock options and restricted stock awards generally vest either (i) over a four-year period, with 25% vesting on the first anniversary of the grant date and on a ratable monthly basis thereafter for the following three years, or (ii) on a ratable monthly basis over a three-year period and expire ten years from the date of grant. Certain awards provide for accelerated vesting upon a change of control, as defined in the 2017 Equity Incentive Plan.</w:t>
      </w:r>
    </w:p>
    <w:p>
      <w:pPr>
        <w:spacing w:after="0" w:line="145" w:lineRule="exact"/>
        <w:rPr>
          <w:sz w:val="20"/>
          <w:szCs w:val="20"/>
          <w:color w:val="auto"/>
        </w:rPr>
      </w:pPr>
    </w:p>
    <w:p>
      <w:pPr>
        <w:ind w:left="160" w:right="100"/>
        <w:spacing w:after="0" w:line="236" w:lineRule="auto"/>
        <w:rPr>
          <w:sz w:val="20"/>
          <w:szCs w:val="20"/>
          <w:color w:val="auto"/>
        </w:rPr>
      </w:pPr>
      <w:r>
        <w:rPr>
          <w:rFonts w:ascii="Arial" w:cs="Arial" w:eastAsia="Arial" w:hAnsi="Arial"/>
          <w:sz w:val="17"/>
          <w:szCs w:val="17"/>
          <w:color w:val="auto"/>
        </w:rPr>
        <w:t>In 2020, the Company’s Board of Directors voted to amend the 2017 Equity Incentive Plan to increase the aggregate authorized number of Class A common stock to be 3,052,169 shares. No other changes were made to the 2017 Equity Incentive Plan. As of December 31, 2020, there were 1,150,088 shares available for future grant under the 2017 Equity Incentive Plan.</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52" w:lineRule="exact"/>
        <w:rPr>
          <w:sz w:val="20"/>
          <w:szCs w:val="20"/>
          <w:color w:val="auto"/>
        </w:rPr>
      </w:pPr>
    </w:p>
    <w:p>
      <w:pPr>
        <w:ind w:left="160" w:right="120"/>
        <w:spacing w:after="0" w:line="236" w:lineRule="auto"/>
        <w:rPr>
          <w:sz w:val="20"/>
          <w:szCs w:val="20"/>
          <w:color w:val="auto"/>
        </w:rPr>
      </w:pPr>
      <w:r>
        <w:rPr>
          <w:rFonts w:ascii="Arial" w:cs="Arial" w:eastAsia="Arial" w:hAnsi="Arial"/>
          <w:sz w:val="17"/>
          <w:szCs w:val="17"/>
          <w:color w:val="auto"/>
        </w:rPr>
        <w:t>The following tables summarize the stock-based compensation expense for stock options and restricted stock awards granted to employees and nonemployees that was recorded in the Company’s statements of operations and comprehensive loss for the years ended December 31,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4"/>
        </w:trPr>
        <w:tc>
          <w:tcPr>
            <w:tcW w:w="43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1"/>
        </w:trPr>
        <w:tc>
          <w:tcPr>
            <w:tcW w:w="434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Research and development</w:t>
            </w:r>
          </w:p>
        </w:tc>
        <w:tc>
          <w:tcPr>
            <w:tcW w:w="38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462"/>
              <w:spacing w:after="0" w:line="180" w:lineRule="exact"/>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40</w:t>
            </w:r>
          </w:p>
        </w:tc>
        <w:tc>
          <w:tcPr>
            <w:tcW w:w="4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4</w:t>
            </w:r>
          </w:p>
        </w:tc>
        <w:tc>
          <w:tcPr>
            <w:tcW w:w="40" w:type="dxa"/>
            <w:vAlign w:val="bottom"/>
            <w:tcBorders>
              <w:top w:val="single" w:sz="8" w:color="CCEEFF"/>
            </w:tcBorders>
            <w:shd w:val="clear" w:color="auto" w:fill="CCEEFF"/>
          </w:tcPr>
          <w:p>
            <w:pPr>
              <w:spacing w:after="0"/>
              <w:rPr>
                <w:sz w:val="15"/>
                <w:szCs w:val="15"/>
                <w:color w:val="auto"/>
              </w:rPr>
            </w:pPr>
          </w:p>
        </w:tc>
      </w:tr>
      <w:tr>
        <w:trPr>
          <w:trHeight w:val="187"/>
        </w:trPr>
        <w:tc>
          <w:tcPr>
            <w:tcW w:w="4340" w:type="dxa"/>
            <w:vAlign w:val="bottom"/>
          </w:tcPr>
          <w:p>
            <w:pPr>
              <w:spacing w:after="0" w:line="187" w:lineRule="exact"/>
              <w:rPr>
                <w:sz w:val="20"/>
                <w:szCs w:val="20"/>
                <w:color w:val="auto"/>
              </w:rPr>
            </w:pPr>
            <w:r>
              <w:rPr>
                <w:rFonts w:ascii="Arial" w:cs="Arial" w:eastAsia="Arial" w:hAnsi="Arial"/>
                <w:sz w:val="17"/>
                <w:szCs w:val="17"/>
                <w:color w:val="auto"/>
              </w:rPr>
              <w:t>General and administrative</w:t>
            </w:r>
          </w:p>
        </w:tc>
        <w:tc>
          <w:tcPr>
            <w:tcW w:w="3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gridSpan w:val="2"/>
          </w:tcPr>
          <w:p>
            <w:pPr>
              <w:jc w:val="right"/>
              <w:ind w:right="400"/>
              <w:spacing w:after="0" w:line="187" w:lineRule="exact"/>
              <w:rPr>
                <w:sz w:val="20"/>
                <w:szCs w:val="20"/>
                <w:color w:val="auto"/>
              </w:rPr>
            </w:pPr>
            <w:r>
              <w:rPr>
                <w:rFonts w:ascii="Arial" w:cs="Arial" w:eastAsia="Arial" w:hAnsi="Arial"/>
                <w:sz w:val="17"/>
                <w:szCs w:val="17"/>
                <w:color w:val="auto"/>
                <w:w w:val="91"/>
              </w:rPr>
              <w:t>223</w:t>
            </w: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jc w:val="right"/>
              <w:spacing w:after="0" w:line="187" w:lineRule="exact"/>
              <w:rPr>
                <w:sz w:val="20"/>
                <w:szCs w:val="20"/>
                <w:color w:val="auto"/>
              </w:rPr>
            </w:pPr>
            <w:r>
              <w:rPr>
                <w:rFonts w:ascii="Arial" w:cs="Arial" w:eastAsia="Arial" w:hAnsi="Arial"/>
                <w:sz w:val="17"/>
                <w:szCs w:val="17"/>
                <w:color w:val="auto"/>
                <w:w w:val="98"/>
              </w:rPr>
              <w:t>327</w:t>
            </w:r>
          </w:p>
        </w:tc>
        <w:tc>
          <w:tcPr>
            <w:tcW w:w="40" w:type="dxa"/>
            <w:vAlign w:val="bottom"/>
          </w:tcPr>
          <w:p>
            <w:pPr>
              <w:spacing w:after="0"/>
              <w:rPr>
                <w:sz w:val="16"/>
                <w:szCs w:val="16"/>
                <w:color w:val="auto"/>
              </w:rPr>
            </w:pPr>
          </w:p>
        </w:tc>
      </w:tr>
      <w:tr>
        <w:trPr>
          <w:trHeight w:val="27"/>
        </w:trPr>
        <w:tc>
          <w:tcPr>
            <w:tcW w:w="43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87"/>
        </w:trPr>
        <w:tc>
          <w:tcPr>
            <w:tcW w:w="4340" w:type="dxa"/>
            <w:vAlign w:val="bottom"/>
            <w:shd w:val="clear" w:color="auto" w:fill="CCEEFF"/>
          </w:tcPr>
          <w:p>
            <w:pPr>
              <w:ind w:left="260"/>
              <w:spacing w:after="0" w:line="187" w:lineRule="exact"/>
              <w:rPr>
                <w:sz w:val="20"/>
                <w:szCs w:val="20"/>
                <w:color w:val="auto"/>
              </w:rPr>
            </w:pPr>
            <w:r>
              <w:rPr>
                <w:rFonts w:ascii="Arial" w:cs="Arial" w:eastAsia="Arial" w:hAnsi="Arial"/>
                <w:sz w:val="17"/>
                <w:szCs w:val="17"/>
                <w:color w:val="auto"/>
              </w:rPr>
              <w:t>Total stock-based compensation expense</w:t>
            </w:r>
          </w:p>
        </w:tc>
        <w:tc>
          <w:tcPr>
            <w:tcW w:w="38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62"/>
              <w:spacing w:after="0" w:line="187"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w w:val="91"/>
              </w:rPr>
              <w:t>263</w:t>
            </w:r>
          </w:p>
        </w:tc>
        <w:tc>
          <w:tcPr>
            <w:tcW w:w="1060" w:type="dxa"/>
            <w:vAlign w:val="bottom"/>
            <w:gridSpan w:val="2"/>
            <w:shd w:val="clear" w:color="auto" w:fill="CCEEFF"/>
          </w:tcPr>
          <w:p>
            <w:pPr>
              <w:jc w:val="right"/>
              <w:ind w:right="486"/>
              <w:spacing w:after="0" w:line="187"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98"/>
              </w:rPr>
              <w:t>331</w:t>
            </w:r>
          </w:p>
        </w:tc>
        <w:tc>
          <w:tcPr>
            <w:tcW w:w="40" w:type="dxa"/>
            <w:vAlign w:val="bottom"/>
            <w:shd w:val="clear" w:color="auto" w:fill="CCEEFF"/>
          </w:tcPr>
          <w:p>
            <w:pPr>
              <w:spacing w:after="0"/>
              <w:rPr>
                <w:sz w:val="16"/>
                <w:szCs w:val="16"/>
                <w:color w:val="auto"/>
              </w:rPr>
            </w:pPr>
          </w:p>
        </w:tc>
      </w:tr>
      <w:tr>
        <w:trPr>
          <w:trHeight w:val="20"/>
        </w:trPr>
        <w:tc>
          <w:tcPr>
            <w:tcW w:w="43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6"/>
        </w:trPr>
        <w:tc>
          <w:tcPr>
            <w:tcW w:w="4340" w:type="dxa"/>
            <w:vAlign w:val="bottom"/>
          </w:tcPr>
          <w:p>
            <w:pPr>
              <w:spacing w:after="0"/>
              <w:rPr>
                <w:sz w:val="24"/>
                <w:szCs w:val="24"/>
                <w:color w:val="auto"/>
              </w:rPr>
            </w:pPr>
          </w:p>
        </w:tc>
        <w:tc>
          <w:tcPr>
            <w:tcW w:w="4500" w:type="dxa"/>
            <w:vAlign w:val="bottom"/>
            <w:gridSpan w:val="2"/>
          </w:tcPr>
          <w:p>
            <w:pPr>
              <w:jc w:val="right"/>
              <w:ind w:right="3142"/>
              <w:spacing w:after="0"/>
              <w:rPr>
                <w:sz w:val="20"/>
                <w:szCs w:val="20"/>
                <w:color w:val="auto"/>
              </w:rPr>
            </w:pPr>
            <w:r>
              <w:rPr>
                <w:rFonts w:ascii="Arial" w:cs="Arial" w:eastAsia="Arial" w:hAnsi="Arial"/>
                <w:sz w:val="16"/>
                <w:szCs w:val="16"/>
                <w:color w:val="auto"/>
              </w:rPr>
              <w:t>F-18</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jc w:val="center"/>
        <w:ind w:right="-15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2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2019</w:t>
            </w:r>
          </w:p>
        </w:tc>
        <w:tc>
          <w:tcPr>
            <w:tcW w:w="7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57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Employees</w:t>
            </w:r>
          </w:p>
        </w:tc>
        <w:tc>
          <w:tcPr>
            <w:tcW w:w="260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780"/>
              <w:spacing w:after="0" w:line="187" w:lineRule="exact"/>
              <w:rPr>
                <w:sz w:val="20"/>
                <w:szCs w:val="20"/>
                <w:color w:val="auto"/>
              </w:rPr>
            </w:pPr>
            <w:r>
              <w:rPr>
                <w:rFonts w:ascii="Arial" w:cs="Arial" w:eastAsia="Arial" w:hAnsi="Arial"/>
                <w:sz w:val="17"/>
                <w:szCs w:val="17"/>
                <w:color w:val="auto"/>
              </w:rPr>
              <w:t>233</w:t>
            </w:r>
          </w:p>
        </w:tc>
        <w:tc>
          <w:tcPr>
            <w:tcW w:w="740" w:type="dxa"/>
            <w:vAlign w:val="bottom"/>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91"/>
              </w:rPr>
              <w:t>321</w:t>
            </w:r>
          </w:p>
        </w:tc>
        <w:tc>
          <w:tcPr>
            <w:tcW w:w="4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720" w:type="dxa"/>
            <w:vAlign w:val="bottom"/>
          </w:tcPr>
          <w:p>
            <w:pPr>
              <w:spacing w:after="0" w:line="187" w:lineRule="exact"/>
              <w:rPr>
                <w:sz w:val="20"/>
                <w:szCs w:val="20"/>
                <w:color w:val="auto"/>
              </w:rPr>
            </w:pPr>
            <w:r>
              <w:rPr>
                <w:rFonts w:ascii="Arial" w:cs="Arial" w:eastAsia="Arial" w:hAnsi="Arial"/>
                <w:sz w:val="17"/>
                <w:szCs w:val="17"/>
                <w:color w:val="auto"/>
              </w:rPr>
              <w:t>Nonemployees</w:t>
            </w:r>
          </w:p>
        </w:tc>
        <w:tc>
          <w:tcPr>
            <w:tcW w:w="2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line="187" w:lineRule="exact"/>
              <w:rPr>
                <w:sz w:val="20"/>
                <w:szCs w:val="20"/>
                <w:color w:val="auto"/>
              </w:rPr>
            </w:pPr>
            <w:r>
              <w:rPr>
                <w:rFonts w:ascii="Arial" w:cs="Arial" w:eastAsia="Arial" w:hAnsi="Arial"/>
                <w:sz w:val="17"/>
                <w:szCs w:val="17"/>
                <w:color w:val="auto"/>
              </w:rPr>
              <w:t>30</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10</w:t>
            </w: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87"/>
        </w:trPr>
        <w:tc>
          <w:tcPr>
            <w:tcW w:w="20" w:type="dxa"/>
            <w:vAlign w:val="bottom"/>
          </w:tcPr>
          <w:p>
            <w:pPr>
              <w:spacing w:after="0"/>
              <w:rPr>
                <w:sz w:val="16"/>
                <w:szCs w:val="16"/>
                <w:color w:val="auto"/>
              </w:rPr>
            </w:pPr>
          </w:p>
        </w:tc>
        <w:tc>
          <w:tcPr>
            <w:tcW w:w="5720" w:type="dxa"/>
            <w:vAlign w:val="bottom"/>
            <w:shd w:val="clear" w:color="auto" w:fill="CCEEFF"/>
          </w:tcPr>
          <w:p>
            <w:pPr>
              <w:ind w:left="240"/>
              <w:spacing w:after="0" w:line="187" w:lineRule="exact"/>
              <w:rPr>
                <w:sz w:val="20"/>
                <w:szCs w:val="20"/>
                <w:color w:val="auto"/>
              </w:rPr>
            </w:pPr>
            <w:r>
              <w:rPr>
                <w:rFonts w:ascii="Arial" w:cs="Arial" w:eastAsia="Arial" w:hAnsi="Arial"/>
                <w:sz w:val="17"/>
                <w:szCs w:val="17"/>
                <w:color w:val="auto"/>
              </w:rPr>
              <w:t>Total stock-based compensation expense</w:t>
            </w:r>
          </w:p>
        </w:tc>
        <w:tc>
          <w:tcPr>
            <w:tcW w:w="2600" w:type="dxa"/>
            <w:vAlign w:val="bottom"/>
            <w:gridSpan w:val="2"/>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780"/>
              <w:spacing w:after="0" w:line="187" w:lineRule="exact"/>
              <w:rPr>
                <w:sz w:val="20"/>
                <w:szCs w:val="20"/>
                <w:color w:val="auto"/>
              </w:rPr>
            </w:pPr>
            <w:r>
              <w:rPr>
                <w:rFonts w:ascii="Arial" w:cs="Arial" w:eastAsia="Arial" w:hAnsi="Arial"/>
                <w:sz w:val="17"/>
                <w:szCs w:val="17"/>
                <w:color w:val="auto"/>
              </w:rPr>
              <w:t>263</w:t>
            </w:r>
          </w:p>
        </w:tc>
        <w:tc>
          <w:tcPr>
            <w:tcW w:w="740" w:type="dxa"/>
            <w:vAlign w:val="bottom"/>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w w:val="91"/>
              </w:rPr>
              <w:t>331</w:t>
            </w:r>
          </w:p>
        </w:tc>
        <w:tc>
          <w:tcPr>
            <w:tcW w:w="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7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bl>
    <w:p>
      <w:pPr>
        <w:spacing w:after="0" w:line="154" w:lineRule="exact"/>
        <w:rPr>
          <w:sz w:val="20"/>
          <w:szCs w:val="20"/>
          <w:color w:val="auto"/>
        </w:rPr>
      </w:pPr>
    </w:p>
    <w:p>
      <w:pPr>
        <w:ind w:left="160" w:right="140"/>
        <w:spacing w:after="0" w:line="239" w:lineRule="auto"/>
        <w:rPr>
          <w:sz w:val="20"/>
          <w:szCs w:val="20"/>
          <w:color w:val="auto"/>
        </w:rPr>
      </w:pPr>
      <w:r>
        <w:rPr>
          <w:rFonts w:ascii="Arial" w:cs="Arial" w:eastAsia="Arial" w:hAnsi="Arial"/>
          <w:sz w:val="17"/>
          <w:szCs w:val="17"/>
          <w:color w:val="auto"/>
        </w:rPr>
        <w:t>As of December 31, 2020, the Company had $4,219 of unrecognized stock-based compensation expense related to unvested stock options and restricted stock awards, which is expected to be recognized over a weighted-average period of approximately two years.</w:t>
      </w:r>
    </w:p>
    <w:p>
      <w:pPr>
        <w:spacing w:after="0" w:line="146" w:lineRule="exact"/>
        <w:rPr>
          <w:sz w:val="20"/>
          <w:szCs w:val="20"/>
          <w:color w:val="auto"/>
        </w:rPr>
      </w:pPr>
    </w:p>
    <w:p>
      <w:pPr>
        <w:ind w:left="160" w:right="440"/>
        <w:spacing w:after="0" w:line="239" w:lineRule="auto"/>
        <w:rPr>
          <w:sz w:val="20"/>
          <w:szCs w:val="20"/>
          <w:color w:val="auto"/>
        </w:rPr>
      </w:pPr>
      <w:r>
        <w:rPr>
          <w:rFonts w:ascii="Arial" w:cs="Arial" w:eastAsia="Arial" w:hAnsi="Arial"/>
          <w:sz w:val="17"/>
          <w:szCs w:val="17"/>
          <w:color w:val="auto"/>
        </w:rPr>
        <w:t>The fair value of stock options granted during the years ended December 31, 2019 and 2020, was estimated using the Black-Scholes option pricing model based on the following weighted 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54"/>
        </w:trPr>
        <w:tc>
          <w:tcPr>
            <w:tcW w:w="20" w:type="dxa"/>
            <w:vAlign w:val="bottom"/>
          </w:tcPr>
          <w:p>
            <w:pPr>
              <w:spacing w:after="0"/>
              <w:rPr>
                <w:sz w:val="13"/>
                <w:szCs w:val="13"/>
                <w:color w:val="auto"/>
              </w:rPr>
            </w:pPr>
          </w:p>
        </w:tc>
        <w:tc>
          <w:tcPr>
            <w:tcW w:w="544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gridSpan w:val="2"/>
          </w:tcPr>
          <w:p>
            <w:pPr>
              <w:jc w:val="center"/>
              <w:spacing w:after="0" w:line="154"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97"/>
              <w:spacing w:after="0" w:line="154"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54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Expected term (in years)</w:t>
            </w:r>
          </w:p>
        </w:tc>
        <w:tc>
          <w:tcPr>
            <w:tcW w:w="8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spacing w:after="0" w:line="180" w:lineRule="exact"/>
              <w:rPr>
                <w:sz w:val="20"/>
                <w:szCs w:val="20"/>
                <w:color w:val="auto"/>
              </w:rPr>
            </w:pPr>
            <w:r>
              <w:rPr>
                <w:rFonts w:ascii="Arial" w:cs="Arial" w:eastAsia="Arial" w:hAnsi="Arial"/>
                <w:sz w:val="17"/>
                <w:szCs w:val="17"/>
                <w:color w:val="auto"/>
                <w:w w:val="99"/>
              </w:rPr>
              <w:t>5.5 – 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left="77"/>
              <w:spacing w:after="0" w:line="180" w:lineRule="exact"/>
              <w:rPr>
                <w:sz w:val="20"/>
                <w:szCs w:val="20"/>
                <w:color w:val="auto"/>
              </w:rPr>
            </w:pPr>
            <w:r>
              <w:rPr>
                <w:rFonts w:ascii="Arial" w:cs="Arial" w:eastAsia="Arial" w:hAnsi="Arial"/>
                <w:sz w:val="17"/>
                <w:szCs w:val="17"/>
                <w:color w:val="auto"/>
                <w:w w:val="99"/>
              </w:rPr>
              <w:t>5.5 – 6.1</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5440" w:type="dxa"/>
            <w:vAlign w:val="bottom"/>
          </w:tcPr>
          <w:p>
            <w:pPr>
              <w:spacing w:after="0" w:line="187" w:lineRule="exact"/>
              <w:rPr>
                <w:sz w:val="20"/>
                <w:szCs w:val="20"/>
                <w:color w:val="auto"/>
              </w:rPr>
            </w:pPr>
            <w:r>
              <w:rPr>
                <w:rFonts w:ascii="Arial" w:cs="Arial" w:eastAsia="Arial" w:hAnsi="Arial"/>
                <w:sz w:val="17"/>
                <w:szCs w:val="17"/>
                <w:color w:val="auto"/>
              </w:rPr>
              <w:t>Expected volatility</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4"/>
          </w:tcPr>
          <w:p>
            <w:pPr>
              <w:jc w:val="center"/>
              <w:ind w:right="220"/>
              <w:spacing w:after="0" w:line="187" w:lineRule="exact"/>
              <w:rPr>
                <w:sz w:val="20"/>
                <w:szCs w:val="20"/>
                <w:color w:val="auto"/>
              </w:rPr>
            </w:pPr>
            <w:r>
              <w:rPr>
                <w:rFonts w:ascii="Arial" w:cs="Arial" w:eastAsia="Arial" w:hAnsi="Arial"/>
                <w:sz w:val="17"/>
                <w:szCs w:val="17"/>
                <w:color w:val="auto"/>
                <w:w w:val="98"/>
              </w:rPr>
              <w:t>74.0% – 74.3%</w:t>
            </w:r>
          </w:p>
        </w:tc>
        <w:tc>
          <w:tcPr>
            <w:tcW w:w="1440" w:type="dxa"/>
            <w:vAlign w:val="bottom"/>
            <w:gridSpan w:val="4"/>
          </w:tcPr>
          <w:p>
            <w:pPr>
              <w:jc w:val="center"/>
              <w:ind w:right="100"/>
              <w:spacing w:after="0" w:line="187" w:lineRule="exact"/>
              <w:rPr>
                <w:sz w:val="20"/>
                <w:szCs w:val="20"/>
                <w:color w:val="auto"/>
              </w:rPr>
            </w:pPr>
            <w:r>
              <w:rPr>
                <w:rFonts w:ascii="Arial" w:cs="Arial" w:eastAsia="Arial" w:hAnsi="Arial"/>
                <w:sz w:val="17"/>
                <w:szCs w:val="17"/>
                <w:color w:val="auto"/>
                <w:w w:val="98"/>
              </w:rPr>
              <w:t>86.1% – 92.5%</w:t>
            </w:r>
          </w:p>
        </w:tc>
      </w:tr>
      <w:tr>
        <w:trPr>
          <w:trHeight w:val="187"/>
        </w:trPr>
        <w:tc>
          <w:tcPr>
            <w:tcW w:w="20" w:type="dxa"/>
            <w:vAlign w:val="bottom"/>
          </w:tcPr>
          <w:p>
            <w:pPr>
              <w:spacing w:after="0"/>
              <w:rPr>
                <w:sz w:val="16"/>
                <w:szCs w:val="16"/>
                <w:color w:val="auto"/>
              </w:rPr>
            </w:pPr>
          </w:p>
        </w:tc>
        <w:tc>
          <w:tcPr>
            <w:tcW w:w="5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Risk-free rate</w:t>
            </w: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720" w:type="dxa"/>
            <w:vAlign w:val="bottom"/>
            <w:gridSpan w:val="4"/>
            <w:shd w:val="clear" w:color="auto" w:fill="CCEEFF"/>
          </w:tcPr>
          <w:p>
            <w:pPr>
              <w:jc w:val="center"/>
              <w:ind w:right="220"/>
              <w:spacing w:after="0" w:line="187" w:lineRule="exact"/>
              <w:rPr>
                <w:sz w:val="20"/>
                <w:szCs w:val="20"/>
                <w:color w:val="auto"/>
              </w:rPr>
            </w:pPr>
            <w:r>
              <w:rPr>
                <w:rFonts w:ascii="Arial" w:cs="Arial" w:eastAsia="Arial" w:hAnsi="Arial"/>
                <w:sz w:val="17"/>
                <w:szCs w:val="17"/>
                <w:color w:val="auto"/>
                <w:w w:val="98"/>
              </w:rPr>
              <w:t>2.19% – 2.22%</w:t>
            </w:r>
          </w:p>
        </w:tc>
        <w:tc>
          <w:tcPr>
            <w:tcW w:w="1440" w:type="dxa"/>
            <w:vAlign w:val="bottom"/>
            <w:gridSpan w:val="4"/>
            <w:shd w:val="clear" w:color="auto" w:fill="CCEEFF"/>
          </w:tcPr>
          <w:p>
            <w:pPr>
              <w:jc w:val="center"/>
              <w:ind w:right="100"/>
              <w:spacing w:after="0" w:line="187" w:lineRule="exact"/>
              <w:rPr>
                <w:sz w:val="20"/>
                <w:szCs w:val="20"/>
                <w:color w:val="auto"/>
              </w:rPr>
            </w:pPr>
            <w:r>
              <w:rPr>
                <w:rFonts w:ascii="Arial" w:cs="Arial" w:eastAsia="Arial" w:hAnsi="Arial"/>
                <w:sz w:val="17"/>
                <w:szCs w:val="17"/>
                <w:color w:val="auto"/>
                <w:w w:val="98"/>
              </w:rPr>
              <w:t>0.41% – 1.67%</w:t>
            </w: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Dividend yield</w:t>
            </w: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3"/>
          </w:tcPr>
          <w:p>
            <w:pPr>
              <w:jc w:val="center"/>
              <w:ind w:right="7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700" w:type="dxa"/>
            <w:vAlign w:val="bottom"/>
          </w:tcPr>
          <w:p>
            <w:pPr>
              <w:jc w:val="center"/>
              <w:ind w:right="24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6280" w:type="dxa"/>
            <w:vAlign w:val="bottom"/>
            <w:tcBorders>
              <w:bottom w:val="single" w:sz="8" w:color="auto"/>
            </w:tcBorders>
            <w:gridSpan w:val="3"/>
          </w:tcPr>
          <w:p>
            <w:pPr>
              <w:spacing w:after="0"/>
              <w:rPr>
                <w:sz w:val="17"/>
                <w:szCs w:val="17"/>
                <w:color w:val="auto"/>
              </w:rPr>
            </w:pPr>
          </w:p>
        </w:tc>
        <w:tc>
          <w:tcPr>
            <w:tcW w:w="1440" w:type="dxa"/>
            <w:vAlign w:val="bottom"/>
            <w:tcBorders>
              <w:bottom w:val="single" w:sz="8" w:color="auto"/>
            </w:tcBorders>
            <w:gridSpan w:val="3"/>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351"/>
        </w:trPr>
        <w:tc>
          <w:tcPr>
            <w:tcW w:w="7760" w:type="dxa"/>
            <w:vAlign w:val="bottom"/>
            <w:gridSpan w:val="7"/>
          </w:tcPr>
          <w:p>
            <w:pPr>
              <w:spacing w:after="0"/>
              <w:rPr>
                <w:sz w:val="20"/>
                <w:szCs w:val="20"/>
                <w:color w:val="auto"/>
              </w:rPr>
            </w:pPr>
            <w:r>
              <w:rPr>
                <w:rFonts w:ascii="Arial" w:cs="Arial" w:eastAsia="Arial" w:hAnsi="Arial"/>
                <w:sz w:val="17"/>
                <w:szCs w:val="17"/>
                <w:color w:val="auto"/>
              </w:rPr>
              <w:t>The following table summarizes the Company’s option activity for the year ended December 31, 2020.</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5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381"/>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52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520" w:type="dxa"/>
            <w:vAlign w:val="bottom"/>
          </w:tcPr>
          <w:p>
            <w:pPr>
              <w:spacing w:after="0"/>
              <w:rPr>
                <w:sz w:val="13"/>
                <w:szCs w:val="13"/>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48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r>
      <w:tr>
        <w:trPr>
          <w:trHeight w:val="160"/>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NUMBER</w:t>
            </w: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EXERCISE</w:t>
            </w:r>
          </w:p>
        </w:tc>
        <w:tc>
          <w:tcPr>
            <w:tcW w:w="520" w:type="dxa"/>
            <w:vAlign w:val="bottom"/>
          </w:tcPr>
          <w:p>
            <w:pPr>
              <w:spacing w:after="0"/>
              <w:rPr>
                <w:sz w:val="13"/>
                <w:szCs w:val="13"/>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480" w:type="dxa"/>
            <w:vAlign w:val="bottom"/>
          </w:tcPr>
          <w:p>
            <w:pPr>
              <w:spacing w:after="0"/>
              <w:rPr>
                <w:sz w:val="13"/>
                <w:szCs w:val="13"/>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INTRINSIC</w:t>
            </w:r>
          </w:p>
        </w:tc>
      </w:tr>
      <w:tr>
        <w:trPr>
          <w:trHeight w:val="160"/>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OF</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PRICE PER</w:t>
            </w:r>
          </w:p>
        </w:tc>
        <w:tc>
          <w:tcPr>
            <w:tcW w:w="520" w:type="dxa"/>
            <w:vAlign w:val="bottom"/>
          </w:tcPr>
          <w:p>
            <w:pPr>
              <w:spacing w:after="0"/>
              <w:rPr>
                <w:sz w:val="13"/>
                <w:szCs w:val="13"/>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CONTRACTUAL</w:t>
            </w:r>
          </w:p>
        </w:tc>
        <w:tc>
          <w:tcPr>
            <w:tcW w:w="480" w:type="dxa"/>
            <w:vAlign w:val="bottom"/>
          </w:tcPr>
          <w:p>
            <w:pPr>
              <w:spacing w:after="0"/>
              <w:rPr>
                <w:sz w:val="13"/>
                <w:szCs w:val="13"/>
                <w:color w:val="auto"/>
              </w:rPr>
            </w:pPr>
          </w:p>
        </w:tc>
        <w:tc>
          <w:tcPr>
            <w:tcW w:w="700" w:type="dxa"/>
            <w:vAlign w:val="bottom"/>
          </w:tcPr>
          <w:p>
            <w:pPr>
              <w:jc w:val="center"/>
              <w:ind w:left="124"/>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c>
          <w:tcPr>
            <w:tcW w:w="520" w:type="dxa"/>
            <w:vAlign w:val="bottom"/>
          </w:tcPr>
          <w:p>
            <w:pPr>
              <w:spacing w:after="0"/>
              <w:rPr>
                <w:sz w:val="15"/>
                <w:szCs w:val="15"/>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LIFE (YEARS)</w:t>
            </w:r>
          </w:p>
        </w:tc>
        <w:tc>
          <w:tcPr>
            <w:tcW w:w="480" w:type="dxa"/>
            <w:vAlign w:val="bottom"/>
          </w:tcPr>
          <w:p>
            <w:pPr>
              <w:spacing w:after="0"/>
              <w:rPr>
                <w:sz w:val="15"/>
                <w:szCs w:val="15"/>
                <w:color w:val="auto"/>
              </w:rPr>
            </w:pPr>
          </w:p>
        </w:tc>
        <w:tc>
          <w:tcPr>
            <w:tcW w:w="700" w:type="dxa"/>
            <w:vAlign w:val="bottom"/>
          </w:tcPr>
          <w:p>
            <w:pPr>
              <w:jc w:val="center"/>
              <w:ind w:left="124"/>
              <w:spacing w:after="0"/>
              <w:rPr>
                <w:sz w:val="20"/>
                <w:szCs w:val="20"/>
                <w:color w:val="auto"/>
              </w:rPr>
            </w:pPr>
            <w:r>
              <w:rPr>
                <w:rFonts w:ascii="Arial" w:cs="Arial" w:eastAsia="Arial" w:hAnsi="Arial"/>
                <w:sz w:val="14"/>
                <w:szCs w:val="14"/>
                <w:b w:val="1"/>
                <w:bCs w:val="1"/>
                <w:color w:val="auto"/>
                <w:w w:val="99"/>
              </w:rPr>
              <w:t>(000S)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Balance—December 31, 2019</w:t>
            </w:r>
          </w:p>
        </w:tc>
        <w:tc>
          <w:tcPr>
            <w:tcW w:w="8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158,598</w:t>
            </w:r>
          </w:p>
        </w:tc>
        <w:tc>
          <w:tcPr>
            <w:tcW w:w="6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7.88</w:t>
            </w:r>
          </w:p>
        </w:tc>
        <w:tc>
          <w:tcPr>
            <w:tcW w:w="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8.19</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94"/>
              </w:rPr>
              <w:t>10</w:t>
            </w:r>
          </w:p>
        </w:tc>
        <w:tc>
          <w:tcPr>
            <w:tcW w:w="60" w:type="dxa"/>
            <w:vAlign w:val="bottom"/>
            <w:tcBorders>
              <w:top w:val="single" w:sz="8" w:color="CCEEFF"/>
            </w:tcBorders>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5440" w:type="dxa"/>
            <w:vAlign w:val="bottom"/>
          </w:tcPr>
          <w:p>
            <w:pPr>
              <w:spacing w:after="0" w:line="187" w:lineRule="exact"/>
              <w:rPr>
                <w:sz w:val="20"/>
                <w:szCs w:val="20"/>
                <w:color w:val="auto"/>
              </w:rPr>
            </w:pPr>
            <w:r>
              <w:rPr>
                <w:rFonts w:ascii="Arial" w:cs="Arial" w:eastAsia="Arial" w:hAnsi="Arial"/>
                <w:sz w:val="17"/>
                <w:szCs w:val="17"/>
                <w:color w:val="auto"/>
              </w:rPr>
              <w:t>Granted</w:t>
            </w:r>
          </w:p>
        </w:tc>
        <w:tc>
          <w:tcPr>
            <w:tcW w:w="1440" w:type="dxa"/>
            <w:vAlign w:val="bottom"/>
            <w:gridSpan w:val="2"/>
          </w:tcPr>
          <w:p>
            <w:pPr>
              <w:jc w:val="right"/>
              <w:ind w:right="620"/>
              <w:spacing w:after="0" w:line="187" w:lineRule="exact"/>
              <w:rPr>
                <w:sz w:val="20"/>
                <w:szCs w:val="20"/>
                <w:color w:val="auto"/>
              </w:rPr>
            </w:pPr>
            <w:r>
              <w:rPr>
                <w:rFonts w:ascii="Arial" w:cs="Arial" w:eastAsia="Arial" w:hAnsi="Arial"/>
                <w:sz w:val="17"/>
                <w:szCs w:val="17"/>
                <w:color w:val="auto"/>
              </w:rPr>
              <w:t>1,865,091</w:t>
            </w:r>
          </w:p>
        </w:tc>
        <w:tc>
          <w:tcPr>
            <w:tcW w:w="120" w:type="dxa"/>
            <w:vAlign w:val="bottom"/>
          </w:tcPr>
          <w:p>
            <w:pPr>
              <w:spacing w:after="0"/>
              <w:rPr>
                <w:sz w:val="16"/>
                <w:szCs w:val="16"/>
                <w:color w:val="auto"/>
              </w:rPr>
            </w:pPr>
          </w:p>
        </w:tc>
        <w:tc>
          <w:tcPr>
            <w:tcW w:w="74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3.02</w:t>
            </w: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Exercised</w:t>
            </w:r>
          </w:p>
        </w:tc>
        <w:tc>
          <w:tcPr>
            <w:tcW w:w="1440" w:type="dxa"/>
            <w:vAlign w:val="bottom"/>
            <w:gridSpan w:val="2"/>
            <w:shd w:val="clear" w:color="auto" w:fill="CCEEFF"/>
          </w:tcPr>
          <w:p>
            <w:pPr>
              <w:jc w:val="right"/>
              <w:ind w:right="560"/>
              <w:spacing w:after="0" w:line="187" w:lineRule="exact"/>
              <w:rPr>
                <w:sz w:val="20"/>
                <w:szCs w:val="20"/>
                <w:color w:val="auto"/>
              </w:rPr>
            </w:pPr>
            <w:r>
              <w:rPr>
                <w:rFonts w:ascii="Arial" w:cs="Arial" w:eastAsia="Arial" w:hAnsi="Arial"/>
                <w:sz w:val="17"/>
                <w:szCs w:val="17"/>
                <w:color w:val="auto"/>
              </w:rPr>
              <w:t>(33,290)</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8.46</w:t>
            </w:r>
          </w:p>
        </w:tc>
        <w:tc>
          <w:tcPr>
            <w:tcW w:w="5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440" w:type="dxa"/>
            <w:vAlign w:val="bottom"/>
          </w:tcPr>
          <w:p>
            <w:pPr>
              <w:spacing w:after="0" w:line="187" w:lineRule="exact"/>
              <w:rPr>
                <w:sz w:val="20"/>
                <w:szCs w:val="20"/>
                <w:color w:val="auto"/>
              </w:rPr>
            </w:pPr>
            <w:r>
              <w:rPr>
                <w:rFonts w:ascii="Arial" w:cs="Arial" w:eastAsia="Arial" w:hAnsi="Arial"/>
                <w:sz w:val="17"/>
                <w:szCs w:val="17"/>
                <w:color w:val="auto"/>
              </w:rPr>
              <w:t>Cancelled and forfeited</w:t>
            </w:r>
          </w:p>
        </w:tc>
        <w:tc>
          <w:tcPr>
            <w:tcW w:w="1440" w:type="dxa"/>
            <w:vAlign w:val="bottom"/>
            <w:gridSpan w:val="2"/>
          </w:tcPr>
          <w:p>
            <w:pPr>
              <w:jc w:val="right"/>
              <w:ind w:right="560"/>
              <w:spacing w:after="0" w:line="187" w:lineRule="exact"/>
              <w:rPr>
                <w:sz w:val="20"/>
                <w:szCs w:val="20"/>
                <w:color w:val="auto"/>
              </w:rPr>
            </w:pPr>
            <w:r>
              <w:rPr>
                <w:rFonts w:ascii="Arial" w:cs="Arial" w:eastAsia="Arial" w:hAnsi="Arial"/>
                <w:sz w:val="17"/>
                <w:szCs w:val="17"/>
                <w:color w:val="auto"/>
              </w:rPr>
              <w:t>(134,892)</w:t>
            </w:r>
          </w:p>
        </w:tc>
        <w:tc>
          <w:tcPr>
            <w:tcW w:w="120" w:type="dxa"/>
            <w:vAlign w:val="bottom"/>
          </w:tcPr>
          <w:p>
            <w:pPr>
              <w:spacing w:after="0"/>
              <w:rPr>
                <w:sz w:val="16"/>
                <w:szCs w:val="16"/>
                <w:color w:val="auto"/>
              </w:rPr>
            </w:pPr>
          </w:p>
        </w:tc>
        <w:tc>
          <w:tcPr>
            <w:tcW w:w="740" w:type="dxa"/>
            <w:vAlign w:val="bottom"/>
            <w:gridSpan w:val="2"/>
          </w:tcPr>
          <w:p>
            <w:pPr>
              <w:jc w:val="right"/>
              <w:ind w:right="40"/>
              <w:spacing w:after="0" w:line="187" w:lineRule="exact"/>
              <w:rPr>
                <w:sz w:val="20"/>
                <w:szCs w:val="20"/>
                <w:color w:val="auto"/>
              </w:rPr>
            </w:pPr>
            <w:r>
              <w:rPr>
                <w:rFonts w:ascii="Arial" w:cs="Arial" w:eastAsia="Arial" w:hAnsi="Arial"/>
                <w:sz w:val="17"/>
                <w:szCs w:val="17"/>
                <w:color w:val="auto"/>
              </w:rPr>
              <w:t>6.72</w:t>
            </w: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4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Balance—December 31, 2020</w:t>
            </w:r>
          </w:p>
        </w:tc>
        <w:tc>
          <w:tcPr>
            <w:tcW w:w="82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1,855,507</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2.99</w:t>
            </w:r>
          </w:p>
        </w:tc>
        <w:tc>
          <w:tcPr>
            <w:tcW w:w="1720" w:type="dxa"/>
            <w:vAlign w:val="bottom"/>
            <w:gridSpan w:val="4"/>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9.79</w:t>
            </w:r>
          </w:p>
        </w:tc>
        <w:tc>
          <w:tcPr>
            <w:tcW w:w="1180" w:type="dxa"/>
            <w:vAlign w:val="bottom"/>
            <w:gridSpan w:val="2"/>
            <w:shd w:val="clear" w:color="auto" w:fill="CCEEFF"/>
          </w:tcPr>
          <w:p>
            <w:pPr>
              <w:ind w:left="480"/>
              <w:spacing w:after="0" w:line="187" w:lineRule="exact"/>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8</w:t>
            </w:r>
          </w:p>
        </w:tc>
      </w:tr>
      <w:tr>
        <w:trPr>
          <w:trHeight w:val="194"/>
        </w:trPr>
        <w:tc>
          <w:tcPr>
            <w:tcW w:w="5460" w:type="dxa"/>
            <w:vAlign w:val="bottom"/>
            <w:gridSpan w:val="2"/>
          </w:tcPr>
          <w:p>
            <w:pPr>
              <w:spacing w:after="0" w:line="194" w:lineRule="exact"/>
              <w:rPr>
                <w:sz w:val="20"/>
                <w:szCs w:val="20"/>
                <w:color w:val="auto"/>
              </w:rPr>
            </w:pPr>
            <w:r>
              <w:rPr>
                <w:rFonts w:ascii="Arial" w:cs="Arial" w:eastAsia="Arial" w:hAnsi="Arial"/>
                <w:sz w:val="17"/>
                <w:szCs w:val="17"/>
                <w:color w:val="auto"/>
              </w:rPr>
              <w:t>Options exercisable – December 31, 2020</w:t>
            </w:r>
          </w:p>
        </w:tc>
        <w:tc>
          <w:tcPr>
            <w:tcW w:w="1440" w:type="dxa"/>
            <w:vAlign w:val="bottom"/>
            <w:gridSpan w:val="2"/>
          </w:tcPr>
          <w:p>
            <w:pPr>
              <w:jc w:val="right"/>
              <w:ind w:right="620"/>
              <w:spacing w:after="0" w:line="194" w:lineRule="exact"/>
              <w:rPr>
                <w:sz w:val="20"/>
                <w:szCs w:val="20"/>
                <w:color w:val="auto"/>
              </w:rPr>
            </w:pPr>
            <w:r>
              <w:rPr>
                <w:rFonts w:ascii="Arial" w:cs="Arial" w:eastAsia="Arial" w:hAnsi="Arial"/>
                <w:sz w:val="17"/>
                <w:szCs w:val="17"/>
                <w:color w:val="auto"/>
              </w:rPr>
              <w:t>146,835</w:t>
            </w:r>
          </w:p>
        </w:tc>
        <w:tc>
          <w:tcPr>
            <w:tcW w:w="12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3.83</w:t>
            </w:r>
          </w:p>
        </w:tc>
        <w:tc>
          <w:tcPr>
            <w:tcW w:w="1720" w:type="dxa"/>
            <w:vAlign w:val="bottom"/>
            <w:gridSpan w:val="4"/>
          </w:tcPr>
          <w:p>
            <w:pPr>
              <w:jc w:val="right"/>
              <w:ind w:right="100"/>
              <w:spacing w:after="0" w:line="194" w:lineRule="exact"/>
              <w:rPr>
                <w:sz w:val="20"/>
                <w:szCs w:val="20"/>
                <w:color w:val="auto"/>
              </w:rPr>
            </w:pPr>
            <w:r>
              <w:rPr>
                <w:rFonts w:ascii="Arial" w:cs="Arial" w:eastAsia="Arial" w:hAnsi="Arial"/>
                <w:sz w:val="17"/>
                <w:szCs w:val="17"/>
                <w:color w:val="auto"/>
              </w:rPr>
              <w:t>8.17</w:t>
            </w:r>
          </w:p>
        </w:tc>
        <w:tc>
          <w:tcPr>
            <w:tcW w:w="1180" w:type="dxa"/>
            <w:vAlign w:val="bottom"/>
            <w:gridSpan w:val="2"/>
          </w:tcPr>
          <w:p>
            <w:pPr>
              <w:ind w:left="480"/>
              <w:spacing w:after="0" w:line="194" w:lineRule="exact"/>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4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Unvested and expected to vest – December 31, 2020</w:t>
            </w:r>
          </w:p>
        </w:tc>
        <w:tc>
          <w:tcPr>
            <w:tcW w:w="1440" w:type="dxa"/>
            <w:vAlign w:val="bottom"/>
            <w:gridSpan w:val="2"/>
            <w:shd w:val="clear" w:color="auto" w:fill="CCEEFF"/>
          </w:tcPr>
          <w:p>
            <w:pPr>
              <w:jc w:val="right"/>
              <w:ind w:right="620"/>
              <w:spacing w:after="0" w:line="180" w:lineRule="exact"/>
              <w:rPr>
                <w:sz w:val="20"/>
                <w:szCs w:val="20"/>
                <w:color w:val="auto"/>
              </w:rPr>
            </w:pPr>
            <w:r>
              <w:rPr>
                <w:rFonts w:ascii="Arial" w:cs="Arial" w:eastAsia="Arial" w:hAnsi="Arial"/>
                <w:sz w:val="17"/>
                <w:szCs w:val="17"/>
                <w:color w:val="auto"/>
              </w:rPr>
              <w:t>1,818,720</w:t>
            </w:r>
          </w:p>
        </w:tc>
        <w:tc>
          <w:tcPr>
            <w:tcW w:w="1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line="180" w:lineRule="exact"/>
              <w:rPr>
                <w:sz w:val="20"/>
                <w:szCs w:val="20"/>
                <w:color w:val="auto"/>
              </w:rPr>
            </w:pPr>
            <w:r>
              <w:rPr>
                <w:rFonts w:ascii="Arial" w:cs="Arial" w:eastAsia="Arial" w:hAnsi="Arial"/>
                <w:sz w:val="17"/>
                <w:szCs w:val="17"/>
                <w:color w:val="auto"/>
              </w:rPr>
              <w:t>2.90</w:t>
            </w:r>
          </w:p>
        </w:tc>
        <w:tc>
          <w:tcPr>
            <w:tcW w:w="1720" w:type="dxa"/>
            <w:vAlign w:val="bottom"/>
            <w:gridSpan w:val="4"/>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9.92</w:t>
            </w:r>
          </w:p>
        </w:tc>
        <w:tc>
          <w:tcPr>
            <w:tcW w:w="1180" w:type="dxa"/>
            <w:vAlign w:val="bottom"/>
            <w:gridSpan w:val="2"/>
            <w:shd w:val="clear" w:color="auto" w:fill="CCEEFF"/>
          </w:tcPr>
          <w:p>
            <w:pPr>
              <w:ind w:left="480"/>
              <w:spacing w:after="0" w:line="180" w:lineRule="exact"/>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line="180" w:lineRule="exact"/>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4" w:lineRule="exact"/>
        <w:rPr>
          <w:sz w:val="20"/>
          <w:szCs w:val="20"/>
          <w:color w:val="auto"/>
        </w:rPr>
      </w:pPr>
    </w:p>
    <w:p>
      <w:pPr>
        <w:jc w:val="both"/>
        <w:ind w:left="160" w:right="180"/>
        <w:spacing w:after="0" w:line="236" w:lineRule="auto"/>
        <w:rPr>
          <w:sz w:val="20"/>
          <w:szCs w:val="20"/>
          <w:color w:val="auto"/>
        </w:rPr>
      </w:pPr>
      <w:r>
        <w:rPr>
          <w:rFonts w:ascii="Arial" w:cs="Arial" w:eastAsia="Arial" w:hAnsi="Arial"/>
          <w:sz w:val="17"/>
          <w:szCs w:val="17"/>
          <w:color w:val="auto"/>
        </w:rPr>
        <w:t>The aggregate intrinsic value of stock options exercised during the year ended December 31, 2019 and 2020 was $6 and $1, respectively. The weighted average grant date fair value of options granted during the years ended December 31, 2019 and 2020 was $4.06 per share and $2.20 per share, respectively.</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52" w:lineRule="exact"/>
        <w:rPr>
          <w:sz w:val="20"/>
          <w:szCs w:val="20"/>
          <w:color w:val="auto"/>
        </w:rPr>
      </w:pPr>
    </w:p>
    <w:p>
      <w:pPr>
        <w:jc w:val="both"/>
        <w:ind w:left="160" w:right="20"/>
        <w:spacing w:after="0" w:line="236" w:lineRule="auto"/>
        <w:rPr>
          <w:sz w:val="20"/>
          <w:szCs w:val="20"/>
          <w:color w:val="auto"/>
        </w:rPr>
      </w:pPr>
      <w:r>
        <w:rPr>
          <w:rFonts w:ascii="Arial" w:cs="Arial" w:eastAsia="Arial" w:hAnsi="Arial"/>
          <w:sz w:val="17"/>
          <w:szCs w:val="17"/>
          <w:color w:val="auto"/>
        </w:rPr>
        <w:t>In October 2020, in conjunction with the Series C redeemable convertible preferred stock issuance, the Company restricted 49,636 shares of fully issued and outstanding Class A common stock held by the Company’s Chief Executive Officer and founder. The restriction allows the Company to repurchase shares that have not vested. The</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080"/>
          </w:cols>
          <w:pgMar w:left="320" w:top="456" w:right="4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jc w:val="center"/>
        <w:ind w:right="-15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p>
      <w:pPr>
        <w:ind w:left="160" w:right="480"/>
        <w:spacing w:after="0" w:line="239" w:lineRule="auto"/>
        <w:rPr>
          <w:sz w:val="20"/>
          <w:szCs w:val="20"/>
          <w:color w:val="auto"/>
        </w:rPr>
      </w:pPr>
      <w:r>
        <w:rPr>
          <w:rFonts w:ascii="Arial" w:cs="Arial" w:eastAsia="Arial" w:hAnsi="Arial"/>
          <w:sz w:val="17"/>
          <w:szCs w:val="17"/>
          <w:color w:val="auto"/>
        </w:rPr>
        <w:t>vesting term of restricted stock is one year. The grant date fair value of the restricted shares was $6.37. The following table summarizes the activity for the Company’s restricted stock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9320" w:type="dxa"/>
            <w:vAlign w:val="bottom"/>
          </w:tcPr>
          <w:p>
            <w:pPr>
              <w:spacing w:after="0"/>
              <w:rPr>
                <w:sz w:val="15"/>
                <w:szCs w:val="15"/>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SHARES</w:t>
            </w:r>
          </w:p>
        </w:tc>
      </w:tr>
      <w:tr>
        <w:trPr>
          <w:trHeight w:val="181"/>
        </w:trPr>
        <w:tc>
          <w:tcPr>
            <w:tcW w:w="932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Unvested as of December 31, 2019</w:t>
            </w:r>
          </w:p>
        </w:tc>
        <w:tc>
          <w:tcPr>
            <w:tcW w:w="15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10,340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7"/>
        </w:trPr>
        <w:tc>
          <w:tcPr>
            <w:tcW w:w="9320" w:type="dxa"/>
            <w:vAlign w:val="bottom"/>
          </w:tcPr>
          <w:p>
            <w:pPr>
              <w:spacing w:after="0" w:line="187" w:lineRule="exact"/>
              <w:rPr>
                <w:sz w:val="20"/>
                <w:szCs w:val="20"/>
                <w:color w:val="auto"/>
              </w:rPr>
            </w:pPr>
            <w:r>
              <w:rPr>
                <w:rFonts w:ascii="Arial" w:cs="Arial" w:eastAsia="Arial" w:hAnsi="Arial"/>
                <w:sz w:val="17"/>
                <w:szCs w:val="17"/>
                <w:color w:val="auto"/>
              </w:rPr>
              <w:t>Granted</w:t>
            </w:r>
          </w:p>
        </w:tc>
        <w:tc>
          <w:tcPr>
            <w:tcW w:w="15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49,636</w:t>
            </w:r>
          </w:p>
        </w:tc>
        <w:tc>
          <w:tcPr>
            <w:tcW w:w="80" w:type="dxa"/>
            <w:vAlign w:val="bottom"/>
          </w:tcPr>
          <w:p>
            <w:pPr>
              <w:spacing w:after="0"/>
              <w:rPr>
                <w:sz w:val="16"/>
                <w:szCs w:val="16"/>
                <w:color w:val="auto"/>
              </w:rPr>
            </w:pPr>
          </w:p>
        </w:tc>
      </w:tr>
      <w:tr>
        <w:trPr>
          <w:trHeight w:val="187"/>
        </w:trPr>
        <w:tc>
          <w:tcPr>
            <w:tcW w:w="93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Vested</w:t>
            </w:r>
          </w:p>
        </w:tc>
        <w:tc>
          <w:tcPr>
            <w:tcW w:w="1600" w:type="dxa"/>
            <w:vAlign w:val="bottom"/>
            <w:gridSpan w:val="3"/>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(18,613)</w:t>
            </w:r>
          </w:p>
        </w:tc>
      </w:tr>
      <w:tr>
        <w:trPr>
          <w:trHeight w:val="194"/>
        </w:trPr>
        <w:tc>
          <w:tcPr>
            <w:tcW w:w="9320" w:type="dxa"/>
            <w:vAlign w:val="bottom"/>
          </w:tcPr>
          <w:p>
            <w:pPr>
              <w:spacing w:after="0" w:line="194" w:lineRule="exact"/>
              <w:rPr>
                <w:sz w:val="20"/>
                <w:szCs w:val="20"/>
                <w:color w:val="auto"/>
              </w:rPr>
            </w:pPr>
            <w:r>
              <w:rPr>
                <w:rFonts w:ascii="Arial" w:cs="Arial" w:eastAsia="Arial" w:hAnsi="Arial"/>
                <w:sz w:val="17"/>
                <w:szCs w:val="17"/>
                <w:color w:val="auto"/>
              </w:rPr>
              <w:t>Unvested as of December 31, 2020</w:t>
            </w:r>
          </w:p>
        </w:tc>
        <w:tc>
          <w:tcPr>
            <w:tcW w:w="15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41,363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9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9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54" w:lineRule="exact"/>
        <w:rPr>
          <w:sz w:val="20"/>
          <w:szCs w:val="20"/>
          <w:color w:val="auto"/>
        </w:rPr>
      </w:pPr>
    </w:p>
    <w:p>
      <w:pPr>
        <w:ind w:left="160" w:right="360"/>
        <w:spacing w:after="0" w:line="239" w:lineRule="auto"/>
        <w:rPr>
          <w:sz w:val="20"/>
          <w:szCs w:val="20"/>
          <w:color w:val="auto"/>
        </w:rPr>
      </w:pPr>
      <w:r>
        <w:rPr>
          <w:rFonts w:ascii="Arial" w:cs="Arial" w:eastAsia="Arial" w:hAnsi="Arial"/>
          <w:sz w:val="17"/>
          <w:szCs w:val="17"/>
          <w:color w:val="auto"/>
        </w:rPr>
        <w:t>For each of the years ended December 31, 2019 and 2020, the Company recognized $1 and $55, respectively, of stock-based compensation expense related to restricted stock awards that vested during the periods.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8. EMPLOYEE BENEFIT PLANS</w:t>
      </w:r>
    </w:p>
    <w:p>
      <w:pPr>
        <w:spacing w:after="0" w:line="77"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for fiscal 2019 and 2020.</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9. LICENSES AND COLLABORATIONS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Carnegie Mellon University</w:t>
      </w:r>
    </w:p>
    <w:p>
      <w:pPr>
        <w:spacing w:after="0" w:line="39" w:lineRule="exact"/>
        <w:rPr>
          <w:sz w:val="20"/>
          <w:szCs w:val="20"/>
          <w:color w:val="auto"/>
        </w:rPr>
      </w:pPr>
    </w:p>
    <w:p>
      <w:pPr>
        <w:ind w:left="160" w:right="140"/>
        <w:spacing w:after="0" w:line="233" w:lineRule="auto"/>
        <w:rPr>
          <w:sz w:val="20"/>
          <w:szCs w:val="20"/>
          <w:color w:val="auto"/>
        </w:rPr>
      </w:pPr>
      <w:r>
        <w:rPr>
          <w:rFonts w:ascii="Arial" w:cs="Arial" w:eastAsia="Arial" w:hAnsi="Arial"/>
          <w:sz w:val="17"/>
          <w:szCs w:val="17"/>
          <w:color w:val="auto"/>
        </w:rPr>
        <w:t>In 2012, PNAi entered into a license agreement with Carnegie Mellon University (as amended, the “CMU License Agreement”), which was assigned to the Company upon the closing of the Company’s acquisition of PNA in 2017. The CMU License Agreement provided exclusive, worldwide rights to certain patents and know-how relating to synthetic oligomers. Under the CMU License Agreement, the Company is obligated to pay Carnegie Mellon University up to $9,000 in aggregate milestone payments upon the achievement of specific sales-based milestones, which have not yet been met. The Company is also responsible for reimbursement for future patent expenses and payment of future royalties based on any sales of a licensed product at a percentage in the low single digits.</w:t>
      </w:r>
    </w:p>
    <w:p>
      <w:pPr>
        <w:spacing w:after="0" w:line="145" w:lineRule="exact"/>
        <w:rPr>
          <w:sz w:val="20"/>
          <w:szCs w:val="20"/>
          <w:color w:val="auto"/>
        </w:rPr>
      </w:pPr>
    </w:p>
    <w:p>
      <w:pPr>
        <w:ind w:left="160" w:right="200"/>
        <w:spacing w:after="0" w:line="233" w:lineRule="auto"/>
        <w:rPr>
          <w:sz w:val="20"/>
          <w:szCs w:val="20"/>
          <w:color w:val="auto"/>
        </w:rPr>
      </w:pPr>
      <w:r>
        <w:rPr>
          <w:rFonts w:ascii="Arial" w:cs="Arial" w:eastAsia="Arial" w:hAnsi="Arial"/>
          <w:sz w:val="17"/>
          <w:szCs w:val="17"/>
          <w:color w:val="auto"/>
        </w:rPr>
        <w:t>If the Company were to sublicense the technology licensed pursuant to the CMU License Agreement, the Company would be obligated to pay CMU a percentage ranging in the low double-digits of specified sublicensing income received, subject to reduction for a specified percentage of sublicensing income payments above a specified threshold that the Company may be obligated to pay other third parties. The Company did not achieve any of the development or sales milestones. Accordingly, no royalty or development milestone payments were made nor required to be made under this agreement.</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Yale University</w:t>
      </w:r>
    </w:p>
    <w:p>
      <w:pPr>
        <w:spacing w:after="0" w:line="39"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In 2017, PNAi entered into a collaborative research agreement (the “Yale CRA”) and license agreement (the “Yale License Agreement”) with Yale University, which were assigned to the Company upon the closing of the acquisition of PNAi by the Company in 2017. The purpose of the agreements was to fund the Yale University research program in the field of nanoparticle-sized nucleic acid mimics and peptide nucleic acids as gene editing therapeutics in return for an exclusive license to certain related patent rights owned by Yale University and the option to license any patents discovered or generated under the terms of the collaborative research agreement.</w:t>
      </w:r>
    </w:p>
    <w:p>
      <w:pPr>
        <w:spacing w:after="0" w:line="148" w:lineRule="exact"/>
        <w:rPr>
          <w:sz w:val="20"/>
          <w:szCs w:val="20"/>
          <w:color w:val="auto"/>
        </w:rPr>
      </w:pPr>
    </w:p>
    <w:p>
      <w:pPr>
        <w:ind w:left="160" w:right="100"/>
        <w:spacing w:after="0" w:line="236" w:lineRule="auto"/>
        <w:rPr>
          <w:sz w:val="20"/>
          <w:szCs w:val="20"/>
          <w:color w:val="auto"/>
        </w:rPr>
      </w:pPr>
      <w:r>
        <w:rPr>
          <w:rFonts w:ascii="Arial" w:cs="Arial" w:eastAsia="Arial" w:hAnsi="Arial"/>
          <w:sz w:val="17"/>
          <w:szCs w:val="17"/>
          <w:color w:val="auto"/>
        </w:rPr>
        <w:t>The Yale CRA required funding the labs of collaborators with $1,500 per year for a minimum of two years. The Yale CRA expired in 2019. No payments were made to Yale University pursuant to the Yale CRA during the year ended December 31, 2019, with no future obligation under this commitment.</w:t>
      </w:r>
    </w:p>
    <w:p>
      <w:pPr>
        <w:spacing w:after="0" w:line="146" w:lineRule="exact"/>
        <w:rPr>
          <w:sz w:val="20"/>
          <w:szCs w:val="20"/>
          <w:color w:val="auto"/>
        </w:rPr>
      </w:pPr>
    </w:p>
    <w:p>
      <w:pPr>
        <w:ind w:left="160" w:right="120"/>
        <w:spacing w:after="0" w:line="239" w:lineRule="auto"/>
        <w:rPr>
          <w:sz w:val="20"/>
          <w:szCs w:val="20"/>
          <w:color w:val="auto"/>
        </w:rPr>
      </w:pPr>
      <w:r>
        <w:rPr>
          <w:rFonts w:ascii="Arial" w:cs="Arial" w:eastAsia="Arial" w:hAnsi="Arial"/>
          <w:sz w:val="17"/>
          <w:szCs w:val="17"/>
          <w:color w:val="auto"/>
        </w:rPr>
        <w:t>As consideration for the Yale License Agreement, PNAi paid an initial fee of $37 and had the option to issue 5% of the company’s common stock on a fully diluted, as converted basis. If the shares were not issued, the agreement</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080"/>
          </w:cols>
          <w:pgMar w:left="320" w:top="456" w:right="4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jc w:val="center"/>
        <w:ind w:right="-15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p>
      <w:pPr>
        <w:ind w:left="160" w:right="140"/>
        <w:spacing w:after="0" w:line="233" w:lineRule="auto"/>
        <w:rPr>
          <w:sz w:val="20"/>
          <w:szCs w:val="20"/>
          <w:color w:val="auto"/>
        </w:rPr>
      </w:pPr>
      <w:r>
        <w:rPr>
          <w:rFonts w:ascii="Arial" w:cs="Arial" w:eastAsia="Arial" w:hAnsi="Arial"/>
          <w:sz w:val="17"/>
          <w:szCs w:val="17"/>
          <w:color w:val="auto"/>
        </w:rPr>
        <w:t>could be terminated at Yale University’s option. After the completion of the merger with PNAi, the Company exercised the option and issued 264,301 shares of common stock to Yale University with a fair value of $100. Under the Yale License Agreement, the Company reimbursed Yale University for patent related expenses. The Company reimbursed Yale University $45 for patent related expenses for the year ended December 31, 2019. The Company and Yale agreed to terminate the Yale License Agreement in 2020 and there are no future payment obligations under the Yale License Agreement.</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Ares Trading S.A.</w:t>
      </w:r>
    </w:p>
    <w:p>
      <w:pPr>
        <w:spacing w:after="0" w:line="39" w:lineRule="exact"/>
        <w:rPr>
          <w:sz w:val="20"/>
          <w:szCs w:val="20"/>
          <w:color w:val="auto"/>
        </w:rPr>
      </w:pPr>
    </w:p>
    <w:p>
      <w:pPr>
        <w:ind w:left="160" w:right="160"/>
        <w:spacing w:after="0" w:line="234" w:lineRule="auto"/>
        <w:rPr>
          <w:sz w:val="20"/>
          <w:szCs w:val="20"/>
          <w:color w:val="auto"/>
        </w:rPr>
      </w:pPr>
      <w:r>
        <w:rPr>
          <w:rFonts w:ascii="Arial" w:cs="Arial" w:eastAsia="Arial" w:hAnsi="Arial"/>
          <w:sz w:val="17"/>
          <w:szCs w:val="17"/>
          <w:color w:val="auto"/>
        </w:rPr>
        <w:t>In October 2020, the Company entered into a license agreement with Ares (the “Ares Agreement”), pursuant to which the Company obtained an exclusive worldwide license to certain patents and related know-how to research, develop, manufacture, use and commercialize therapeutic products containing atacicept, a recombinant fusion protein used to inhibit B cell growth and differentiation, which could potentially treat some autoimmune diseases.</w:t>
      </w:r>
    </w:p>
    <w:p>
      <w:pPr>
        <w:spacing w:after="0" w:line="147" w:lineRule="exact"/>
        <w:rPr>
          <w:sz w:val="20"/>
          <w:szCs w:val="20"/>
          <w:color w:val="auto"/>
        </w:rPr>
      </w:pPr>
    </w:p>
    <w:p>
      <w:pPr>
        <w:ind w:left="160" w:right="500"/>
        <w:spacing w:after="0" w:line="236" w:lineRule="auto"/>
        <w:rPr>
          <w:sz w:val="20"/>
          <w:szCs w:val="20"/>
          <w:color w:val="auto"/>
        </w:rPr>
      </w:pPr>
      <w:r>
        <w:rPr>
          <w:rFonts w:ascii="Arial" w:cs="Arial" w:eastAsia="Arial" w:hAnsi="Arial"/>
          <w:sz w:val="17"/>
          <w:szCs w:val="17"/>
          <w:color w:val="auto"/>
        </w:rPr>
        <w:t>As consideration for the Ares Agreement, the Company issued to Ares a non-refundable license issue fee of 22,171,553 shares of Series C redeemable convertible preferred stock resulting in Ares becoming a related party to the Company. The Series C redeemable convertible preferred stock had a deemed issuance price of $0.5918 per share, or $13,121 in the aggregate.</w:t>
      </w:r>
    </w:p>
    <w:p>
      <w:pPr>
        <w:spacing w:after="0" w:line="146" w:lineRule="exact"/>
        <w:rPr>
          <w:sz w:val="20"/>
          <w:szCs w:val="20"/>
          <w:color w:val="auto"/>
        </w:rPr>
      </w:pPr>
    </w:p>
    <w:p>
      <w:pPr>
        <w:jc w:val="both"/>
        <w:ind w:left="160" w:right="380"/>
        <w:spacing w:after="0" w:line="256" w:lineRule="auto"/>
        <w:rPr>
          <w:sz w:val="20"/>
          <w:szCs w:val="20"/>
          <w:color w:val="auto"/>
        </w:rPr>
      </w:pPr>
      <w:r>
        <w:rPr>
          <w:rFonts w:ascii="Arial" w:cs="Arial" w:eastAsia="Arial" w:hAnsi="Arial"/>
          <w:sz w:val="16"/>
          <w:szCs w:val="16"/>
          <w:color w:val="auto"/>
        </w:rPr>
        <w:t>As of December 31, 2020, the Company has paid Ares $25,000 in milestone payments upon delivery and initiation of the transfer of specified information and materials. The Company is obligated to pay Ares aggregate milestone payments of up to $176,500 upon the achievement of specified BLA filing or regulatory approval milestones and up to $515,000 upon the achievement of specified commercial milestones.</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non-refundable license issue fee of $13,121 and milestone payments of $25,000 are recorded to research and development expense.</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Commencing on the first commercial sale of licensed products, the Company is obligated to pay Ares tiered royalties of low double-digit to</w:t>
      </w:r>
    </w:p>
    <w:p>
      <w:pPr>
        <w:ind w:left="160"/>
        <w:spacing w:after="0" w:line="229" w:lineRule="auto"/>
        <w:rPr>
          <w:sz w:val="20"/>
          <w:szCs w:val="20"/>
          <w:color w:val="auto"/>
        </w:rPr>
      </w:pPr>
      <w:r>
        <w:rPr>
          <w:rFonts w:ascii="Arial" w:cs="Arial" w:eastAsia="Arial" w:hAnsi="Arial"/>
          <w:sz w:val="17"/>
          <w:szCs w:val="17"/>
          <w:color w:val="auto"/>
        </w:rPr>
        <w:t>mid-teen percentages on annual net sales of the licensed products covered by the license. The Company is obligated to pay royalties on a</w:t>
      </w:r>
    </w:p>
    <w:p>
      <w:pPr>
        <w:ind w:left="160"/>
        <w:spacing w:after="0" w:line="230" w:lineRule="auto"/>
        <w:rPr>
          <w:sz w:val="20"/>
          <w:szCs w:val="20"/>
          <w:color w:val="auto"/>
        </w:rPr>
      </w:pPr>
      <w:r>
        <w:rPr>
          <w:rFonts w:ascii="Arial" w:cs="Arial" w:eastAsia="Arial" w:hAnsi="Arial"/>
          <w:sz w:val="17"/>
          <w:szCs w:val="17"/>
          <w:color w:val="auto"/>
        </w:rPr>
        <w:t>licensed product-by- licensed product and country-by-country basis from the first commercial sale of a product in a country until the latest of</w:t>
      </w:r>
    </w:p>
    <w:p>
      <w:pPr>
        <w:spacing w:after="0" w:line="1" w:lineRule="exact"/>
        <w:rPr>
          <w:sz w:val="20"/>
          <w:szCs w:val="20"/>
          <w:color w:val="auto"/>
        </w:rPr>
      </w:pPr>
    </w:p>
    <w:p>
      <w:pPr>
        <w:ind w:left="160" w:right="40" w:firstLine="7"/>
        <w:spacing w:after="0" w:line="233" w:lineRule="auto"/>
        <w:tabs>
          <w:tab w:leader="none" w:pos="357" w:val="left"/>
        </w:tabs>
        <w:numPr>
          <w:ilvl w:val="0"/>
          <w:numId w:val="119"/>
        </w:numPr>
        <w:rPr>
          <w:rFonts w:ascii="Arial" w:cs="Arial" w:eastAsia="Arial" w:hAnsi="Arial"/>
          <w:sz w:val="17"/>
          <w:szCs w:val="17"/>
          <w:color w:val="auto"/>
        </w:rPr>
      </w:pPr>
      <w:r>
        <w:rPr>
          <w:rFonts w:ascii="Arial" w:cs="Arial" w:eastAsia="Arial" w:hAnsi="Arial"/>
          <w:sz w:val="17"/>
          <w:szCs w:val="17"/>
          <w:color w:val="auto"/>
        </w:rPr>
        <w:t>15 years after the first commercial sale of such licensed product in such country; (ii) the expiration of the last valid claim of a licensed patent that covers such licensed product in, or its use, importation or manufacture with respect to, such country; and (iii) expiration of all applicable regulatory exclusivity periods, including data exclusivity, in such country with respect to such product. If the Company were to sublicense its rights under the Ares Agreement, the Company is obligated to pay Ares a percentage ranging from the mid single-digit to the low double-digits of specified sublicensing income received.</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10. INCOME TAXES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provision for income taxes for the years ended December 31, 2019 and 2020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9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jc w:val="right"/>
              <w:ind w:right="60"/>
              <w:spacing w:after="0" w:line="154"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2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7"/>
                <w:szCs w:val="17"/>
                <w:color w:val="auto"/>
              </w:rPr>
              <w:t>Current:</w:t>
            </w:r>
          </w:p>
        </w:tc>
        <w:tc>
          <w:tcPr>
            <w:tcW w:w="44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20" w:type="dxa"/>
            <w:vAlign w:val="bottom"/>
          </w:tcPr>
          <w:p>
            <w:pPr>
              <w:ind w:left="480"/>
              <w:spacing w:after="0" w:line="187" w:lineRule="exact"/>
              <w:rPr>
                <w:sz w:val="20"/>
                <w:szCs w:val="20"/>
                <w:color w:val="auto"/>
              </w:rPr>
            </w:pPr>
            <w:r>
              <w:rPr>
                <w:rFonts w:ascii="Arial" w:cs="Arial" w:eastAsia="Arial" w:hAnsi="Arial"/>
                <w:sz w:val="17"/>
                <w:szCs w:val="17"/>
                <w:color w:val="auto"/>
              </w:rPr>
              <w:t>Federal</w:t>
            </w:r>
          </w:p>
        </w:tc>
        <w:tc>
          <w:tcPr>
            <w:tcW w:w="5120" w:type="dxa"/>
            <w:vAlign w:val="bottom"/>
            <w:gridSpan w:val="2"/>
          </w:tcPr>
          <w:p>
            <w:pPr>
              <w:jc w:val="right"/>
              <w:ind w:right="464"/>
              <w:spacing w:after="0" w:line="187" w:lineRule="exact"/>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240"/>
              <w:spacing w:after="0" w:line="187"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540"/>
              <w:spacing w:after="0" w:line="187" w:lineRule="exact"/>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42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20" w:type="dxa"/>
            <w:vAlign w:val="bottom"/>
            <w:shd w:val="clear" w:color="auto" w:fill="CCEEFF"/>
          </w:tcPr>
          <w:p>
            <w:pPr>
              <w:ind w:left="480"/>
              <w:spacing w:after="0" w:line="187" w:lineRule="exact"/>
              <w:rPr>
                <w:sz w:val="20"/>
                <w:szCs w:val="20"/>
                <w:color w:val="auto"/>
              </w:rPr>
            </w:pPr>
            <w:r>
              <w:rPr>
                <w:rFonts w:ascii="Arial" w:cs="Arial" w:eastAsia="Arial" w:hAnsi="Arial"/>
                <w:sz w:val="17"/>
                <w:szCs w:val="17"/>
                <w:color w:val="auto"/>
              </w:rPr>
              <w:t>State</w:t>
            </w:r>
          </w:p>
        </w:tc>
        <w:tc>
          <w:tcPr>
            <w:tcW w:w="4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line="187" w:lineRule="exact"/>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7"/>
                <w:szCs w:val="17"/>
                <w:color w:val="auto"/>
              </w:rPr>
              <w:t>Total current provision</w:t>
            </w:r>
          </w:p>
        </w:tc>
        <w:tc>
          <w:tcPr>
            <w:tcW w:w="4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40" w:type="dxa"/>
            <w:vAlign w:val="bottom"/>
            <w:gridSpan w:val="2"/>
            <w:vMerge w:val="continue"/>
          </w:tcPr>
          <w:p>
            <w:pPr>
              <w:spacing w:after="0"/>
              <w:rPr>
                <w:sz w:val="16"/>
                <w:szCs w:val="16"/>
                <w:color w:val="auto"/>
              </w:rPr>
            </w:pPr>
          </w:p>
        </w:tc>
        <w:tc>
          <w:tcPr>
            <w:tcW w:w="4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1</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gridSpan w:val="2"/>
          </w:tcPr>
          <w:p>
            <w:pPr>
              <w:jc w:val="right"/>
              <w:ind w:right="420"/>
              <w:spacing w:after="0" w:line="194"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38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Total deferred provision</w:t>
            </w:r>
          </w:p>
        </w:tc>
        <w:tc>
          <w:tcPr>
            <w:tcW w:w="4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line="187"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2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7"/>
                <w:szCs w:val="17"/>
                <w:color w:val="auto"/>
              </w:rPr>
              <w:t>Total provision for income taxes</w:t>
            </w:r>
          </w:p>
        </w:tc>
        <w:tc>
          <w:tcPr>
            <w:tcW w:w="4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40" w:type="dxa"/>
            <w:vAlign w:val="bottom"/>
            <w:gridSpan w:val="2"/>
            <w:vMerge w:val="continue"/>
          </w:tcPr>
          <w:p>
            <w:pPr>
              <w:spacing w:after="0"/>
              <w:rPr>
                <w:sz w:val="16"/>
                <w:szCs w:val="16"/>
                <w:color w:val="auto"/>
              </w:rPr>
            </w:pPr>
          </w:p>
        </w:tc>
        <w:tc>
          <w:tcPr>
            <w:tcW w:w="4480" w:type="dxa"/>
            <w:vAlign w:val="bottom"/>
          </w:tcPr>
          <w:p>
            <w:pPr>
              <w:spacing w:after="0"/>
              <w:rPr>
                <w:sz w:val="16"/>
                <w:szCs w:val="16"/>
                <w:color w:val="auto"/>
              </w:rPr>
            </w:pPr>
          </w:p>
        </w:tc>
        <w:tc>
          <w:tcPr>
            <w:tcW w:w="640" w:type="dxa"/>
            <w:vAlign w:val="bottom"/>
          </w:tcPr>
          <w:p>
            <w:pPr>
              <w:jc w:val="right"/>
              <w:ind w:right="464"/>
              <w:spacing w:after="0" w:line="194" w:lineRule="exact"/>
              <w:rPr>
                <w:sz w:val="20"/>
                <w:szCs w:val="20"/>
                <w:color w:val="auto"/>
              </w:rPr>
            </w:pPr>
            <w:r>
              <w:rPr>
                <w:rFonts w:ascii="Arial" w:cs="Arial" w:eastAsia="Arial" w:hAnsi="Arial"/>
                <w:sz w:val="17"/>
                <w:szCs w:val="17"/>
                <w:color w:val="auto"/>
                <w:w w:val="84"/>
              </w:rPr>
              <w:t>$</w:t>
            </w:r>
          </w:p>
        </w:tc>
        <w:tc>
          <w:tcPr>
            <w:tcW w:w="44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1</w:t>
            </w:r>
          </w:p>
        </w:tc>
        <w:tc>
          <w:tcPr>
            <w:tcW w:w="880" w:type="dxa"/>
            <w:vAlign w:val="bottom"/>
            <w:gridSpan w:val="2"/>
          </w:tcPr>
          <w:p>
            <w:pPr>
              <w:jc w:val="right"/>
              <w:ind w:right="540"/>
              <w:spacing w:after="0" w:line="194" w:lineRule="exact"/>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420"/>
              <w:spacing w:after="0" w:line="194"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512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120" w:type="dxa"/>
            <w:vAlign w:val="bottom"/>
            <w:gridSpan w:val="2"/>
          </w:tcPr>
          <w:p>
            <w:pPr>
              <w:jc w:val="right"/>
              <w:ind w:right="3264"/>
              <w:spacing w:after="0"/>
              <w:rPr>
                <w:sz w:val="20"/>
                <w:szCs w:val="20"/>
                <w:color w:val="auto"/>
              </w:rPr>
            </w:pPr>
            <w:r>
              <w:rPr>
                <w:rFonts w:ascii="Arial" w:cs="Arial" w:eastAsia="Arial" w:hAnsi="Arial"/>
                <w:sz w:val="16"/>
                <w:szCs w:val="16"/>
                <w:color w:val="auto"/>
              </w:rPr>
              <w:t>F-21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jc w:val="center"/>
        <w:ind w:right="-15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p>
      <w:pPr>
        <w:ind w:left="160" w:right="60"/>
        <w:spacing w:after="0" w:line="239" w:lineRule="auto"/>
        <w:rPr>
          <w:sz w:val="20"/>
          <w:szCs w:val="20"/>
          <w:color w:val="auto"/>
        </w:rPr>
      </w:pPr>
      <w:r>
        <w:rPr>
          <w:rFonts w:ascii="Arial" w:cs="Arial" w:eastAsia="Arial" w:hAnsi="Arial"/>
          <w:sz w:val="17"/>
          <w:szCs w:val="17"/>
          <w:color w:val="auto"/>
        </w:rPr>
        <w:t>A reconciliation of the provision for income taxes computed using the U.S. statutory federal income tax rate compared to the income tax provision included in the statement of operations and comprehensive loss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8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7"/>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4"/>
        </w:trPr>
        <w:tc>
          <w:tcPr>
            <w:tcW w:w="82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39"/>
              <w:spacing w:after="0" w:line="154"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7"/>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28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Tax at U.S. statutory rate on income before income taxes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(2,409)</w:t>
            </w:r>
          </w:p>
        </w:tc>
        <w:tc>
          <w:tcPr>
            <w:tcW w:w="340" w:type="dxa"/>
            <w:vAlign w:val="bottom"/>
            <w:gridSpan w:val="2"/>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(11,217)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280" w:type="dxa"/>
            <w:vAlign w:val="bottom"/>
          </w:tcPr>
          <w:p>
            <w:pPr>
              <w:spacing w:after="0" w:line="187" w:lineRule="exact"/>
              <w:rPr>
                <w:sz w:val="20"/>
                <w:szCs w:val="20"/>
                <w:color w:val="auto"/>
              </w:rPr>
            </w:pPr>
            <w:r>
              <w:rPr>
                <w:rFonts w:ascii="Arial" w:cs="Arial" w:eastAsia="Arial" w:hAnsi="Arial"/>
                <w:sz w:val="17"/>
                <w:szCs w:val="17"/>
                <w:color w:val="auto"/>
              </w:rPr>
              <w:t>Change in valuation allowance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right"/>
              <w:ind w:right="340"/>
              <w:spacing w:after="0" w:line="187" w:lineRule="exact"/>
              <w:rPr>
                <w:sz w:val="20"/>
                <w:szCs w:val="20"/>
                <w:color w:val="auto"/>
              </w:rPr>
            </w:pPr>
            <w:r>
              <w:rPr>
                <w:rFonts w:ascii="Arial" w:cs="Arial" w:eastAsia="Arial" w:hAnsi="Arial"/>
                <w:sz w:val="17"/>
                <w:szCs w:val="17"/>
                <w:color w:val="auto"/>
              </w:rPr>
              <w:t>2,999</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10,986</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Research and development credits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(635)</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187"/>
        </w:trPr>
        <w:tc>
          <w:tcPr>
            <w:tcW w:w="8280" w:type="dxa"/>
            <w:vAlign w:val="bottom"/>
          </w:tcPr>
          <w:p>
            <w:pPr>
              <w:spacing w:after="0" w:line="187" w:lineRule="exact"/>
              <w:rPr>
                <w:sz w:val="20"/>
                <w:szCs w:val="20"/>
                <w:color w:val="auto"/>
              </w:rPr>
            </w:pPr>
            <w:r>
              <w:rPr>
                <w:rFonts w:ascii="Arial" w:cs="Arial" w:eastAsia="Arial" w:hAnsi="Arial"/>
                <w:sz w:val="17"/>
                <w:szCs w:val="17"/>
                <w:color w:val="auto"/>
              </w:rPr>
              <w:t>State taxes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340"/>
              <w:spacing w:after="0" w:line="187" w:lineRule="exact"/>
              <w:rPr>
                <w:sz w:val="20"/>
                <w:szCs w:val="20"/>
                <w:color w:val="auto"/>
              </w:rPr>
            </w:pPr>
            <w:r>
              <w:rPr>
                <w:rFonts w:ascii="Arial" w:cs="Arial" w:eastAsia="Arial" w:hAnsi="Arial"/>
                <w:sz w:val="17"/>
                <w:szCs w:val="17"/>
                <w:color w:val="auto"/>
              </w:rPr>
              <w:t>45</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7"/>
                <w:szCs w:val="17"/>
                <w:color w:val="auto"/>
              </w:rPr>
              <w:t>Total provision for income taxes</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280" w:type="dxa"/>
            <w:vAlign w:val="bottom"/>
            <w:vMerge w:val="continue"/>
          </w:tcPr>
          <w:p>
            <w:pPr>
              <w:spacing w:after="0"/>
              <w:rPr>
                <w:sz w:val="16"/>
                <w:szCs w:val="16"/>
                <w:color w:val="auto"/>
              </w:rPr>
            </w:pPr>
          </w:p>
        </w:tc>
        <w:tc>
          <w:tcPr>
            <w:tcW w:w="180" w:type="dxa"/>
            <w:vAlign w:val="bottom"/>
            <w:gridSpan w:val="2"/>
          </w:tcPr>
          <w:p>
            <w:pPr>
              <w:jc w:val="right"/>
              <w:ind w:right="6"/>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w:t>
            </w:r>
          </w:p>
        </w:tc>
        <w:tc>
          <w:tcPr>
            <w:tcW w:w="320" w:type="dxa"/>
            <w:vAlign w:val="bottom"/>
          </w:tcPr>
          <w:p>
            <w:pPr>
              <w:spacing w:after="0"/>
              <w:rPr>
                <w:sz w:val="16"/>
                <w:szCs w:val="16"/>
                <w:color w:val="auto"/>
              </w:rPr>
            </w:pPr>
          </w:p>
        </w:tc>
        <w:tc>
          <w:tcPr>
            <w:tcW w:w="480" w:type="dxa"/>
            <w:vAlign w:val="bottom"/>
            <w:gridSpan w:val="2"/>
          </w:tcPr>
          <w:p>
            <w:pPr>
              <w:jc w:val="right"/>
              <w:ind w:right="46"/>
              <w:spacing w:after="0" w:line="194"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right="240"/>
        <w:spacing w:after="0" w:line="236" w:lineRule="auto"/>
        <w:rPr>
          <w:sz w:val="20"/>
          <w:szCs w:val="20"/>
          <w:color w:val="auto"/>
        </w:rPr>
      </w:pPr>
      <w:r>
        <w:rPr>
          <w:rFonts w:ascii="Arial" w:cs="Arial" w:eastAsia="Arial" w:hAnsi="Arial"/>
          <w:sz w:val="17"/>
          <w:szCs w:val="17"/>
          <w:color w:val="auto"/>
        </w:rPr>
        <w:t>Deferred tax assets and liabilities are determined based on the differences between financial reporting and income tax bases of assets and liabilities, as well as net operating loss carryforwards and are measured using the enacted tax rates and laws in effect when the differences are expected to reverse. The significant components of the Company’s deferred tax assets and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7"/>
              <w:spacing w:after="0" w:line="154"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4"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4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Deferred tax assets: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20" w:type="dxa"/>
            <w:vAlign w:val="bottom"/>
          </w:tcPr>
          <w:p>
            <w:pPr>
              <w:ind w:left="480"/>
              <w:spacing w:after="0" w:line="187" w:lineRule="exact"/>
              <w:rPr>
                <w:sz w:val="20"/>
                <w:szCs w:val="20"/>
                <w:color w:val="auto"/>
              </w:rPr>
            </w:pPr>
            <w:r>
              <w:rPr>
                <w:rFonts w:ascii="Arial" w:cs="Arial" w:eastAsia="Arial" w:hAnsi="Arial"/>
                <w:sz w:val="17"/>
                <w:szCs w:val="17"/>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87" w:lineRule="exact"/>
              <w:rPr>
                <w:sz w:val="20"/>
                <w:szCs w:val="20"/>
                <w:color w:val="auto"/>
              </w:rPr>
            </w:pPr>
            <w:r>
              <w:rPr>
                <w:rFonts w:ascii="Arial" w:cs="Arial" w:eastAsia="Arial" w:hAnsi="Arial"/>
                <w:sz w:val="17"/>
                <w:szCs w:val="17"/>
                <w:color w:val="auto"/>
              </w:rPr>
              <w:t>7,267</w:t>
            </w:r>
          </w:p>
        </w:tc>
        <w:tc>
          <w:tcPr>
            <w:tcW w:w="580" w:type="dxa"/>
            <w:vAlign w:val="bottom"/>
          </w:tcPr>
          <w:p>
            <w:pPr>
              <w:spacing w:after="0"/>
              <w:rPr>
                <w:sz w:val="16"/>
                <w:szCs w:val="16"/>
                <w:color w:val="auto"/>
              </w:rPr>
            </w:pPr>
          </w:p>
        </w:tc>
        <w:tc>
          <w:tcPr>
            <w:tcW w:w="100" w:type="dxa"/>
            <w:vAlign w:val="bottom"/>
          </w:tcPr>
          <w:p>
            <w:pPr>
              <w:jc w:val="right"/>
              <w:spacing w:after="0" w:line="187"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540"/>
              <w:spacing w:after="0" w:line="187" w:lineRule="exact"/>
              <w:rPr>
                <w:sz w:val="20"/>
                <w:szCs w:val="20"/>
                <w:color w:val="auto"/>
              </w:rPr>
            </w:pPr>
            <w:r>
              <w:rPr>
                <w:rFonts w:ascii="Arial" w:cs="Arial" w:eastAsia="Arial" w:hAnsi="Arial"/>
                <w:sz w:val="17"/>
                <w:szCs w:val="17"/>
                <w:color w:val="auto"/>
              </w:rPr>
              <w:t>9,681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20" w:type="dxa"/>
            <w:vAlign w:val="bottom"/>
            <w:shd w:val="clear" w:color="auto" w:fill="CCEEFF"/>
          </w:tcPr>
          <w:p>
            <w:pPr>
              <w:ind w:left="480"/>
              <w:spacing w:after="0" w:line="187" w:lineRule="exact"/>
              <w:rPr>
                <w:sz w:val="20"/>
                <w:szCs w:val="20"/>
                <w:color w:val="auto"/>
              </w:rPr>
            </w:pPr>
            <w:r>
              <w:rPr>
                <w:rFonts w:ascii="Arial" w:cs="Arial" w:eastAsia="Arial" w:hAnsi="Arial"/>
                <w:sz w:val="17"/>
                <w:szCs w:val="17"/>
                <w:color w:val="auto"/>
              </w:rPr>
              <w:t>Research and other tax credits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2,603</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40"/>
              <w:spacing w:after="0" w:line="187" w:lineRule="exact"/>
              <w:rPr>
                <w:sz w:val="20"/>
                <w:szCs w:val="20"/>
                <w:color w:val="auto"/>
              </w:rPr>
            </w:pPr>
            <w:r>
              <w:rPr>
                <w:rFonts w:ascii="Arial" w:cs="Arial" w:eastAsia="Arial" w:hAnsi="Arial"/>
                <w:sz w:val="17"/>
                <w:szCs w:val="17"/>
                <w:color w:val="auto"/>
              </w:rPr>
              <w:t>2,652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20" w:type="dxa"/>
            <w:vAlign w:val="bottom"/>
          </w:tcPr>
          <w:p>
            <w:pPr>
              <w:ind w:left="480"/>
              <w:spacing w:after="0" w:line="187" w:lineRule="exact"/>
              <w:rPr>
                <w:sz w:val="20"/>
                <w:szCs w:val="20"/>
                <w:color w:val="auto"/>
              </w:rPr>
            </w:pPr>
            <w:r>
              <w:rPr>
                <w:rFonts w:ascii="Arial" w:cs="Arial" w:eastAsia="Arial" w:hAnsi="Arial"/>
                <w:sz w:val="17"/>
                <w:szCs w:val="17"/>
                <w:color w:val="auto"/>
              </w:rPr>
              <w:t>Property and equipment</w:t>
            </w:r>
          </w:p>
        </w:tc>
        <w:tc>
          <w:tcPr>
            <w:tcW w:w="100" w:type="dxa"/>
            <w:vAlign w:val="bottom"/>
          </w:tcPr>
          <w:p>
            <w:pPr>
              <w:spacing w:after="0"/>
              <w:rPr>
                <w:sz w:val="16"/>
                <w:szCs w:val="16"/>
                <w:color w:val="auto"/>
              </w:rPr>
            </w:pPr>
          </w:p>
        </w:tc>
        <w:tc>
          <w:tcPr>
            <w:tcW w:w="1160" w:type="dxa"/>
            <w:vAlign w:val="bottom"/>
            <w:gridSpan w:val="2"/>
          </w:tcPr>
          <w:p>
            <w:pPr>
              <w:jc w:val="right"/>
              <w:ind w:right="580"/>
              <w:spacing w:after="0" w:line="187"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540"/>
              <w:spacing w:after="0" w:line="187"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20" w:type="dxa"/>
            <w:vAlign w:val="bottom"/>
            <w:shd w:val="clear" w:color="auto" w:fill="CCEEFF"/>
          </w:tcPr>
          <w:p>
            <w:pPr>
              <w:ind w:left="480"/>
              <w:spacing w:after="0" w:line="187" w:lineRule="exact"/>
              <w:rPr>
                <w:sz w:val="20"/>
                <w:szCs w:val="20"/>
                <w:color w:val="auto"/>
              </w:rPr>
            </w:pPr>
            <w:r>
              <w:rPr>
                <w:rFonts w:ascii="Arial" w:cs="Arial" w:eastAsia="Arial" w:hAnsi="Arial"/>
                <w:sz w:val="17"/>
                <w:szCs w:val="17"/>
                <w:color w:val="auto"/>
              </w:rPr>
              <w:t>Intangible assets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27</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40"/>
              <w:spacing w:after="0" w:line="187" w:lineRule="exact"/>
              <w:rPr>
                <w:sz w:val="20"/>
                <w:szCs w:val="20"/>
                <w:color w:val="auto"/>
              </w:rPr>
            </w:pPr>
            <w:r>
              <w:rPr>
                <w:rFonts w:ascii="Arial" w:cs="Arial" w:eastAsia="Arial" w:hAnsi="Arial"/>
                <w:sz w:val="17"/>
                <w:szCs w:val="17"/>
                <w:color w:val="auto"/>
              </w:rPr>
              <w:t>8,019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20" w:type="dxa"/>
            <w:vAlign w:val="bottom"/>
          </w:tcPr>
          <w:p>
            <w:pPr>
              <w:ind w:left="480"/>
              <w:spacing w:after="0" w:line="187" w:lineRule="exact"/>
              <w:rPr>
                <w:sz w:val="20"/>
                <w:szCs w:val="20"/>
                <w:color w:val="auto"/>
              </w:rPr>
            </w:pPr>
            <w:r>
              <w:rPr>
                <w:rFonts w:ascii="Arial" w:cs="Arial" w:eastAsia="Arial" w:hAnsi="Arial"/>
                <w:sz w:val="17"/>
                <w:szCs w:val="17"/>
                <w:color w:val="auto"/>
              </w:rPr>
              <w:t>Stock-based compensation</w:t>
            </w:r>
          </w:p>
        </w:tc>
        <w:tc>
          <w:tcPr>
            <w:tcW w:w="100" w:type="dxa"/>
            <w:vAlign w:val="bottom"/>
          </w:tcPr>
          <w:p>
            <w:pPr>
              <w:spacing w:after="0"/>
              <w:rPr>
                <w:sz w:val="16"/>
                <w:szCs w:val="16"/>
                <w:color w:val="auto"/>
              </w:rPr>
            </w:pPr>
          </w:p>
        </w:tc>
        <w:tc>
          <w:tcPr>
            <w:tcW w:w="580" w:type="dxa"/>
            <w:vAlign w:val="bottom"/>
          </w:tcPr>
          <w:p>
            <w:pPr>
              <w:jc w:val="right"/>
              <w:spacing w:after="0" w:line="187" w:lineRule="exact"/>
              <w:rPr>
                <w:sz w:val="20"/>
                <w:szCs w:val="20"/>
                <w:color w:val="auto"/>
              </w:rPr>
            </w:pPr>
            <w:r>
              <w:rPr>
                <w:rFonts w:ascii="Arial" w:cs="Arial" w:eastAsia="Arial" w:hAnsi="Arial"/>
                <w:sz w:val="17"/>
                <w:szCs w:val="17"/>
                <w:color w:val="auto"/>
              </w:rPr>
              <w:t>63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540"/>
              <w:spacing w:after="0" w:line="187" w:lineRule="exact"/>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20" w:type="dxa"/>
            <w:vAlign w:val="bottom"/>
            <w:shd w:val="clear" w:color="auto" w:fill="CCEEFF"/>
          </w:tcPr>
          <w:p>
            <w:pPr>
              <w:ind w:left="480"/>
              <w:spacing w:after="0" w:line="187" w:lineRule="exact"/>
              <w:rPr>
                <w:sz w:val="20"/>
                <w:szCs w:val="20"/>
                <w:color w:val="auto"/>
              </w:rPr>
            </w:pPr>
            <w:r>
              <w:rPr>
                <w:rFonts w:ascii="Arial" w:cs="Arial" w:eastAsia="Arial" w:hAnsi="Arial"/>
                <w:sz w:val="17"/>
                <w:szCs w:val="17"/>
                <w:color w:val="auto"/>
              </w:rPr>
              <w:t>Reserves and accruals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108</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40"/>
              <w:spacing w:after="0" w:line="187" w:lineRule="exact"/>
              <w:rPr>
                <w:sz w:val="20"/>
                <w:szCs w:val="20"/>
                <w:color w:val="auto"/>
              </w:rPr>
            </w:pPr>
            <w:r>
              <w:rPr>
                <w:rFonts w:ascii="Arial" w:cs="Arial" w:eastAsia="Arial" w:hAnsi="Arial"/>
                <w:sz w:val="17"/>
                <w:szCs w:val="17"/>
                <w:color w:val="auto"/>
              </w:rPr>
              <w:t>554</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7"/>
                <w:szCs w:val="17"/>
                <w:color w:val="auto"/>
              </w:rPr>
              <w:t>Total deferred tax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10,068</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540"/>
              <w:spacing w:after="0" w:line="194" w:lineRule="exact"/>
              <w:rPr>
                <w:sz w:val="20"/>
                <w:szCs w:val="20"/>
                <w:color w:val="auto"/>
              </w:rPr>
            </w:pPr>
            <w:r>
              <w:rPr>
                <w:rFonts w:ascii="Arial" w:cs="Arial" w:eastAsia="Arial" w:hAnsi="Arial"/>
                <w:sz w:val="17"/>
                <w:szCs w:val="17"/>
                <w:color w:val="auto"/>
              </w:rPr>
              <w:t>21,050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Valuation allowance</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20"/>
              <w:spacing w:after="0" w:line="187" w:lineRule="exact"/>
              <w:rPr>
                <w:sz w:val="20"/>
                <w:szCs w:val="20"/>
                <w:color w:val="auto"/>
              </w:rPr>
            </w:pPr>
            <w:r>
              <w:rPr>
                <w:rFonts w:ascii="Arial" w:cs="Arial" w:eastAsia="Arial" w:hAnsi="Arial"/>
                <w:sz w:val="17"/>
                <w:szCs w:val="17"/>
                <w:color w:val="auto"/>
                <w:w w:val="97"/>
              </w:rPr>
              <w:t>(10,002)</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80"/>
              <w:spacing w:after="0" w:line="187" w:lineRule="exact"/>
              <w:rPr>
                <w:sz w:val="20"/>
                <w:szCs w:val="20"/>
                <w:color w:val="auto"/>
              </w:rPr>
            </w:pPr>
            <w:r>
              <w:rPr>
                <w:rFonts w:ascii="Arial" w:cs="Arial" w:eastAsia="Arial" w:hAnsi="Arial"/>
                <w:sz w:val="17"/>
                <w:szCs w:val="17"/>
                <w:color w:val="auto"/>
                <w:w w:val="97"/>
              </w:rPr>
              <w:t>(21,050)</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7"/>
                <w:szCs w:val="17"/>
                <w:color w:val="auto"/>
              </w:rPr>
              <w:t>Total deferred tax assets, net of valuation allowance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440" w:type="dxa"/>
            <w:vAlign w:val="bottom"/>
            <w:gridSpan w:val="2"/>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66</w:t>
            </w:r>
          </w:p>
        </w:tc>
        <w:tc>
          <w:tcPr>
            <w:tcW w:w="58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54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4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Deferred tax liabilities: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20" w:type="dxa"/>
            <w:vAlign w:val="bottom"/>
          </w:tcPr>
          <w:p>
            <w:pPr>
              <w:ind w:left="480"/>
              <w:spacing w:after="0" w:line="187" w:lineRule="exact"/>
              <w:rPr>
                <w:sz w:val="20"/>
                <w:szCs w:val="20"/>
                <w:color w:val="auto"/>
              </w:rPr>
            </w:pPr>
            <w:r>
              <w:rPr>
                <w:rFonts w:ascii="Arial" w:cs="Arial" w:eastAsia="Arial" w:hAnsi="Arial"/>
                <w:sz w:val="17"/>
                <w:szCs w:val="17"/>
                <w:color w:val="auto"/>
              </w:rPr>
              <w:t>Property and equipment</w:t>
            </w:r>
          </w:p>
        </w:tc>
        <w:tc>
          <w:tcPr>
            <w:tcW w:w="100" w:type="dxa"/>
            <w:vAlign w:val="bottom"/>
          </w:tcPr>
          <w:p>
            <w:pPr>
              <w:spacing w:after="0"/>
              <w:rPr>
                <w:sz w:val="16"/>
                <w:szCs w:val="16"/>
                <w:color w:val="auto"/>
              </w:rPr>
            </w:pPr>
          </w:p>
        </w:tc>
        <w:tc>
          <w:tcPr>
            <w:tcW w:w="1160" w:type="dxa"/>
            <w:vAlign w:val="bottom"/>
            <w:gridSpan w:val="2"/>
          </w:tcPr>
          <w:p>
            <w:pPr>
              <w:jc w:val="right"/>
              <w:ind w:right="520"/>
              <w:spacing w:after="0" w:line="187" w:lineRule="exact"/>
              <w:rPr>
                <w:sz w:val="20"/>
                <w:szCs w:val="20"/>
                <w:color w:val="auto"/>
              </w:rPr>
            </w:pPr>
            <w:r>
              <w:rPr>
                <w:rFonts w:ascii="Arial" w:cs="Arial" w:eastAsia="Arial" w:hAnsi="Arial"/>
                <w:sz w:val="17"/>
                <w:szCs w:val="17"/>
                <w:color w:val="auto"/>
              </w:rPr>
              <w:t>(66)</w:t>
            </w:r>
          </w:p>
        </w:tc>
        <w:tc>
          <w:tcPr>
            <w:tcW w:w="100" w:type="dxa"/>
            <w:vAlign w:val="bottom"/>
          </w:tcPr>
          <w:p>
            <w:pPr>
              <w:spacing w:after="0"/>
              <w:rPr>
                <w:sz w:val="16"/>
                <w:szCs w:val="16"/>
                <w:color w:val="auto"/>
              </w:rPr>
            </w:pPr>
          </w:p>
        </w:tc>
        <w:tc>
          <w:tcPr>
            <w:tcW w:w="1120" w:type="dxa"/>
            <w:vAlign w:val="bottom"/>
            <w:gridSpan w:val="2"/>
          </w:tcPr>
          <w:p>
            <w:pPr>
              <w:jc w:val="right"/>
              <w:ind w:right="54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continue"/>
          </w:tcPr>
          <w:p>
            <w:pPr>
              <w:spacing w:after="0"/>
              <w:rPr>
                <w:sz w:val="16"/>
                <w:szCs w:val="16"/>
                <w:color w:val="auto"/>
              </w:rPr>
            </w:pPr>
          </w:p>
        </w:tc>
        <w:tc>
          <w:tcPr>
            <w:tcW w:w="84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Total deferred tax liabilities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20"/>
              <w:spacing w:after="0" w:line="187" w:lineRule="exact"/>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40"/>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7"/>
                <w:szCs w:val="17"/>
                <w:color w:val="auto"/>
              </w:rPr>
              <w:t>Net deferred tax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440" w:type="dxa"/>
            <w:vAlign w:val="bottom"/>
            <w:gridSpan w:val="2"/>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54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of December 31, 2020, the Company has federal and state net operating loss carryforwards of $44,007 and $3,531, respectively, of which</w:t>
      </w:r>
    </w:p>
    <w:p>
      <w:pPr>
        <w:ind w:left="160" w:right="40"/>
        <w:spacing w:after="0" w:line="234" w:lineRule="auto"/>
        <w:rPr>
          <w:sz w:val="20"/>
          <w:szCs w:val="20"/>
          <w:color w:val="auto"/>
        </w:rPr>
      </w:pPr>
      <w:r>
        <w:rPr>
          <w:rFonts w:ascii="Arial" w:cs="Arial" w:eastAsia="Arial" w:hAnsi="Arial"/>
          <w:sz w:val="17"/>
          <w:szCs w:val="17"/>
          <w:color w:val="auto"/>
        </w:rPr>
        <w:t>$10,246 of federal net operating loss carryforwards and $3,531 of state net operating carryforwards will begin expiring in the year 2032 and 2036, respectively, if not utilized. The Company also has $33,761 of federal net operating loss carryforwards as of December 31, 2020 that does not expire as a result of recent tax law changes. The Company has $2,159 and $1,156 of federal and state research and development tax credit carryforwards, which will begin to expire in the year of 2037 and 2033, respectively.</w:t>
      </w:r>
    </w:p>
    <w:p>
      <w:pPr>
        <w:spacing w:after="0" w:line="147" w:lineRule="exact"/>
        <w:rPr>
          <w:sz w:val="20"/>
          <w:szCs w:val="20"/>
          <w:color w:val="auto"/>
        </w:rPr>
      </w:pPr>
    </w:p>
    <w:p>
      <w:pPr>
        <w:ind w:left="160" w:right="100"/>
        <w:spacing w:after="0" w:line="234" w:lineRule="auto"/>
        <w:rPr>
          <w:sz w:val="20"/>
          <w:szCs w:val="20"/>
          <w:color w:val="auto"/>
        </w:rPr>
      </w:pPr>
      <w:r>
        <w:rPr>
          <w:rFonts w:ascii="Arial" w:cs="Arial" w:eastAsia="Arial" w:hAnsi="Arial"/>
          <w:sz w:val="17"/>
          <w:szCs w:val="17"/>
          <w:color w:val="auto"/>
        </w:rPr>
        <w:t>Utilization of the federal and state net operating loss and tax credit carryforwards may be subject to a substantial annual limitation due to the “change in ownership” provisions of the Internal Revenue Code of 1986. The annual limitation may result in the expiration of net operating losses and credits before utilization. The Company has not performed an analysis to determine if such ownership changes have occurred. An analysis will be performed prior to recognizing the benefits of any losses or credits in the financial statements.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080"/>
          </w:cols>
          <w:pgMar w:left="320" w:top="456" w:right="4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jc w:val="center"/>
        <w:ind w:right="-15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p>
      <w:pPr>
        <w:ind w:left="160" w:right="20"/>
        <w:spacing w:after="0" w:line="234" w:lineRule="auto"/>
        <w:rPr>
          <w:sz w:val="20"/>
          <w:szCs w:val="20"/>
          <w:color w:val="auto"/>
        </w:rPr>
      </w:pPr>
      <w:r>
        <w:rPr>
          <w:rFonts w:ascii="Arial" w:cs="Arial" w:eastAsia="Arial" w:hAnsi="Arial"/>
          <w:sz w:val="17"/>
          <w:szCs w:val="17"/>
          <w:color w:val="auto"/>
        </w:rPr>
        <w:t>Management assesses the available positive and negative evidence to estimate if sufficient future taxable income will be generated to use the existing deferred tax assets. Based on the weight of all evidence including a history of operating losses, management has determined that it is not more likely than not that the net deferred tax assets will be realized. A valuation allowance of $10,002 and $21,050 for the year ended December 31, 2019 and 2020 has been established to offset the deferred tax assets as realization of such assets is uncertain.</w:t>
      </w:r>
    </w:p>
    <w:p>
      <w:pPr>
        <w:spacing w:after="0" w:line="147" w:lineRule="exact"/>
        <w:rPr>
          <w:sz w:val="20"/>
          <w:szCs w:val="20"/>
          <w:color w:val="auto"/>
        </w:rPr>
      </w:pPr>
    </w:p>
    <w:p>
      <w:pPr>
        <w:ind w:left="160" w:right="260"/>
        <w:spacing w:after="0" w:line="233" w:lineRule="auto"/>
        <w:rPr>
          <w:sz w:val="20"/>
          <w:szCs w:val="20"/>
          <w:color w:val="auto"/>
        </w:rPr>
      </w:pPr>
      <w:r>
        <w:rPr>
          <w:rFonts w:ascii="Arial" w:cs="Arial" w:eastAsia="Arial" w:hAnsi="Arial"/>
          <w:sz w:val="17"/>
          <w:szCs w:val="17"/>
          <w:color w:val="auto"/>
        </w:rPr>
        <w:t>The Company accounts for income taxes in accordance with authoritative accounting guidance which states the impact of an uncertain income tax position is recognized at the largest amount that is “more likely than not” to be sustained upon audit by the relevant taxing authority. An uncertain tax position will not be recognized if it has less than a 50% likelihood of being sustained. As of December 31, 2019 and 2020, the Company had no material unrecognized tax benefits. No significant interest or penalties were recorded during the years ended December 31, 2019 and 2020. We are currently unaware of any uncertain tax positions that could result in significant additional payments, accruals, or other material deviation in this estimate over the next 12 months.</w:t>
      </w:r>
    </w:p>
    <w:p>
      <w:pPr>
        <w:spacing w:after="0" w:line="145" w:lineRule="exact"/>
        <w:rPr>
          <w:sz w:val="20"/>
          <w:szCs w:val="20"/>
          <w:color w:val="auto"/>
        </w:rPr>
      </w:pPr>
    </w:p>
    <w:p>
      <w:pPr>
        <w:ind w:left="160" w:right="140"/>
        <w:spacing w:after="0" w:line="234"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the United States and state jurisdictions where applicable. There are currently no pending income tax examinations. The Company’s tax years from inception to 2020 are subject to examination by the federal and various state tax authorities due to the carryforward of unutilized net operating losses.</w:t>
      </w:r>
    </w:p>
    <w:p>
      <w:pPr>
        <w:spacing w:after="0" w:line="147" w:lineRule="exact"/>
        <w:rPr>
          <w:sz w:val="20"/>
          <w:szCs w:val="20"/>
          <w:color w:val="auto"/>
        </w:rPr>
      </w:pPr>
    </w:p>
    <w:p>
      <w:pPr>
        <w:ind w:left="160" w:right="100"/>
        <w:spacing w:after="0" w:line="233" w:lineRule="auto"/>
        <w:rPr>
          <w:sz w:val="20"/>
          <w:szCs w:val="20"/>
          <w:color w:val="auto"/>
        </w:rPr>
      </w:pPr>
      <w:r>
        <w:rPr>
          <w:rFonts w:ascii="Arial" w:cs="Arial" w:eastAsia="Arial" w:hAnsi="Arial"/>
          <w:sz w:val="17"/>
          <w:szCs w:val="17"/>
          <w:color w:val="auto"/>
        </w:rPr>
        <w:t>The Coronavirus Aid, Relief, and Economic Security Act (the “CARES Act”) was enacted March 27, 2020. The CARES Act provided for various payroll tax incentives, changes to net operating loss carryback and carryforward rules, business interest expense limitation increases, and bonus depreciation on qualified improvement property. Additionally, the Consolidated Appropriations Act of 2021, which was signed on December 27, 2020, provided additional COVID relief provisions for businesses. The Company has evaluated the impact of the both statutes and has determined that any impact is not material to its financial statements.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11. COMMITMENTS AND CONTINGENCIES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aggregate future minimum lease payments for operating leases as of December 31,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SUBLEASE</w:t>
            </w:r>
          </w:p>
        </w:tc>
        <w:tc>
          <w:tcPr>
            <w:tcW w:w="0" w:type="dxa"/>
            <w:vAlign w:val="bottom"/>
          </w:tcPr>
          <w:p>
            <w:pPr>
              <w:spacing w:after="0"/>
              <w:rPr>
                <w:sz w:val="1"/>
                <w:szCs w:val="1"/>
                <w:color w:val="auto"/>
              </w:rPr>
            </w:pPr>
          </w:p>
        </w:tc>
      </w:tr>
      <w:tr>
        <w:trPr>
          <w:trHeight w:val="177"/>
        </w:trPr>
        <w:tc>
          <w:tcPr>
            <w:tcW w:w="872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5"/>
                <w:szCs w:val="15"/>
                <w:color w:val="auto"/>
              </w:rPr>
            </w:pPr>
          </w:p>
        </w:tc>
        <w:tc>
          <w:tcPr>
            <w:tcW w:w="1060" w:type="dxa"/>
            <w:vAlign w:val="bottom"/>
            <w:gridSpan w:val="4"/>
          </w:tcPr>
          <w:p>
            <w:pPr>
              <w:ind w:left="20"/>
              <w:spacing w:after="0" w:line="177" w:lineRule="exact"/>
              <w:rPr>
                <w:sz w:val="20"/>
                <w:szCs w:val="20"/>
                <w:color w:val="auto"/>
              </w:rPr>
            </w:pPr>
            <w:r>
              <w:rPr>
                <w:rFonts w:ascii="Arial" w:cs="Arial" w:eastAsia="Arial" w:hAnsi="Arial"/>
                <w:sz w:val="12"/>
                <w:szCs w:val="12"/>
                <w:b w:val="1"/>
                <w:bCs w:val="1"/>
                <w:color w:val="auto"/>
              </w:rPr>
              <w:t xml:space="preserve">LEASES </w:t>
            </w:r>
            <w:r>
              <w:rPr>
                <w:rFonts w:ascii="Arial" w:cs="Arial" w:eastAsia="Arial" w:hAnsi="Arial"/>
                <w:sz w:val="20"/>
                <w:szCs w:val="20"/>
                <w:b w:val="1"/>
                <w:bCs w:val="1"/>
                <w:color w:val="auto"/>
                <w:vertAlign w:val="superscript"/>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81"/>
        </w:trPr>
        <w:tc>
          <w:tcPr>
            <w:tcW w:w="872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2021</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2,838</w:t>
            </w:r>
          </w:p>
        </w:tc>
        <w:tc>
          <w:tcPr>
            <w:tcW w:w="240" w:type="dxa"/>
            <w:vAlign w:val="bottom"/>
            <w:tcBorders>
              <w:top w:val="single" w:sz="8" w:color="CCEEFF"/>
            </w:tcBorders>
            <w:gridSpan w:val="2"/>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ind w:left="220"/>
              <w:spacing w:after="0" w:line="180" w:lineRule="exact"/>
              <w:rPr>
                <w:sz w:val="20"/>
                <w:szCs w:val="20"/>
                <w:color w:val="auto"/>
              </w:rPr>
            </w:pPr>
            <w:r>
              <w:rPr>
                <w:rFonts w:ascii="Arial" w:cs="Arial" w:eastAsia="Arial" w:hAnsi="Arial"/>
                <w:sz w:val="17"/>
                <w:szCs w:val="17"/>
                <w:color w:val="auto"/>
                <w:w w:val="85"/>
              </w:rPr>
              <w:t>(1,746)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720" w:type="dxa"/>
            <w:vAlign w:val="bottom"/>
          </w:tcPr>
          <w:p>
            <w:pPr>
              <w:spacing w:after="0" w:line="187" w:lineRule="exact"/>
              <w:rPr>
                <w:sz w:val="20"/>
                <w:szCs w:val="20"/>
                <w:color w:val="auto"/>
              </w:rPr>
            </w:pPr>
            <w:r>
              <w:rPr>
                <w:rFonts w:ascii="Arial" w:cs="Arial" w:eastAsia="Arial" w:hAnsi="Arial"/>
                <w:sz w:val="17"/>
                <w:szCs w:val="17"/>
                <w:color w:val="auto"/>
              </w:rPr>
              <w:t>2022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jc w:val="right"/>
              <w:ind w:right="240"/>
              <w:spacing w:after="0" w:line="187" w:lineRule="exact"/>
              <w:rPr>
                <w:sz w:val="20"/>
                <w:szCs w:val="20"/>
                <w:color w:val="auto"/>
              </w:rPr>
            </w:pPr>
            <w:r>
              <w:rPr>
                <w:rFonts w:ascii="Arial" w:cs="Arial" w:eastAsia="Arial" w:hAnsi="Arial"/>
                <w:sz w:val="17"/>
                <w:szCs w:val="17"/>
                <w:color w:val="auto"/>
              </w:rPr>
              <w:t>2,295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220"/>
              <w:spacing w:after="0" w:line="187" w:lineRule="exact"/>
              <w:rPr>
                <w:sz w:val="20"/>
                <w:szCs w:val="20"/>
                <w:color w:val="auto"/>
              </w:rPr>
            </w:pPr>
            <w:r>
              <w:rPr>
                <w:rFonts w:ascii="Arial" w:cs="Arial" w:eastAsia="Arial" w:hAnsi="Arial"/>
                <w:sz w:val="17"/>
                <w:szCs w:val="17"/>
                <w:color w:val="auto"/>
              </w:rPr>
              <w:t>(1,804)</w:t>
            </w:r>
          </w:p>
        </w:tc>
        <w:tc>
          <w:tcPr>
            <w:tcW w:w="0" w:type="dxa"/>
            <w:vAlign w:val="bottom"/>
          </w:tcPr>
          <w:p>
            <w:pPr>
              <w:spacing w:after="0"/>
              <w:rPr>
                <w:sz w:val="1"/>
                <w:szCs w:val="1"/>
                <w:color w:val="auto"/>
              </w:rPr>
            </w:pPr>
          </w:p>
        </w:tc>
      </w:tr>
      <w:tr>
        <w:trPr>
          <w:trHeight w:val="187"/>
        </w:trPr>
        <w:tc>
          <w:tcPr>
            <w:tcW w:w="87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2023</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40"/>
              <w:spacing w:after="0" w:line="187" w:lineRule="exact"/>
              <w:rPr>
                <w:sz w:val="20"/>
                <w:szCs w:val="20"/>
                <w:color w:val="auto"/>
              </w:rPr>
            </w:pPr>
            <w:r>
              <w:rPr>
                <w:rFonts w:ascii="Arial" w:cs="Arial" w:eastAsia="Arial" w:hAnsi="Arial"/>
                <w:sz w:val="17"/>
                <w:szCs w:val="17"/>
                <w:color w:val="auto"/>
              </w:rPr>
              <w:t>2,351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220"/>
              <w:spacing w:after="0" w:line="187" w:lineRule="exact"/>
              <w:rPr>
                <w:sz w:val="20"/>
                <w:szCs w:val="20"/>
                <w:color w:val="auto"/>
              </w:rPr>
            </w:pPr>
            <w:r>
              <w:rPr>
                <w:rFonts w:ascii="Arial" w:cs="Arial" w:eastAsia="Arial" w:hAnsi="Arial"/>
                <w:sz w:val="17"/>
                <w:szCs w:val="17"/>
                <w:color w:val="auto"/>
              </w:rPr>
              <w:t>(1,864)</w:t>
            </w:r>
          </w:p>
        </w:tc>
        <w:tc>
          <w:tcPr>
            <w:tcW w:w="0" w:type="dxa"/>
            <w:vAlign w:val="bottom"/>
          </w:tcPr>
          <w:p>
            <w:pPr>
              <w:spacing w:after="0"/>
              <w:rPr>
                <w:sz w:val="1"/>
                <w:szCs w:val="1"/>
                <w:color w:val="auto"/>
              </w:rPr>
            </w:pPr>
          </w:p>
        </w:tc>
      </w:tr>
      <w:tr>
        <w:trPr>
          <w:trHeight w:val="187"/>
        </w:trPr>
        <w:tc>
          <w:tcPr>
            <w:tcW w:w="8720" w:type="dxa"/>
            <w:vAlign w:val="bottom"/>
          </w:tcPr>
          <w:p>
            <w:pPr>
              <w:spacing w:after="0" w:line="187" w:lineRule="exact"/>
              <w:rPr>
                <w:sz w:val="20"/>
                <w:szCs w:val="20"/>
                <w:color w:val="auto"/>
              </w:rPr>
            </w:pPr>
            <w:r>
              <w:rPr>
                <w:rFonts w:ascii="Arial" w:cs="Arial" w:eastAsia="Arial" w:hAnsi="Arial"/>
                <w:sz w:val="17"/>
                <w:szCs w:val="17"/>
                <w:color w:val="auto"/>
              </w:rPr>
              <w:t>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jc w:val="right"/>
              <w:ind w:right="240"/>
              <w:spacing w:after="0" w:line="187" w:lineRule="exact"/>
              <w:rPr>
                <w:sz w:val="20"/>
                <w:szCs w:val="20"/>
                <w:color w:val="auto"/>
              </w:rPr>
            </w:pPr>
            <w:r>
              <w:rPr>
                <w:rFonts w:ascii="Arial" w:cs="Arial" w:eastAsia="Arial" w:hAnsi="Arial"/>
                <w:sz w:val="17"/>
                <w:szCs w:val="17"/>
                <w:color w:val="auto"/>
              </w:rPr>
              <w:t>2,221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220"/>
              <w:spacing w:after="0" w:line="187" w:lineRule="exact"/>
              <w:rPr>
                <w:sz w:val="20"/>
                <w:szCs w:val="20"/>
                <w:color w:val="auto"/>
              </w:rPr>
            </w:pPr>
            <w:r>
              <w:rPr>
                <w:rFonts w:ascii="Arial" w:cs="Arial" w:eastAsia="Arial" w:hAnsi="Arial"/>
                <w:sz w:val="17"/>
                <w:szCs w:val="17"/>
                <w:color w:val="auto"/>
              </w:rPr>
              <w:t>(1,926)</w:t>
            </w:r>
          </w:p>
        </w:tc>
        <w:tc>
          <w:tcPr>
            <w:tcW w:w="0" w:type="dxa"/>
            <w:vAlign w:val="bottom"/>
          </w:tcPr>
          <w:p>
            <w:pPr>
              <w:spacing w:after="0"/>
              <w:rPr>
                <w:sz w:val="1"/>
                <w:szCs w:val="1"/>
                <w:color w:val="auto"/>
              </w:rPr>
            </w:pPr>
          </w:p>
        </w:tc>
      </w:tr>
      <w:tr>
        <w:trPr>
          <w:trHeight w:val="187"/>
        </w:trPr>
        <w:tc>
          <w:tcPr>
            <w:tcW w:w="87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2025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2,075</w:t>
            </w:r>
          </w:p>
        </w:tc>
        <w:tc>
          <w:tcPr>
            <w:tcW w:w="240" w:type="dxa"/>
            <w:vAlign w:val="bottom"/>
            <w:gridSpan w:val="2"/>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220"/>
              <w:spacing w:after="0" w:line="187" w:lineRule="exact"/>
              <w:rPr>
                <w:sz w:val="20"/>
                <w:szCs w:val="20"/>
                <w:color w:val="auto"/>
              </w:rPr>
            </w:pPr>
            <w:r>
              <w:rPr>
                <w:rFonts w:ascii="Arial" w:cs="Arial" w:eastAsia="Arial" w:hAnsi="Arial"/>
                <w:sz w:val="17"/>
                <w:szCs w:val="17"/>
                <w:color w:val="auto"/>
              </w:rPr>
              <w:t>(1,483)</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7"/>
                <w:szCs w:val="17"/>
                <w:color w:val="auto"/>
              </w:rPr>
              <w:t>Total payments</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720" w:type="dxa"/>
            <w:vAlign w:val="bottom"/>
            <w:vMerge w:val="continue"/>
          </w:tcPr>
          <w:p>
            <w:pPr>
              <w:spacing w:after="0"/>
              <w:rPr>
                <w:sz w:val="16"/>
                <w:szCs w:val="16"/>
                <w:color w:val="auto"/>
              </w:rPr>
            </w:pPr>
          </w:p>
        </w:tc>
        <w:tc>
          <w:tcPr>
            <w:tcW w:w="200" w:type="dxa"/>
            <w:vAlign w:val="bottom"/>
            <w:gridSpan w:val="2"/>
          </w:tcPr>
          <w:p>
            <w:pPr>
              <w:spacing w:after="0" w:line="194" w:lineRule="exact"/>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11,780</w:t>
            </w:r>
          </w:p>
        </w:tc>
        <w:tc>
          <w:tcPr>
            <w:tcW w:w="220" w:type="dxa"/>
            <w:vAlign w:val="bottom"/>
          </w:tcPr>
          <w:p>
            <w:pPr>
              <w:spacing w:after="0"/>
              <w:rPr>
                <w:sz w:val="16"/>
                <w:szCs w:val="16"/>
                <w:color w:val="auto"/>
              </w:rPr>
            </w:pPr>
          </w:p>
        </w:tc>
        <w:tc>
          <w:tcPr>
            <w:tcW w:w="320" w:type="dxa"/>
            <w:vAlign w:val="bottom"/>
            <w:gridSpan w:val="2"/>
          </w:tcPr>
          <w:p>
            <w:pPr>
              <w:ind w:left="220"/>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(8,823)</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169545</wp:posOffset>
            </wp:positionV>
            <wp:extent cx="69297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1" w:lineRule="exact"/>
        <w:rPr>
          <w:sz w:val="20"/>
          <w:szCs w:val="20"/>
          <w:color w:val="auto"/>
        </w:rPr>
      </w:pPr>
    </w:p>
    <w:p>
      <w:pPr>
        <w:ind w:left="600" w:hanging="299"/>
        <w:spacing w:after="0"/>
        <w:tabs>
          <w:tab w:leader="none" w:pos="600" w:val="left"/>
        </w:tabs>
        <w:numPr>
          <w:ilvl w:val="0"/>
          <w:numId w:val="120"/>
        </w:numPr>
        <w:rPr>
          <w:rFonts w:ascii="Arial" w:cs="Arial" w:eastAsia="Arial" w:hAnsi="Arial"/>
          <w:sz w:val="24"/>
          <w:szCs w:val="24"/>
          <w:color w:val="auto"/>
          <w:vertAlign w:val="superscript"/>
        </w:rPr>
      </w:pPr>
      <w:r>
        <w:rPr>
          <w:rFonts w:ascii="Arial" w:cs="Arial" w:eastAsia="Arial" w:hAnsi="Arial"/>
          <w:sz w:val="14"/>
          <w:szCs w:val="14"/>
          <w:color w:val="auto"/>
        </w:rPr>
        <w:t>Future minimum lease payments include repayment of outstanding restructuring liabilities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Facilities Leases</w:t>
      </w:r>
    </w:p>
    <w:p>
      <w:pPr>
        <w:spacing w:after="0" w:line="52" w:lineRule="exact"/>
        <w:rPr>
          <w:sz w:val="20"/>
          <w:szCs w:val="20"/>
          <w:color w:val="auto"/>
        </w:rPr>
      </w:pPr>
    </w:p>
    <w:p>
      <w:pPr>
        <w:ind w:left="160" w:right="140"/>
        <w:spacing w:after="0" w:line="234" w:lineRule="auto"/>
        <w:rPr>
          <w:sz w:val="20"/>
          <w:szCs w:val="20"/>
          <w:color w:val="auto"/>
        </w:rPr>
      </w:pPr>
      <w:r>
        <w:rPr>
          <w:rFonts w:ascii="Arial" w:cs="Arial" w:eastAsia="Arial" w:hAnsi="Arial"/>
          <w:sz w:val="17"/>
          <w:szCs w:val="17"/>
          <w:color w:val="auto"/>
        </w:rPr>
        <w:t>In April 2015, PNAi entered a lease for approximately 3,800 square feet of office and laboratory space for a term of 39 months in Woburn, Massachusetts. In January 2018, the Company elected to renew this lease for three years, beginning in August 2018. In connection with the lease, the Company maintains a letter of credit issued to the lessor in the amount of $50, which is secured by restricted cash that is classified as noncurrent based on the term of the underlying lease.</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080"/>
          </w:cols>
          <w:pgMar w:left="320" w:top="456"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Financial Statements</w:t>
      </w:r>
    </w:p>
    <w:p>
      <w:pPr>
        <w:jc w:val="center"/>
        <w:ind w:right="-1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p>
      <w:pPr>
        <w:ind w:left="160" w:right="420"/>
        <w:spacing w:after="0" w:line="234" w:lineRule="auto"/>
        <w:rPr>
          <w:sz w:val="20"/>
          <w:szCs w:val="20"/>
          <w:color w:val="auto"/>
        </w:rPr>
      </w:pPr>
      <w:r>
        <w:rPr>
          <w:rFonts w:ascii="Arial" w:cs="Arial" w:eastAsia="Arial" w:hAnsi="Arial"/>
          <w:sz w:val="17"/>
          <w:szCs w:val="17"/>
          <w:color w:val="auto"/>
        </w:rPr>
        <w:t>In April 2018, the Company entered into a lease for approximately 24,606 square feet of office and life science research space, which commenced on October 1, 2018, when the Company obtained control of the rented space for a term of 84 months in South San Francisco, California (the South San Francisco Lease). In connection with the lease, the Company maintains a letter of credit issued to the lessor in the amount of $293, which is secured by restricted cash that is classified as noncurrent based on the term of the underlying lease.</w:t>
      </w:r>
    </w:p>
    <w:p>
      <w:pPr>
        <w:spacing w:after="0" w:line="147" w:lineRule="exact"/>
        <w:rPr>
          <w:sz w:val="20"/>
          <w:szCs w:val="20"/>
          <w:color w:val="auto"/>
        </w:rPr>
      </w:pPr>
    </w:p>
    <w:p>
      <w:pPr>
        <w:jc w:val="both"/>
        <w:ind w:left="160" w:right="440"/>
        <w:spacing w:after="0" w:line="234" w:lineRule="auto"/>
        <w:rPr>
          <w:sz w:val="20"/>
          <w:szCs w:val="20"/>
          <w:color w:val="auto"/>
        </w:rPr>
      </w:pPr>
      <w:r>
        <w:rPr>
          <w:rFonts w:ascii="Arial" w:cs="Arial" w:eastAsia="Arial" w:hAnsi="Arial"/>
          <w:sz w:val="17"/>
          <w:szCs w:val="17"/>
          <w:color w:val="auto"/>
        </w:rPr>
        <w:t>The Company’s total future minimum commitment due pursuant to the South San Francisco Lease is $11,128 as of December 31, 2020. In November 2020, the Company entered into a non-cancellable sublease agreement for the facility, under the terms of which the Company is entitled to receive $8,823 in sublease payments over the term of the sublease, which ends concurrently with the original lease in September 2025. As tenant, the Company remains responsible for the $11,128 minimum lease commitment on the facilities.</w:t>
      </w:r>
    </w:p>
    <w:p>
      <w:pPr>
        <w:spacing w:after="0" w:line="147" w:lineRule="exact"/>
        <w:rPr>
          <w:sz w:val="20"/>
          <w:szCs w:val="20"/>
          <w:color w:val="auto"/>
        </w:rPr>
      </w:pPr>
    </w:p>
    <w:p>
      <w:pPr>
        <w:ind w:left="160" w:right="1220"/>
        <w:spacing w:after="0" w:line="295" w:lineRule="auto"/>
        <w:rPr>
          <w:sz w:val="20"/>
          <w:szCs w:val="20"/>
          <w:color w:val="auto"/>
        </w:rPr>
      </w:pPr>
      <w:r>
        <w:rPr>
          <w:rFonts w:ascii="Arial" w:cs="Arial" w:eastAsia="Arial" w:hAnsi="Arial"/>
          <w:sz w:val="17"/>
          <w:szCs w:val="17"/>
          <w:color w:val="auto"/>
        </w:rPr>
        <w:t xml:space="preserve">The Company recorded rent expense totaling $1,726 and $2,089 for the years ended December 31, 2019 and 2020, respectively. </w:t>
      </w:r>
      <w:r>
        <w:rPr>
          <w:rFonts w:ascii="Arial" w:cs="Arial" w:eastAsia="Arial" w:hAnsi="Arial"/>
          <w:sz w:val="17"/>
          <w:szCs w:val="17"/>
          <w:b w:val="1"/>
          <w:bCs w:val="1"/>
          <w:i w:val="1"/>
          <w:iCs w:val="1"/>
          <w:color w:val="auto"/>
        </w:rPr>
        <w:t>Equipment Lease</w:t>
      </w:r>
    </w:p>
    <w:p>
      <w:pPr>
        <w:spacing w:after="0" w:line="1" w:lineRule="exact"/>
        <w:rPr>
          <w:sz w:val="20"/>
          <w:szCs w:val="20"/>
          <w:color w:val="auto"/>
        </w:rPr>
      </w:pPr>
    </w:p>
    <w:p>
      <w:pPr>
        <w:ind w:left="160" w:right="400"/>
        <w:spacing w:after="0" w:line="239" w:lineRule="auto"/>
        <w:rPr>
          <w:sz w:val="20"/>
          <w:szCs w:val="20"/>
          <w:color w:val="auto"/>
        </w:rPr>
      </w:pPr>
      <w:r>
        <w:rPr>
          <w:rFonts w:ascii="Arial" w:cs="Arial" w:eastAsia="Arial" w:hAnsi="Arial"/>
          <w:sz w:val="17"/>
          <w:szCs w:val="17"/>
          <w:color w:val="auto"/>
        </w:rPr>
        <w:t>The Company has certain leases on research and laboratory equipment with total future minimum commitments of $581 as of December 31, 2020. The Company recorded rent expense totaling $416 and $298 for the years ended December 31, 2019 and 2020, respectively.</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12. RESTRUCTURING AND RELATED ACTIVITIES</w:t>
      </w:r>
    </w:p>
    <w:p>
      <w:pPr>
        <w:spacing w:after="0" w:line="91" w:lineRule="exact"/>
        <w:rPr>
          <w:sz w:val="20"/>
          <w:szCs w:val="20"/>
          <w:color w:val="auto"/>
        </w:rPr>
      </w:pPr>
    </w:p>
    <w:p>
      <w:pPr>
        <w:ind w:left="160"/>
        <w:spacing w:after="0" w:line="234" w:lineRule="auto"/>
        <w:rPr>
          <w:sz w:val="20"/>
          <w:szCs w:val="20"/>
          <w:color w:val="auto"/>
        </w:rPr>
      </w:pPr>
      <w:r>
        <w:rPr>
          <w:rFonts w:ascii="Arial" w:cs="Arial" w:eastAsia="Arial" w:hAnsi="Arial"/>
          <w:sz w:val="17"/>
          <w:szCs w:val="17"/>
          <w:color w:val="auto"/>
        </w:rPr>
        <w:t>During the year ended December 31, 2019, the Company completely vacated its leased facilities in Woburn, Massachusetts. In connection with vacating the leased spaces, the Company recorded a discounted lease-related restructuring liability, which was calculated as the present value of the estimated future facility costs for which the Company would obtain no future economic benefit over the term of the lease, reduced for actual or estimated sublease rentals.</w:t>
      </w:r>
    </w:p>
    <w:p>
      <w:pPr>
        <w:spacing w:after="0" w:line="147" w:lineRule="exact"/>
        <w:rPr>
          <w:sz w:val="20"/>
          <w:szCs w:val="20"/>
          <w:color w:val="auto"/>
        </w:rPr>
      </w:pPr>
    </w:p>
    <w:p>
      <w:pPr>
        <w:ind w:left="160" w:right="740"/>
        <w:spacing w:after="0" w:line="239" w:lineRule="auto"/>
        <w:rPr>
          <w:sz w:val="20"/>
          <w:szCs w:val="20"/>
          <w:color w:val="auto"/>
        </w:rPr>
      </w:pPr>
      <w:r>
        <w:rPr>
          <w:rFonts w:ascii="Arial" w:cs="Arial" w:eastAsia="Arial" w:hAnsi="Arial"/>
          <w:sz w:val="17"/>
          <w:szCs w:val="17"/>
          <w:color w:val="auto"/>
        </w:rPr>
        <w:t>In July 2020, the Company initiated a restructuring plan to reduce operating expense as a result of the disposal of PNAi technology. The restructuring plan included reducing the number of employees, vacating leased facilities, and ceasing use of leased equipment.</w:t>
      </w:r>
    </w:p>
    <w:p>
      <w:pPr>
        <w:spacing w:after="0" w:line="146" w:lineRule="exact"/>
        <w:rPr>
          <w:sz w:val="20"/>
          <w:szCs w:val="20"/>
          <w:color w:val="auto"/>
        </w:rPr>
      </w:pPr>
    </w:p>
    <w:p>
      <w:pPr>
        <w:ind w:left="160" w:right="80"/>
        <w:spacing w:after="0" w:line="233" w:lineRule="auto"/>
        <w:rPr>
          <w:sz w:val="20"/>
          <w:szCs w:val="20"/>
          <w:color w:val="auto"/>
        </w:rPr>
      </w:pPr>
      <w:r>
        <w:rPr>
          <w:rFonts w:ascii="Arial" w:cs="Arial" w:eastAsia="Arial" w:hAnsi="Arial"/>
          <w:sz w:val="17"/>
          <w:szCs w:val="17"/>
          <w:color w:val="auto"/>
        </w:rPr>
        <w:t>As a result of this restructuring plan, the Company completely vacated its leased facilities in South San Francisco, California, which was subleased to a third party in November 2020, and returned certain leased equipment to the lessor. The Company recorded a discounted lease-related restructuring liability of $2,228 and $768 for the abandonment of the leased facilities and equipment, which was calculated as the present value of the estimated future lease costs for which the Company would obtain with no future economic benefit over the term of the leases. In addition, the Company recognized restructuring liability of $321 related to severance and other employee termination costs related to the reduction in the number of employees. The Company expects this restructuring plan to be completed in 2021.</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060"/>
          </w:cols>
          <w:pgMar w:left="320" w:top="456" w:right="5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jc w:val="center"/>
        <w:ind w:right="-15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activity related to the restructuring liabilities for the years ended December 31, 2019 and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Arial" w:cs="Arial" w:eastAsia="Arial" w:hAnsi="Arial"/>
                <w:sz w:val="14"/>
                <w:szCs w:val="14"/>
                <w:b w:val="1"/>
                <w:bCs w:val="1"/>
                <w:color w:val="auto"/>
              </w:rPr>
              <w:t>LEASE-RELATED</w:t>
            </w:r>
          </w:p>
        </w:tc>
        <w:tc>
          <w:tcPr>
            <w:tcW w:w="100" w:type="dxa"/>
            <w:vAlign w:val="bottom"/>
          </w:tcPr>
          <w:p>
            <w:pPr>
              <w:spacing w:after="0"/>
              <w:rPr>
                <w:sz w:val="14"/>
                <w:szCs w:val="14"/>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7"/>
              </w:rPr>
              <w:t>EMPLOYEE</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EXIT COSTS</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678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Restructuring costs</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261</w:t>
            </w:r>
          </w:p>
        </w:tc>
        <w:tc>
          <w:tcPr>
            <w:tcW w:w="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261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780" w:type="dxa"/>
            <w:vAlign w:val="bottom"/>
          </w:tcPr>
          <w:p>
            <w:pPr>
              <w:spacing w:after="0" w:line="187" w:lineRule="exact"/>
              <w:rPr>
                <w:sz w:val="20"/>
                <w:szCs w:val="20"/>
                <w:color w:val="auto"/>
              </w:rPr>
            </w:pPr>
            <w:r>
              <w:rPr>
                <w:rFonts w:ascii="Arial" w:cs="Arial" w:eastAsia="Arial" w:hAnsi="Arial"/>
                <w:sz w:val="17"/>
                <w:szCs w:val="17"/>
                <w:color w:val="auto"/>
              </w:rPr>
              <w:t>Accretion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ind w:right="660"/>
              <w:spacing w:after="0" w:line="187"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7"/>
        </w:trPr>
        <w:tc>
          <w:tcPr>
            <w:tcW w:w="6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Cash payments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gridSpan w:val="3"/>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660"/>
              <w:spacing w:after="0" w:line="187"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7"/>
                <w:szCs w:val="17"/>
                <w:color w:val="auto"/>
              </w:rPr>
              <w:t>Balance as of December 31, 2019</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173</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ind w:right="66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187"/>
        </w:trPr>
        <w:tc>
          <w:tcPr>
            <w:tcW w:w="6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Restructuring costs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2,996</w:t>
            </w: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660"/>
              <w:spacing w:after="0" w:line="187" w:lineRule="exact"/>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line="187" w:lineRule="exact"/>
              <w:rPr>
                <w:sz w:val="20"/>
                <w:szCs w:val="20"/>
                <w:color w:val="auto"/>
              </w:rPr>
            </w:pPr>
            <w:r>
              <w:rPr>
                <w:rFonts w:ascii="Arial" w:cs="Arial" w:eastAsia="Arial" w:hAnsi="Arial"/>
                <w:sz w:val="17"/>
                <w:szCs w:val="17"/>
                <w:color w:val="auto"/>
                <w:w w:val="98"/>
              </w:rPr>
              <w:t>3,317</w:t>
            </w:r>
          </w:p>
        </w:tc>
        <w:tc>
          <w:tcPr>
            <w:tcW w:w="0" w:type="dxa"/>
            <w:vAlign w:val="bottom"/>
          </w:tcPr>
          <w:p>
            <w:pPr>
              <w:spacing w:after="0"/>
              <w:rPr>
                <w:sz w:val="1"/>
                <w:szCs w:val="1"/>
                <w:color w:val="auto"/>
              </w:rPr>
            </w:pPr>
          </w:p>
        </w:tc>
      </w:tr>
      <w:tr>
        <w:trPr>
          <w:trHeight w:val="187"/>
        </w:trPr>
        <w:tc>
          <w:tcPr>
            <w:tcW w:w="6780" w:type="dxa"/>
            <w:vAlign w:val="bottom"/>
          </w:tcPr>
          <w:p>
            <w:pPr>
              <w:spacing w:after="0" w:line="187" w:lineRule="exact"/>
              <w:rPr>
                <w:sz w:val="20"/>
                <w:szCs w:val="20"/>
                <w:color w:val="auto"/>
              </w:rPr>
            </w:pPr>
            <w:r>
              <w:rPr>
                <w:rFonts w:ascii="Arial" w:cs="Arial" w:eastAsia="Arial" w:hAnsi="Arial"/>
                <w:sz w:val="17"/>
                <w:szCs w:val="17"/>
                <w:color w:val="auto"/>
              </w:rPr>
              <w:t>Accretion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ind w:right="660"/>
              <w:spacing w:after="0" w:line="187"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00"/>
              <w:spacing w:after="0" w:line="187"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87"/>
        </w:trPr>
        <w:tc>
          <w:tcPr>
            <w:tcW w:w="67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Cash payments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gridSpan w:val="3"/>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(609)</w:t>
            </w: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600"/>
              <w:spacing w:after="0" w:line="187" w:lineRule="exact"/>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(918)</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7"/>
                <w:szCs w:val="17"/>
                <w:color w:val="auto"/>
              </w:rPr>
              <w:t>Balance as of December 31, 2020</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80" w:type="dxa"/>
            <w:vAlign w:val="bottom"/>
            <w:vMerge w:val="continue"/>
          </w:tcPr>
          <w:p>
            <w:pPr>
              <w:spacing w:after="0"/>
              <w:rPr>
                <w:sz w:val="16"/>
                <w:szCs w:val="16"/>
                <w:color w:val="auto"/>
              </w:rPr>
            </w:pPr>
          </w:p>
        </w:tc>
        <w:tc>
          <w:tcPr>
            <w:tcW w:w="140" w:type="dxa"/>
            <w:vAlign w:val="bottom"/>
            <w:gridSpan w:val="2"/>
          </w:tcPr>
          <w:p>
            <w:pPr>
              <w:spacing w:after="0" w:line="194"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2,584</w:t>
            </w:r>
          </w:p>
        </w:tc>
        <w:tc>
          <w:tcPr>
            <w:tcW w:w="640" w:type="dxa"/>
            <w:vAlign w:val="bottom"/>
          </w:tcPr>
          <w:p>
            <w:pPr>
              <w:spacing w:after="0"/>
              <w:rPr>
                <w:sz w:val="16"/>
                <w:szCs w:val="16"/>
                <w:color w:val="auto"/>
              </w:rPr>
            </w:pPr>
          </w:p>
        </w:tc>
        <w:tc>
          <w:tcPr>
            <w:tcW w:w="100" w:type="dxa"/>
            <w:vAlign w:val="bottom"/>
          </w:tcPr>
          <w:p>
            <w:pPr>
              <w:spacing w:after="0" w:line="194" w:lineRule="exact"/>
              <w:rPr>
                <w:sz w:val="20"/>
                <w:szCs w:val="20"/>
                <w:color w:val="auto"/>
              </w:rPr>
            </w:pPr>
            <w:r>
              <w:rPr>
                <w:rFonts w:ascii="Arial" w:cs="Arial" w:eastAsia="Arial" w:hAnsi="Arial"/>
                <w:sz w:val="17"/>
                <w:szCs w:val="17"/>
                <w:color w:val="auto"/>
                <w:w w:val="84"/>
              </w:rPr>
              <w:t>$</w:t>
            </w:r>
          </w:p>
        </w:tc>
        <w:tc>
          <w:tcPr>
            <w:tcW w:w="1540" w:type="dxa"/>
            <w:vAlign w:val="bottom"/>
            <w:gridSpan w:val="2"/>
          </w:tcPr>
          <w:p>
            <w:pPr>
              <w:jc w:val="right"/>
              <w:ind w:right="660"/>
              <w:spacing w:after="0" w:line="194" w:lineRule="exact"/>
              <w:rPr>
                <w:sz w:val="20"/>
                <w:szCs w:val="20"/>
                <w:color w:val="auto"/>
              </w:rPr>
            </w:pPr>
            <w:r>
              <w:rPr>
                <w:rFonts w:ascii="Arial" w:cs="Arial" w:eastAsia="Arial" w:hAnsi="Arial"/>
                <w:sz w:val="17"/>
                <w:szCs w:val="17"/>
                <w:color w:val="auto"/>
              </w:rPr>
              <w:t>12</w:t>
            </w:r>
          </w:p>
        </w:tc>
        <w:tc>
          <w:tcPr>
            <w:tcW w:w="100" w:type="dxa"/>
            <w:vAlign w:val="bottom"/>
          </w:tcPr>
          <w:p>
            <w:pPr>
              <w:jc w:val="right"/>
              <w:spacing w:after="0" w:line="194" w:lineRule="exact"/>
              <w:rPr>
                <w:sz w:val="20"/>
                <w:szCs w:val="20"/>
                <w:color w:val="auto"/>
              </w:rPr>
            </w:pPr>
            <w:r>
              <w:rPr>
                <w:rFonts w:ascii="Arial" w:cs="Arial" w:eastAsia="Arial" w:hAnsi="Arial"/>
                <w:sz w:val="17"/>
                <w:szCs w:val="17"/>
                <w:u w:val="single" w:color="auto"/>
                <w:color w:val="auto"/>
                <w:w w:val="84"/>
              </w:rPr>
              <w:t>$</w:t>
            </w:r>
          </w:p>
        </w:tc>
        <w:tc>
          <w:tcPr>
            <w:tcW w:w="5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w w:val="98"/>
              </w:rPr>
              <w:t>2,596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13. NET LOSS PER COMMON SHARE</w:t>
      </w:r>
    </w:p>
    <w:p>
      <w:pPr>
        <w:spacing w:after="0" w:line="77" w:lineRule="exact"/>
        <w:rPr>
          <w:sz w:val="20"/>
          <w:szCs w:val="20"/>
          <w:color w:val="auto"/>
        </w:rPr>
      </w:pPr>
    </w:p>
    <w:p>
      <w:pPr>
        <w:ind w:left="160" w:right="380"/>
        <w:spacing w:after="0" w:line="239" w:lineRule="auto"/>
        <w:rPr>
          <w:sz w:val="20"/>
          <w:szCs w:val="20"/>
          <w:color w:val="auto"/>
        </w:rPr>
      </w:pPr>
      <w:r>
        <w:rPr>
          <w:rFonts w:ascii="Arial" w:cs="Arial" w:eastAsia="Arial" w:hAnsi="Arial"/>
          <w:sz w:val="17"/>
          <w:szCs w:val="17"/>
          <w:color w:val="auto"/>
        </w:rPr>
        <w:t>The following outstanding potentially dilutive shares were excluded from the computation of diluted net loss per share attributable to common stockholders for the periods presented, because including them would have been anti-dilutive (on an as-converted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8520" w:type="dxa"/>
            <w:vAlign w:val="bottom"/>
          </w:tcPr>
          <w:p>
            <w:pPr>
              <w:spacing w:after="0"/>
              <w:rPr>
                <w:sz w:val="15"/>
                <w:szCs w:val="15"/>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852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60"/>
              <w:spacing w:after="0" w:line="154"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18"/>
              <w:spacing w:after="0" w:line="154"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5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Redeemable convertible preferred stock</w:t>
            </w:r>
          </w:p>
        </w:tc>
        <w:tc>
          <w:tcPr>
            <w:tcW w:w="100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1,209,599</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15,774,014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520" w:type="dxa"/>
            <w:vAlign w:val="bottom"/>
          </w:tcPr>
          <w:p>
            <w:pPr>
              <w:spacing w:after="0" w:line="187" w:lineRule="exact"/>
              <w:rPr>
                <w:sz w:val="20"/>
                <w:szCs w:val="20"/>
                <w:color w:val="auto"/>
              </w:rPr>
            </w:pPr>
            <w:r>
              <w:rPr>
                <w:rFonts w:ascii="Arial" w:cs="Arial" w:eastAsia="Arial" w:hAnsi="Arial"/>
                <w:sz w:val="17"/>
                <w:szCs w:val="17"/>
                <w:color w:val="auto"/>
              </w:rPr>
              <w:t>Class A common stock options issued and outstanding</w:t>
            </w:r>
          </w:p>
        </w:tc>
        <w:tc>
          <w:tcPr>
            <w:tcW w:w="10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158,607</w:t>
            </w:r>
          </w:p>
        </w:tc>
        <w:tc>
          <w:tcPr>
            <w:tcW w:w="160" w:type="dxa"/>
            <w:vAlign w:val="bottom"/>
          </w:tcPr>
          <w:p>
            <w:pPr>
              <w:spacing w:after="0"/>
              <w:rPr>
                <w:sz w:val="16"/>
                <w:szCs w:val="16"/>
                <w:color w:val="auto"/>
              </w:rPr>
            </w:pPr>
          </w:p>
        </w:tc>
        <w:tc>
          <w:tcPr>
            <w:tcW w:w="1220" w:type="dxa"/>
            <w:vAlign w:val="bottom"/>
            <w:gridSpan w:val="2"/>
          </w:tcPr>
          <w:p>
            <w:pPr>
              <w:jc w:val="right"/>
              <w:ind w:right="80"/>
              <w:spacing w:after="0" w:line="187" w:lineRule="exact"/>
              <w:rPr>
                <w:sz w:val="20"/>
                <w:szCs w:val="20"/>
                <w:color w:val="auto"/>
              </w:rPr>
            </w:pPr>
            <w:r>
              <w:rPr>
                <w:rFonts w:ascii="Arial" w:cs="Arial" w:eastAsia="Arial" w:hAnsi="Arial"/>
                <w:sz w:val="17"/>
                <w:szCs w:val="17"/>
                <w:color w:val="auto"/>
              </w:rPr>
              <w:t>1,855,507</w:t>
            </w:r>
          </w:p>
        </w:tc>
        <w:tc>
          <w:tcPr>
            <w:tcW w:w="0" w:type="dxa"/>
            <w:vAlign w:val="bottom"/>
          </w:tcPr>
          <w:p>
            <w:pPr>
              <w:spacing w:after="0"/>
              <w:rPr>
                <w:sz w:val="1"/>
                <w:szCs w:val="1"/>
                <w:color w:val="auto"/>
              </w:rPr>
            </w:pPr>
          </w:p>
        </w:tc>
      </w:tr>
      <w:tr>
        <w:trPr>
          <w:trHeight w:val="187"/>
        </w:trPr>
        <w:tc>
          <w:tcPr>
            <w:tcW w:w="85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Unvested restricted stock awards</w:t>
            </w:r>
          </w:p>
        </w:tc>
        <w:tc>
          <w:tcPr>
            <w:tcW w:w="10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10,340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line="187" w:lineRule="exact"/>
              <w:rPr>
                <w:sz w:val="20"/>
                <w:szCs w:val="20"/>
                <w:color w:val="auto"/>
              </w:rPr>
            </w:pPr>
            <w:r>
              <w:rPr>
                <w:rFonts w:ascii="Arial" w:cs="Arial" w:eastAsia="Arial" w:hAnsi="Arial"/>
                <w:sz w:val="17"/>
                <w:szCs w:val="17"/>
                <w:color w:val="auto"/>
              </w:rPr>
              <w:t>41,363</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520" w:type="dxa"/>
            <w:vAlign w:val="bottom"/>
            <w:vMerge w:val="continue"/>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1,378,546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17,670,884</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14. RELATED PARTY TRANSACTIONS</w:t>
      </w:r>
    </w:p>
    <w:p>
      <w:pPr>
        <w:spacing w:after="0" w:line="77"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auto"/>
        </w:rPr>
        <w:t>In October 2018, the Company entered into a sublease agreement for a portion of its South San Francisco office space, the term for which commenced on December 7, 2018. The Chief Executive Officer of the sublessor is a member of the Company’s board of directors. The initial sublease was established for approximately 400 square feet of space. Prior to the initial expiration of the sublease in April 2019, the space was expanded to approximately 3,700 square feet with the term of the lease extended for an additional two years. The monthly rent charged by the Company to the subtenant is subject to escalating rent payments according to the terms of the Company’s lease agreement, and the subtenant is required to reimburse the Company for monthly facility operating expenses based on its proportionate share of total square footage pursuant to the lease. The Company’s lease agreement provides that 50% of any profit resulting from the excess of the amount collected from the subtenant less the sum of monthly rent, operating expenses and reimbursement of direct expenditures made by the Company in order to arrange and maintain the sublease is to be shared with the lessor. To date, no profit has been realized on the sublease arrangement as the monthly collections from the subtenant are equivalent to the Company’s cost of rent, operating expense and recovery of professional fees to arrange the sublease. In June 2020, the sublease agreement was terminated. During the years ended December 31, 2019 and 2020, the Company recognized $279 and $160, respectively, of sublease income under this agreement, which was recorded as a reduction to the Company’s rent expense.</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080"/>
          </w:cols>
          <w:pgMar w:left="320" w:top="456" w:right="4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Vera Therapeutics,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jc w:val="center"/>
        <w:ind w:right="-17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p>
      <w:pPr>
        <w:ind w:left="160" w:right="140"/>
        <w:spacing w:after="0" w:line="234" w:lineRule="auto"/>
        <w:rPr>
          <w:sz w:val="20"/>
          <w:szCs w:val="20"/>
          <w:color w:val="auto"/>
        </w:rPr>
      </w:pPr>
      <w:r>
        <w:rPr>
          <w:rFonts w:ascii="Arial" w:cs="Arial" w:eastAsia="Arial" w:hAnsi="Arial"/>
          <w:sz w:val="17"/>
          <w:szCs w:val="17"/>
          <w:color w:val="auto"/>
        </w:rPr>
        <w:t>In October 2020, the Company entered into the Ares Agreement with Ares, pursuant to which the Company obtained an exclusive worldwide license to certain patents and related know-how to research, develop, manufacture, use and commercialize therapeutic products containing atacicept, a recombinant fusion protein used to inhibit B cell growth and differentiation, which could potentially treat some autoimmune diseases. (See Note 9.)</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15A. SUBSEQUENT EVENTS</w:t>
      </w:r>
    </w:p>
    <w:p>
      <w:pPr>
        <w:spacing w:after="0" w:line="91" w:lineRule="exact"/>
        <w:rPr>
          <w:sz w:val="20"/>
          <w:szCs w:val="20"/>
          <w:color w:val="auto"/>
        </w:rPr>
      </w:pPr>
    </w:p>
    <w:p>
      <w:pPr>
        <w:ind w:left="160" w:right="40"/>
        <w:spacing w:after="0" w:line="236" w:lineRule="auto"/>
        <w:rPr>
          <w:sz w:val="20"/>
          <w:szCs w:val="20"/>
          <w:color w:val="auto"/>
        </w:rPr>
      </w:pPr>
      <w:r>
        <w:rPr>
          <w:rFonts w:ascii="Arial" w:cs="Arial" w:eastAsia="Arial" w:hAnsi="Arial"/>
          <w:sz w:val="17"/>
          <w:szCs w:val="17"/>
          <w:color w:val="auto"/>
        </w:rPr>
        <w:t>On January 27, 2021, the Company entered into an asset purchase agreement with Neubase Therapeutics, Inc. (“Neubase”), whereby the Company agreed to sell all assets relating to its investment in PNAi, including all inventory, machinery, intellectual property, goodwill and licenses, including the CMU License Agreement, and Neubase agreed to assume certain related liabilities.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15B. SUBSEQUENT EVENTS</w:t>
      </w:r>
    </w:p>
    <w:p>
      <w:pPr>
        <w:spacing w:after="0" w:line="117"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On May 7, 2021, the Company filed a certificate of amendment to its fourth amended and restated certificate of incorporation to effect a 11.5869-for-one reverse stock split of its issued and outstanding Class A common stock. Adjustments corresponding to the reverse stock split were made to the ratio at which the Company’s redeemable convertible preferred stock will convert into Class A common stock. Accordingly, all share and per share amounts related to Class A common stock, stock options and restricted stock awards for all periods presented in the accompanying financial statements and notes thereto have been retroactively adjusted, where applicable, to reflect the reverse stock split.</w:t>
      </w:r>
    </w:p>
    <w:p>
      <w:pPr>
        <w:spacing w:after="0" w:line="78" w:lineRule="exact"/>
        <w:rPr>
          <w:sz w:val="20"/>
          <w:szCs w:val="20"/>
          <w:color w:val="auto"/>
        </w:rPr>
      </w:pPr>
    </w:p>
    <w:p>
      <w:pPr>
        <w:ind w:left="160" w:right="720" w:firstLine="7"/>
        <w:spacing w:after="0" w:line="265" w:lineRule="auto"/>
        <w:tabs>
          <w:tab w:leader="none" w:pos="457"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EVENTS (UNAUDITED) SUBSEQUENT TO THE DATE OF THE REPORT OF THE INDEPENDENT REGISTERED PUBLIC ACCOUNTING FIRM</w:t>
      </w:r>
    </w:p>
    <w:p>
      <w:pPr>
        <w:spacing w:after="0" w:line="28" w:lineRule="exact"/>
        <w:rPr>
          <w:sz w:val="20"/>
          <w:szCs w:val="20"/>
          <w:color w:val="auto"/>
        </w:rPr>
      </w:pPr>
    </w:p>
    <w:p>
      <w:pPr>
        <w:jc w:val="both"/>
        <w:ind w:left="160" w:right="320"/>
        <w:spacing w:after="0" w:line="236" w:lineRule="auto"/>
        <w:rPr>
          <w:sz w:val="20"/>
          <w:szCs w:val="20"/>
          <w:color w:val="auto"/>
        </w:rPr>
      </w:pPr>
      <w:r>
        <w:rPr>
          <w:rFonts w:ascii="Arial" w:cs="Arial" w:eastAsia="Arial" w:hAnsi="Arial"/>
          <w:sz w:val="17"/>
          <w:szCs w:val="17"/>
          <w:color w:val="auto"/>
        </w:rPr>
        <w:t>The sale relating to the Company’s investment in PNAi closed on April 26, 2021. The Company received $796 in cash and 308,635 shares of Neubase common stock, with a fair market value of $1,759 based on the closing price reported on Nasdaq on the date the sale closed. Of the total Neubase shares issued to the Company, 162,260 were placed in escrow to secure certain obligations under the agreement.</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080"/>
          </w:cols>
          <w:pgMar w:left="320" w:top="456" w:right="4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219710</wp:posOffset>
            </wp:positionV>
            <wp:extent cx="692975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29755" cy="254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278765</wp:posOffset>
            </wp:positionV>
            <wp:extent cx="69297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4,350,000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425450</wp:posOffset>
            </wp:positionV>
            <wp:extent cx="2225040" cy="8070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225040" cy="807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1266190</wp:posOffset>
            </wp:positionV>
            <wp:extent cx="222504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227965</wp:posOffset>
            </wp:positionV>
            <wp:extent cx="222504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60"/>
        <w:spacing w:after="0"/>
        <w:tabs>
          <w:tab w:leader="none" w:pos="5500" w:val="left"/>
          <w:tab w:leader="none" w:pos="9420" w:val="left"/>
        </w:tabs>
        <w:rPr>
          <w:sz w:val="20"/>
          <w:szCs w:val="20"/>
          <w:color w:val="auto"/>
        </w:rPr>
      </w:pPr>
      <w:r>
        <w:rPr>
          <w:rFonts w:ascii="Arial" w:cs="Arial" w:eastAsia="Arial" w:hAnsi="Arial"/>
          <w:sz w:val="29"/>
          <w:szCs w:val="29"/>
          <w:b w:val="1"/>
          <w:bCs w:val="1"/>
          <w:color w:val="auto"/>
        </w:rPr>
        <w:t>Jefferies</w:t>
      </w:r>
      <w:r>
        <w:rPr>
          <w:sz w:val="20"/>
          <w:szCs w:val="20"/>
          <w:color w:val="auto"/>
        </w:rPr>
        <w:tab/>
      </w:r>
      <w:r>
        <w:rPr>
          <w:rFonts w:ascii="Arial" w:cs="Arial" w:eastAsia="Arial" w:hAnsi="Arial"/>
          <w:sz w:val="29"/>
          <w:szCs w:val="29"/>
          <w:b w:val="1"/>
          <w:bCs w:val="1"/>
          <w:color w:val="auto"/>
        </w:rPr>
        <w:t>Cowen</w:t>
      </w:r>
      <w:r>
        <w:rPr>
          <w:sz w:val="20"/>
          <w:szCs w:val="20"/>
          <w:color w:val="auto"/>
        </w:rPr>
        <w:tab/>
      </w:r>
      <w:r>
        <w:rPr>
          <w:rFonts w:ascii="Arial" w:cs="Arial" w:eastAsia="Arial" w:hAnsi="Arial"/>
          <w:sz w:val="28"/>
          <w:szCs w:val="28"/>
          <w:b w:val="1"/>
          <w:bCs w:val="1"/>
          <w:color w:val="auto"/>
        </w:rPr>
        <w:t>Evercore ISI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319405</wp:posOffset>
            </wp:positionV>
            <wp:extent cx="69297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370205</wp:posOffset>
            </wp:positionV>
            <wp:extent cx="692975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3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Unless otherwise indicated, all references to “Vera,” the “company,” “we,” “our,” “us” or similar terms refer to Vera Therapeutics, Inc.</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17" w:lineRule="exact"/>
        <w:rPr>
          <w:sz w:val="20"/>
          <w:szCs w:val="20"/>
          <w:color w:val="auto"/>
        </w:rPr>
      </w:pPr>
    </w:p>
    <w:p>
      <w:pPr>
        <w:jc w:val="both"/>
        <w:ind w:left="160" w:right="120"/>
        <w:spacing w:after="0" w:line="236" w:lineRule="auto"/>
        <w:rPr>
          <w:sz w:val="20"/>
          <w:szCs w:val="20"/>
          <w:color w:val="auto"/>
        </w:rPr>
      </w:pPr>
      <w:r>
        <w:rPr>
          <w:rFonts w:ascii="Arial" w:cs="Arial" w:eastAsia="Arial" w:hAnsi="Arial"/>
          <w:sz w:val="17"/>
          <w:szCs w:val="17"/>
          <w:color w:val="auto"/>
        </w:rPr>
        <w:t>The following table sets forth all expenses to be paid by us, other than underwriting discounts and commissions, in connection with this offering. All amounts shown are estimates except for the Securities and Exchange Commission (SEC) registration fee, the Financial Industry Regulatory Authority, Inc. (FINRA) filing fee and The Nasdaq Global Market (Nasdaq)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20"/>
          </w:cols>
          <w:pgMar w:left="320" w:top="456" w:right="5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-114300</wp:posOffset>
            </wp:positionV>
            <wp:extent cx="6929755" cy="1187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29755" cy="118745"/>
                    </a:xfrm>
                    <a:prstGeom prst="rect">
                      <a:avLst/>
                    </a:prstGeom>
                    <a:noFill/>
                  </pic:spPr>
                </pic:pic>
              </a:graphicData>
            </a:graphic>
          </wp:anchor>
        </w:drawing>
      </w:r>
    </w:p>
    <w:p>
      <w:pPr>
        <w:ind w:left="160"/>
        <w:spacing w:after="0" w:line="229" w:lineRule="auto"/>
        <w:rPr>
          <w:sz w:val="20"/>
          <w:szCs w:val="20"/>
          <w:color w:val="auto"/>
        </w:rPr>
      </w:pPr>
      <w:r>
        <w:rPr>
          <w:rFonts w:ascii="Arial" w:cs="Arial" w:eastAsia="Arial" w:hAnsi="Arial"/>
          <w:sz w:val="17"/>
          <w:szCs w:val="17"/>
          <w:color w:val="auto"/>
        </w:rPr>
        <w:t>FINRA filing fee</w:t>
      </w:r>
    </w:p>
    <w:p>
      <w:pPr>
        <w:ind w:left="160"/>
        <w:spacing w:after="0" w:line="230" w:lineRule="auto"/>
        <w:rPr>
          <w:sz w:val="20"/>
          <w:szCs w:val="20"/>
          <w:color w:val="auto"/>
        </w:rPr>
      </w:pPr>
      <w:r>
        <w:rPr>
          <w:rFonts w:ascii="Arial" w:cs="Arial" w:eastAsia="Arial" w:hAnsi="Arial"/>
          <w:sz w:val="17"/>
          <w:szCs w:val="17"/>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-113665</wp:posOffset>
            </wp:positionV>
            <wp:extent cx="6929755" cy="1187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29755" cy="118745"/>
                    </a:xfrm>
                    <a:prstGeom prst="rect">
                      <a:avLst/>
                    </a:prstGeom>
                    <a:noFill/>
                  </pic:spPr>
                </pic:pic>
              </a:graphicData>
            </a:graphic>
          </wp:anchor>
        </w:drawing>
      </w:r>
    </w:p>
    <w:p>
      <w:pPr>
        <w:ind w:left="160"/>
        <w:spacing w:after="0" w:line="230" w:lineRule="auto"/>
        <w:rPr>
          <w:sz w:val="20"/>
          <w:szCs w:val="20"/>
          <w:color w:val="auto"/>
        </w:rPr>
      </w:pPr>
      <w:r>
        <w:rPr>
          <w:rFonts w:ascii="Arial" w:cs="Arial" w:eastAsia="Arial" w:hAnsi="Arial"/>
          <w:sz w:val="17"/>
          <w:szCs w:val="17"/>
          <w:color w:val="auto"/>
        </w:rPr>
        <w:t>Printing and engraving expenses</w:t>
      </w:r>
    </w:p>
    <w:p>
      <w:pPr>
        <w:ind w:left="160"/>
        <w:spacing w:after="0" w:line="230" w:lineRule="auto"/>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-114300</wp:posOffset>
            </wp:positionV>
            <wp:extent cx="6929755" cy="1187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29755" cy="118745"/>
                    </a:xfrm>
                    <a:prstGeom prst="rect">
                      <a:avLst/>
                    </a:prstGeom>
                    <a:noFill/>
                  </pic:spPr>
                </pic:pic>
              </a:graphicData>
            </a:graphic>
          </wp:anchor>
        </w:drawing>
      </w:r>
    </w:p>
    <w:p>
      <w:pPr>
        <w:ind w:left="160"/>
        <w:spacing w:after="0" w:line="230" w:lineRule="auto"/>
        <w:rPr>
          <w:sz w:val="20"/>
          <w:szCs w:val="20"/>
          <w:color w:val="auto"/>
        </w:rPr>
      </w:pPr>
      <w:r>
        <w:rPr>
          <w:rFonts w:ascii="Arial" w:cs="Arial" w:eastAsia="Arial" w:hAnsi="Arial"/>
          <w:sz w:val="17"/>
          <w:szCs w:val="17"/>
          <w:color w:val="auto"/>
        </w:rPr>
        <w:t>Accounting fees and expenses</w:t>
      </w:r>
    </w:p>
    <w:p>
      <w:pPr>
        <w:ind w:left="160"/>
        <w:spacing w:after="0" w:line="230" w:lineRule="auto"/>
        <w:rPr>
          <w:sz w:val="20"/>
          <w:szCs w:val="20"/>
          <w:color w:val="auto"/>
        </w:rPr>
      </w:pPr>
      <w:r>
        <w:rPr>
          <w:rFonts w:ascii="Arial" w:cs="Arial" w:eastAsia="Arial" w:hAnsi="Arial"/>
          <w:sz w:val="17"/>
          <w:szCs w:val="17"/>
          <w:color w:val="auto"/>
        </w:rPr>
        <w:t>Custodian 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-114300</wp:posOffset>
            </wp:positionV>
            <wp:extent cx="6929755" cy="1187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29755" cy="11874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Miscellaneous expenses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2546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29755" cy="25463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left="509" w:hanging="509"/>
        <w:spacing w:after="0"/>
        <w:tabs>
          <w:tab w:leader="none" w:pos="50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8,733</w:t>
      </w:r>
    </w:p>
    <w:p>
      <w:pPr>
        <w:spacing w:after="0" w:line="3" w:lineRule="exact"/>
        <w:rPr>
          <w:rFonts w:ascii="Arial" w:cs="Arial" w:eastAsia="Arial" w:hAnsi="Arial"/>
          <w:sz w:val="16"/>
          <w:szCs w:val="16"/>
          <w:color w:val="auto"/>
        </w:rPr>
      </w:pPr>
    </w:p>
    <w:p>
      <w:pPr>
        <w:ind w:left="409"/>
        <w:spacing w:after="0" w:line="229" w:lineRule="auto"/>
        <w:rPr>
          <w:rFonts w:ascii="Arial" w:cs="Arial" w:eastAsia="Arial" w:hAnsi="Arial"/>
          <w:sz w:val="16"/>
          <w:szCs w:val="16"/>
          <w:color w:val="auto"/>
        </w:rPr>
      </w:pPr>
      <w:r>
        <w:rPr>
          <w:rFonts w:ascii="Arial" w:cs="Arial" w:eastAsia="Arial" w:hAnsi="Arial"/>
          <w:sz w:val="17"/>
          <w:szCs w:val="17"/>
          <w:color w:val="auto"/>
        </w:rPr>
        <w:t>13,438</w:t>
      </w:r>
    </w:p>
    <w:p>
      <w:pPr>
        <w:jc w:val="right"/>
        <w:spacing w:after="0" w:line="230" w:lineRule="auto"/>
        <w:rPr>
          <w:sz w:val="20"/>
          <w:szCs w:val="20"/>
          <w:color w:val="auto"/>
        </w:rPr>
      </w:pPr>
      <w:r>
        <w:rPr>
          <w:rFonts w:ascii="Arial" w:cs="Arial" w:eastAsia="Arial" w:hAnsi="Arial"/>
          <w:sz w:val="17"/>
          <w:szCs w:val="17"/>
          <w:color w:val="auto"/>
        </w:rPr>
        <w:t>150,000</w:t>
      </w:r>
    </w:p>
    <w:p>
      <w:pPr>
        <w:jc w:val="right"/>
        <w:spacing w:after="0" w:line="230" w:lineRule="auto"/>
        <w:rPr>
          <w:sz w:val="20"/>
          <w:szCs w:val="20"/>
          <w:color w:val="auto"/>
        </w:rPr>
      </w:pPr>
      <w:r>
        <w:rPr>
          <w:rFonts w:ascii="Arial" w:cs="Arial" w:eastAsia="Arial" w:hAnsi="Arial"/>
          <w:sz w:val="17"/>
          <w:szCs w:val="17"/>
          <w:color w:val="auto"/>
        </w:rPr>
        <w:t>225,000</w:t>
      </w:r>
    </w:p>
    <w:p>
      <w:pPr>
        <w:jc w:val="right"/>
        <w:spacing w:after="0" w:line="230" w:lineRule="auto"/>
        <w:rPr>
          <w:sz w:val="20"/>
          <w:szCs w:val="20"/>
          <w:color w:val="auto"/>
        </w:rPr>
      </w:pPr>
      <w:r>
        <w:rPr>
          <w:rFonts w:ascii="Arial" w:cs="Arial" w:eastAsia="Arial" w:hAnsi="Arial"/>
          <w:sz w:val="17"/>
          <w:szCs w:val="17"/>
          <w:color w:val="auto"/>
        </w:rPr>
        <w:t>1,800,000</w:t>
      </w:r>
    </w:p>
    <w:p>
      <w:pPr>
        <w:jc w:val="right"/>
        <w:spacing w:after="0" w:line="230" w:lineRule="auto"/>
        <w:rPr>
          <w:sz w:val="20"/>
          <w:szCs w:val="20"/>
          <w:color w:val="auto"/>
        </w:rPr>
      </w:pPr>
      <w:r>
        <w:rPr>
          <w:rFonts w:ascii="Arial" w:cs="Arial" w:eastAsia="Arial" w:hAnsi="Arial"/>
          <w:sz w:val="17"/>
          <w:szCs w:val="17"/>
          <w:color w:val="auto"/>
        </w:rPr>
        <w:t>885,000</w:t>
      </w:r>
    </w:p>
    <w:p>
      <w:pPr>
        <w:jc w:val="right"/>
        <w:spacing w:after="0" w:line="230" w:lineRule="auto"/>
        <w:rPr>
          <w:sz w:val="20"/>
          <w:szCs w:val="20"/>
          <w:color w:val="auto"/>
        </w:rPr>
      </w:pPr>
      <w:r>
        <w:rPr>
          <w:rFonts w:ascii="Arial" w:cs="Arial" w:eastAsia="Arial" w:hAnsi="Arial"/>
          <w:sz w:val="17"/>
          <w:szCs w:val="17"/>
          <w:color w:val="auto"/>
        </w:rPr>
        <w:t>5,500</w:t>
      </w:r>
    </w:p>
    <w:p>
      <w:pPr>
        <w:jc w:val="right"/>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58610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86105" cy="8255"/>
                    </a:xfrm>
                    <a:prstGeom prst="rect">
                      <a:avLst/>
                    </a:prstGeom>
                    <a:noFill/>
                  </pic:spPr>
                </pic:pic>
              </a:graphicData>
            </a:graphic>
          </wp:anchor>
        </w:drawing>
      </w:r>
    </w:p>
    <w:p>
      <w:pPr>
        <w:spacing w:after="0" w:line="12" w:lineRule="exact"/>
        <w:rPr>
          <w:sz w:val="20"/>
          <w:szCs w:val="20"/>
          <w:color w:val="auto"/>
        </w:rPr>
      </w:pPr>
    </w:p>
    <w:p>
      <w:pPr>
        <w:ind w:left="9"/>
        <w:spacing w:after="0"/>
        <w:rPr>
          <w:sz w:val="20"/>
          <w:szCs w:val="20"/>
          <w:color w:val="auto"/>
        </w:rPr>
      </w:pPr>
      <w:r>
        <w:rPr>
          <w:rFonts w:ascii="Arial" w:cs="Arial" w:eastAsia="Arial" w:hAnsi="Arial"/>
          <w:sz w:val="17"/>
          <w:szCs w:val="17"/>
          <w:color w:val="auto"/>
        </w:rPr>
        <w:t>$ 3,087,671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58610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861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58610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86105" cy="8255"/>
                    </a:xfrm>
                    <a:prstGeom prst="rect">
                      <a:avLst/>
                    </a:prstGeom>
                    <a:noFill/>
                  </pic:spPr>
                </pic:pic>
              </a:graphicData>
            </a:graphic>
          </wp:anchor>
        </w:drawing>
      </w:r>
    </w:p>
    <w:p>
      <w:pPr>
        <w:spacing w:after="0" w:line="874" w:lineRule="exact"/>
        <w:rPr>
          <w:sz w:val="20"/>
          <w:szCs w:val="20"/>
          <w:color w:val="auto"/>
        </w:rPr>
      </w:pPr>
    </w:p>
    <w:p>
      <w:pPr>
        <w:sectPr>
          <w:pgSz w:w="11900" w:h="16838" w:orient="portrait"/>
          <w:cols w:equalWidth="0" w:num="2">
            <w:col w:w="9371" w:space="720"/>
            <w:col w:w="929"/>
          </w:cols>
          <w:pgMar w:left="320" w:top="456" w:right="559" w:bottom="1440" w:gutter="0" w:footer="0" w:header="0"/>
          <w:type w:val="continuous"/>
        </w:sectPr>
      </w:pPr>
    </w:p>
    <w:p>
      <w:pPr>
        <w:ind w:left="160" w:right="20"/>
        <w:spacing w:after="0" w:line="232" w:lineRule="auto"/>
        <w:rPr>
          <w:sz w:val="20"/>
          <w:szCs w:val="20"/>
          <w:color w:val="auto"/>
        </w:rPr>
      </w:pPr>
      <w:r>
        <w:rPr>
          <w:rFonts w:ascii="Arial" w:cs="Arial" w:eastAsia="Arial" w:hAnsi="Arial"/>
          <w:sz w:val="17"/>
          <w:szCs w:val="17"/>
          <w:color w:val="auto"/>
        </w:rPr>
        <w:t>Section 145 of the Delaware General Corporation Law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(Securities Act). Our amended and restated certificate of incorporation that will be in effect immediately after the closing of this offering permits indemnification of our directors, officers, employees and other agents to the maximum extent permitted by the DGCL, and our amended and restated bylaws that will be in effect upon the closing of this offering provide that we will indemnify our directors and officers and permit us to indemnify our employees and other agents, in each case to the maximum extent permitted by the DGCL.</w:t>
      </w:r>
    </w:p>
    <w:p>
      <w:pPr>
        <w:spacing w:after="0" w:line="202" w:lineRule="exact"/>
        <w:rPr>
          <w:sz w:val="20"/>
          <w:szCs w:val="20"/>
          <w:color w:val="auto"/>
        </w:rPr>
      </w:pPr>
    </w:p>
    <w:p>
      <w:pPr>
        <w:ind w:left="160" w:right="20"/>
        <w:spacing w:after="0" w:line="233" w:lineRule="auto"/>
        <w:rPr>
          <w:sz w:val="20"/>
          <w:szCs w:val="20"/>
          <w:color w:val="auto"/>
        </w:rPr>
      </w:pPr>
      <w:r>
        <w:rPr>
          <w:rFonts w:ascii="Arial" w:cs="Arial" w:eastAsia="Arial" w:hAnsi="Arial"/>
          <w:sz w:val="17"/>
          <w:szCs w:val="17"/>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Vera Therapeutics, Inc., provided that such director or officer acted in good faith and in a manner that the director or officer reasonably believed to be in, or not opposed to, the best interest of Vera Therapeutics, Inc.</w:t>
      </w:r>
    </w:p>
    <w:p>
      <w:pPr>
        <w:spacing w:after="0" w:line="201" w:lineRule="exact"/>
        <w:rPr>
          <w:sz w:val="20"/>
          <w:szCs w:val="20"/>
          <w:color w:val="auto"/>
        </w:rPr>
      </w:pPr>
    </w:p>
    <w:p>
      <w:pPr>
        <w:ind w:left="160" w:right="80"/>
        <w:spacing w:after="0" w:line="239" w:lineRule="auto"/>
        <w:rPr>
          <w:sz w:val="20"/>
          <w:szCs w:val="20"/>
          <w:color w:val="auto"/>
        </w:rPr>
      </w:pPr>
      <w:r>
        <w:rPr>
          <w:rFonts w:ascii="Arial" w:cs="Arial" w:eastAsia="Arial" w:hAnsi="Arial"/>
          <w:sz w:val="17"/>
          <w:szCs w:val="17"/>
          <w:color w:val="auto"/>
        </w:rPr>
        <w:t>At present, there is no pending litigation or proceeding involving a director or officer of Vera Therapeutics, Inc. regarding which indemnification is sought, nor is the registrant aware of any threatened litigation that may result in claims for indemnification.</w:t>
      </w:r>
    </w:p>
    <w:p>
      <w:pPr>
        <w:spacing w:after="0" w:line="199" w:lineRule="exact"/>
        <w:rPr>
          <w:sz w:val="20"/>
          <w:szCs w:val="20"/>
          <w:color w:val="auto"/>
        </w:rPr>
      </w:pPr>
    </w:p>
    <w:p>
      <w:pPr>
        <w:ind w:left="160" w:right="640"/>
        <w:spacing w:after="0" w:line="239" w:lineRule="auto"/>
        <w:rPr>
          <w:sz w:val="20"/>
          <w:szCs w:val="20"/>
          <w:color w:val="auto"/>
        </w:rPr>
      </w:pPr>
      <w:r>
        <w:rPr>
          <w:rFonts w:ascii="Arial" w:cs="Arial" w:eastAsia="Arial" w:hAnsi="Arial"/>
          <w:sz w:val="17"/>
          <w:szCs w:val="17"/>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020"/>
          </w:cols>
          <w:pgMar w:left="320" w:top="456" w:right="559" w:bottom="1440" w:gutter="0" w:footer="0" w:header="0"/>
          <w:type w:val="continuous"/>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60" w:right="460"/>
        <w:spacing w:after="0" w:line="239" w:lineRule="auto"/>
        <w:rPr>
          <w:sz w:val="20"/>
          <w:szCs w:val="20"/>
          <w:color w:val="auto"/>
        </w:rPr>
      </w:pPr>
      <w:r>
        <w:rPr>
          <w:rFonts w:ascii="Arial" w:cs="Arial" w:eastAsia="Arial" w:hAnsi="Arial"/>
          <w:sz w:val="17"/>
          <w:szCs w:val="17"/>
          <w:color w:val="auto"/>
        </w:rPr>
        <w:t>The underwriters are obligated, under certain circumstances, under the underwriting agreement to be filed as Exhibit 1.1 to this Registration Statement, to indemnify us and our officers and directors against liabilities under the Securities Act.</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Set forth below is information regarding unregistered securities issued by us since January 1, 2018.</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Equity Plan-Related Issuances</w:t>
      </w:r>
    </w:p>
    <w:p>
      <w:pPr>
        <w:spacing w:after="0" w:line="92" w:lineRule="exact"/>
        <w:rPr>
          <w:sz w:val="20"/>
          <w:szCs w:val="20"/>
          <w:color w:val="auto"/>
        </w:rPr>
      </w:pPr>
    </w:p>
    <w:p>
      <w:pPr>
        <w:ind w:left="1020" w:right="60" w:hanging="425"/>
        <w:spacing w:after="0" w:line="239" w:lineRule="auto"/>
        <w:tabs>
          <w:tab w:leader="none" w:pos="10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Since January 1, 2018, we have granted to certain of our directors, employees and consultants options to purchase 2,514,361 shares of our Class A common stock with per share exercise prices ranging from $2.32 to $10.55 under the 2017 Plan.</w:t>
      </w:r>
    </w:p>
    <w:p>
      <w:pPr>
        <w:spacing w:after="0" w:line="25" w:lineRule="exact"/>
        <w:rPr>
          <w:rFonts w:ascii="Arial" w:cs="Arial" w:eastAsia="Arial" w:hAnsi="Arial"/>
          <w:sz w:val="17"/>
          <w:szCs w:val="17"/>
          <w:color w:val="auto"/>
        </w:rPr>
      </w:pPr>
    </w:p>
    <w:p>
      <w:pPr>
        <w:ind w:left="1020" w:right="100" w:hanging="425"/>
        <w:spacing w:after="0" w:line="236" w:lineRule="auto"/>
        <w:tabs>
          <w:tab w:leader="none" w:pos="10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Since January 1, 2018, we have issued to certain of our directors, employees and consultants an aggregate of 206,535 shares of our Class A common stock at per share purchase prices ranging from $0.02 to $10.55 pursuant to exercises of options under the PNA Stock Plan and 2017 Plan for an aggregate purchase price of $908,667.05.</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Other Issuances of Capital Stock and Convertible Notes</w:t>
      </w:r>
    </w:p>
    <w:p>
      <w:pPr>
        <w:spacing w:after="0" w:line="92" w:lineRule="exact"/>
        <w:rPr>
          <w:sz w:val="20"/>
          <w:szCs w:val="20"/>
          <w:color w:val="auto"/>
        </w:rPr>
      </w:pPr>
    </w:p>
    <w:p>
      <w:pPr>
        <w:ind w:left="1020" w:right="40" w:hanging="425"/>
        <w:spacing w:after="0" w:line="269" w:lineRule="auto"/>
        <w:tabs>
          <w:tab w:leader="none" w:pos="10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Between March 2020 to May 2020, we issued to 12 accredited investors convertible promissory notes for an aggregate principal amount of approximately $5.6 million. In October 2020, these notes converted into 11,404,246 shares of our Series C preferred stock.</w:t>
      </w:r>
    </w:p>
    <w:p>
      <w:pPr>
        <w:spacing w:after="0" w:line="2" w:lineRule="exact"/>
        <w:rPr>
          <w:rFonts w:ascii="Arial" w:cs="Arial" w:eastAsia="Arial" w:hAnsi="Arial"/>
          <w:sz w:val="16"/>
          <w:szCs w:val="16"/>
          <w:color w:val="auto"/>
        </w:rPr>
      </w:pPr>
    </w:p>
    <w:p>
      <w:pPr>
        <w:ind w:left="1020" w:right="100" w:hanging="425"/>
        <w:spacing w:after="0" w:line="236" w:lineRule="auto"/>
        <w:tabs>
          <w:tab w:leader="none" w:pos="10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 October 2020, we issued an aggregate of (i) 157,352,353 shares of Series C preferred stock to 14 accredited investors at a purchase price of $0.5918 per share for aggregate cash proceeds of approximately $93.1 million and (ii) 11,404,246 shares of Series C preferred stock to 12 accredited investors upon the conversion of outstanding convertible promissory notes.</w:t>
      </w:r>
    </w:p>
    <w:p>
      <w:pPr>
        <w:spacing w:after="0" w:line="146"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The offers, sales and issuances of the securities described in paragraphs (1) and (2) were deemed to be exempt from registration under Rule 701 promulgated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w:t>
      </w:r>
    </w:p>
    <w:p>
      <w:pPr>
        <w:spacing w:after="0" w:line="145" w:lineRule="exact"/>
        <w:rPr>
          <w:sz w:val="20"/>
          <w:szCs w:val="20"/>
          <w:color w:val="auto"/>
        </w:rPr>
      </w:pPr>
    </w:p>
    <w:p>
      <w:pPr>
        <w:ind w:left="160"/>
        <w:spacing w:after="0" w:line="233" w:lineRule="auto"/>
        <w:rPr>
          <w:sz w:val="20"/>
          <w:szCs w:val="20"/>
          <w:color w:val="auto"/>
        </w:rPr>
      </w:pPr>
      <w:r>
        <w:rPr>
          <w:rFonts w:ascii="Arial" w:cs="Arial" w:eastAsia="Arial" w:hAnsi="Arial"/>
          <w:sz w:val="17"/>
          <w:szCs w:val="17"/>
          <w:color w:val="auto"/>
        </w:rPr>
        <w:t>The offers, sales and issuances of the securities described in paragraphs (3) and (4)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060"/>
          </w:cols>
          <w:pgMar w:left="320" w:top="456" w:right="5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 Exhibits.</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1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40" w:type="dxa"/>
            <w:vAlign w:val="bottom"/>
            <w:gridSpan w:val="20"/>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760" w:type="dxa"/>
            <w:vAlign w:val="bottom"/>
            <w:gridSpan w:val="2"/>
          </w:tcPr>
          <w:p>
            <w:pPr>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2"/>
                <w:szCs w:val="22"/>
                <w:color w:val="auto"/>
              </w:rPr>
            </w:pPr>
          </w:p>
        </w:tc>
        <w:tc>
          <w:tcPr>
            <w:tcW w:w="2500" w:type="dxa"/>
            <w:vAlign w:val="bottom"/>
            <w:tcBorders>
              <w:bottom w:val="single" w:sz="8" w:color="0000EE"/>
            </w:tcBorders>
            <w:gridSpan w:val="6"/>
          </w:tcPr>
          <w:p>
            <w:pPr>
              <w:spacing w:after="0"/>
              <w:rPr>
                <w:rFonts w:ascii="Arial" w:cs="Arial" w:eastAsia="Arial" w:hAnsi="Arial"/>
                <w:sz w:val="17"/>
                <w:szCs w:val="17"/>
                <w:color w:val="0000EE"/>
                <w:w w:val="98"/>
              </w:rPr>
            </w:pPr>
            <w:hyperlink w:anchor="page225">
              <w:r>
                <w:rPr>
                  <w:rFonts w:ascii="Arial" w:cs="Arial" w:eastAsia="Arial" w:hAnsi="Arial"/>
                  <w:sz w:val="17"/>
                  <w:szCs w:val="17"/>
                  <w:color w:val="0000EE"/>
                  <w:w w:val="98"/>
                </w:rPr>
                <w:t>Form of Underwriting Agreement.</w:t>
              </w:r>
            </w:hyperlink>
          </w:p>
        </w:tc>
        <w:tc>
          <w:tcPr>
            <w:tcW w:w="7160" w:type="dxa"/>
            <w:vAlign w:val="bottom"/>
            <w:gridSpan w:val="24"/>
          </w:tcPr>
          <w:p>
            <w:pPr>
              <w:spacing w:after="0"/>
              <w:rPr>
                <w:sz w:val="22"/>
                <w:szCs w:val="22"/>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7020" w:type="dxa"/>
            <w:vAlign w:val="bottom"/>
            <w:tcBorders>
              <w:bottom w:val="single" w:sz="8" w:color="0000EE"/>
            </w:tcBorders>
            <w:gridSpan w:val="18"/>
          </w:tcPr>
          <w:p>
            <w:pPr>
              <w:spacing w:after="0"/>
              <w:rPr>
                <w:rFonts w:ascii="Arial" w:cs="Arial" w:eastAsia="Arial" w:hAnsi="Arial"/>
                <w:sz w:val="17"/>
                <w:szCs w:val="17"/>
                <w:color w:val="0000EE"/>
                <w:w w:val="99"/>
              </w:rPr>
            </w:pPr>
            <w:hyperlink w:anchor="page269">
              <w:r>
                <w:rPr>
                  <w:rFonts w:ascii="Arial" w:cs="Arial" w:eastAsia="Arial" w:hAnsi="Arial"/>
                  <w:sz w:val="17"/>
                  <w:szCs w:val="17"/>
                  <w:color w:val="0000EE"/>
                  <w:w w:val="99"/>
                </w:rPr>
                <w:t>Fourth Amended and Restated Certificate of Incorporation, as amended, as currently in effect.</w:t>
              </w:r>
            </w:hyperlink>
          </w:p>
        </w:tc>
        <w:tc>
          <w:tcPr>
            <w:tcW w:w="2640" w:type="dxa"/>
            <w:vAlign w:val="bottom"/>
            <w:gridSpan w:val="12"/>
          </w:tcPr>
          <w:p>
            <w:pPr>
              <w:spacing w:after="0"/>
              <w:rPr>
                <w:sz w:val="24"/>
                <w:szCs w:val="24"/>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9240" w:type="dxa"/>
            <w:vAlign w:val="bottom"/>
            <w:tcBorders>
              <w:bottom w:val="single" w:sz="8" w:color="0000EE"/>
            </w:tcBorders>
            <w:gridSpan w:val="26"/>
          </w:tcPr>
          <w:p>
            <w:pPr>
              <w:spacing w:after="0"/>
              <w:rPr>
                <w:rFonts w:ascii="Arial" w:cs="Arial" w:eastAsia="Arial" w:hAnsi="Arial"/>
                <w:sz w:val="17"/>
                <w:szCs w:val="17"/>
                <w:color w:val="0000EE"/>
                <w:w w:val="99"/>
              </w:rPr>
            </w:pPr>
            <w:hyperlink w:anchor="page295">
              <w:r>
                <w:rPr>
                  <w:rFonts w:ascii="Arial" w:cs="Arial" w:eastAsia="Arial" w:hAnsi="Arial"/>
                  <w:sz w:val="17"/>
                  <w:szCs w:val="17"/>
                  <w:color w:val="0000EE"/>
                  <w:w w:val="99"/>
                </w:rPr>
                <w:t>Form of Fifth Amended and Restated Certificate of Incorporation, to be in effect immediately after the closing of the offering.</w:t>
              </w:r>
            </w:hyperlink>
          </w:p>
        </w:tc>
        <w:tc>
          <w:tcPr>
            <w:tcW w:w="420" w:type="dxa"/>
            <w:vAlign w:val="bottom"/>
            <w:gridSpan w:val="4"/>
          </w:tcPr>
          <w:p>
            <w:pPr>
              <w:spacing w:after="0"/>
              <w:rPr>
                <w:sz w:val="24"/>
                <w:szCs w:val="24"/>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24"/>
                <w:szCs w:val="24"/>
                <w:color w:val="auto"/>
              </w:rPr>
            </w:pPr>
          </w:p>
        </w:tc>
        <w:tc>
          <w:tcPr>
            <w:tcW w:w="4640" w:type="dxa"/>
            <w:vAlign w:val="bottom"/>
            <w:tcBorders>
              <w:bottom w:val="single" w:sz="8" w:color="0000EE"/>
            </w:tcBorders>
            <w:gridSpan w:val="13"/>
          </w:tcPr>
          <w:p>
            <w:pPr>
              <w:spacing w:after="0"/>
              <w:rPr>
                <w:rFonts w:ascii="Arial" w:cs="Arial" w:eastAsia="Arial" w:hAnsi="Arial"/>
                <w:sz w:val="17"/>
                <w:szCs w:val="17"/>
                <w:color w:val="0000EE"/>
                <w:w w:val="99"/>
              </w:rPr>
            </w:pPr>
            <w:hyperlink r:id="rId360">
              <w:r>
                <w:rPr>
                  <w:rFonts w:ascii="Arial" w:cs="Arial" w:eastAsia="Arial" w:hAnsi="Arial"/>
                  <w:sz w:val="17"/>
                  <w:szCs w:val="17"/>
                  <w:color w:val="0000EE"/>
                  <w:w w:val="99"/>
                </w:rPr>
                <w:t>Second Amended and Restated Bylaws, as currently in effect.</w:t>
              </w:r>
            </w:hyperlink>
          </w:p>
        </w:tc>
        <w:tc>
          <w:tcPr>
            <w:tcW w:w="5020" w:type="dxa"/>
            <w:vAlign w:val="bottom"/>
            <w:gridSpan w:val="17"/>
          </w:tcPr>
          <w:p>
            <w:pPr>
              <w:spacing w:after="0"/>
              <w:rPr>
                <w:sz w:val="24"/>
                <w:szCs w:val="24"/>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4"/>
                <w:szCs w:val="24"/>
                <w:color w:val="auto"/>
              </w:rPr>
            </w:pPr>
          </w:p>
        </w:tc>
        <w:tc>
          <w:tcPr>
            <w:tcW w:w="9660" w:type="dxa"/>
            <w:vAlign w:val="bottom"/>
            <w:gridSpan w:val="30"/>
          </w:tcPr>
          <w:p>
            <w:pPr>
              <w:spacing w:after="0"/>
              <w:rPr>
                <w:rFonts w:ascii="Arial" w:cs="Arial" w:eastAsia="Arial" w:hAnsi="Arial"/>
                <w:sz w:val="17"/>
                <w:szCs w:val="17"/>
                <w:color w:val="0000EE"/>
              </w:rPr>
            </w:pPr>
            <w:hyperlink w:anchor="page303">
              <w:r>
                <w:rPr>
                  <w:rFonts w:ascii="Arial" w:cs="Arial" w:eastAsia="Arial" w:hAnsi="Arial"/>
                  <w:sz w:val="17"/>
                  <w:szCs w:val="17"/>
                  <w:color w:val="0000EE"/>
                </w:rPr>
                <w:t>Form of Third Amended and Restated Bylaws, to be in effect upon the closing of the offering.</w:t>
              </w:r>
            </w:hyperlink>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6920" w:type="dxa"/>
            <w:vAlign w:val="bottom"/>
            <w:tcBorders>
              <w:top w:val="single" w:sz="8" w:color="0000EE"/>
            </w:tcBorders>
            <w:gridSpan w:val="17"/>
          </w:tcPr>
          <w:p>
            <w:pPr>
              <w:spacing w:after="0"/>
              <w:rPr>
                <w:rFonts w:ascii="Arial" w:cs="Arial" w:eastAsia="Arial" w:hAnsi="Arial"/>
                <w:sz w:val="17"/>
                <w:szCs w:val="17"/>
                <w:color w:val="0000EE"/>
              </w:rPr>
            </w:pPr>
            <w:hyperlink w:anchor="page331">
              <w:r>
                <w:rPr>
                  <w:rFonts w:ascii="Arial" w:cs="Arial" w:eastAsia="Arial" w:hAnsi="Arial"/>
                  <w:sz w:val="17"/>
                  <w:szCs w:val="17"/>
                  <w:color w:val="0000EE"/>
                </w:rPr>
                <w:t>Form of Class A Common Stock Certificate.</w:t>
              </w:r>
            </w:hyperlink>
          </w:p>
        </w:tc>
        <w:tc>
          <w:tcPr>
            <w:tcW w:w="2740" w:type="dxa"/>
            <w:vAlign w:val="bottom"/>
            <w:gridSpan w:val="13"/>
          </w:tcPr>
          <w:p>
            <w:pPr>
              <w:spacing w:after="0"/>
              <w:rPr>
                <w:sz w:val="24"/>
                <w:szCs w:val="24"/>
                <w:color w:val="auto"/>
              </w:rPr>
            </w:pPr>
          </w:p>
        </w:tc>
      </w:tr>
      <w:tr>
        <w:trPr>
          <w:trHeight w:val="20"/>
        </w:trPr>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9640" w:type="dxa"/>
            <w:vAlign w:val="bottom"/>
            <w:tcBorders>
              <w:bottom w:val="single" w:sz="8" w:color="0000EE"/>
            </w:tcBorders>
            <w:gridSpan w:val="29"/>
          </w:tcPr>
          <w:p>
            <w:pPr>
              <w:spacing w:after="0"/>
              <w:rPr>
                <w:rFonts w:ascii="Arial" w:cs="Arial" w:eastAsia="Arial" w:hAnsi="Arial"/>
                <w:sz w:val="17"/>
                <w:szCs w:val="17"/>
                <w:color w:val="0000EE"/>
                <w:w w:val="99"/>
              </w:rPr>
            </w:pPr>
            <w:hyperlink r:id="rId361">
              <w:r>
                <w:rPr>
                  <w:rFonts w:ascii="Arial" w:cs="Arial" w:eastAsia="Arial" w:hAnsi="Arial"/>
                  <w:sz w:val="17"/>
                  <w:szCs w:val="17"/>
                  <w:color w:val="0000EE"/>
                  <w:w w:val="99"/>
                </w:rPr>
                <w:t>Second Amended and Restated Investors’ Rights Agreement, by and among the Registrant and certain of its stockholders, dated</w:t>
              </w:r>
            </w:hyperlink>
          </w:p>
        </w:tc>
        <w:tc>
          <w:tcPr>
            <w:tcW w:w="20" w:type="dxa"/>
            <w:vAlign w:val="bottom"/>
          </w:tcPr>
          <w:p>
            <w:pPr>
              <w:spacing w:after="0"/>
              <w:rPr>
                <w:sz w:val="24"/>
                <w:szCs w:val="24"/>
                <w:color w:val="auto"/>
              </w:rPr>
            </w:pPr>
          </w:p>
        </w:tc>
      </w:tr>
      <w:tr>
        <w:trPr>
          <w:trHeight w:val="167"/>
        </w:trPr>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60" w:type="dxa"/>
            <w:vAlign w:val="bottom"/>
            <w:gridSpan w:val="30"/>
          </w:tcPr>
          <w:p>
            <w:pPr>
              <w:spacing w:after="0" w:line="167" w:lineRule="exact"/>
              <w:rPr>
                <w:rFonts w:ascii="Arial" w:cs="Arial" w:eastAsia="Arial" w:hAnsi="Arial"/>
                <w:sz w:val="17"/>
                <w:szCs w:val="17"/>
                <w:color w:val="0000EE"/>
              </w:rPr>
            </w:pPr>
            <w:hyperlink r:id="rId361">
              <w:r>
                <w:rPr>
                  <w:rFonts w:ascii="Arial" w:cs="Arial" w:eastAsia="Arial" w:hAnsi="Arial"/>
                  <w:sz w:val="17"/>
                  <w:szCs w:val="17"/>
                  <w:color w:val="0000EE"/>
                </w:rPr>
                <w:t>October 29, 2020.</w:t>
              </w:r>
            </w:hyperlink>
          </w:p>
        </w:tc>
      </w:tr>
      <w:tr>
        <w:trPr>
          <w:trHeight w:val="20"/>
        </w:trPr>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74"/>
        </w:trPr>
        <w:tc>
          <w:tcPr>
            <w:tcW w:w="760" w:type="dxa"/>
            <w:vAlign w:val="bottom"/>
            <w:gridSpan w:val="2"/>
          </w:tcPr>
          <w:p>
            <w:pPr>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3"/>
                <w:szCs w:val="23"/>
                <w:color w:val="auto"/>
              </w:rPr>
            </w:pPr>
          </w:p>
        </w:tc>
        <w:tc>
          <w:tcPr>
            <w:tcW w:w="1720" w:type="dxa"/>
            <w:vAlign w:val="bottom"/>
            <w:tcBorders>
              <w:bottom w:val="single" w:sz="8" w:color="0000EE"/>
            </w:tcBorders>
            <w:gridSpan w:val="5"/>
          </w:tcPr>
          <w:p>
            <w:pPr>
              <w:spacing w:after="0"/>
              <w:rPr>
                <w:rFonts w:ascii="Arial" w:cs="Arial" w:eastAsia="Arial" w:hAnsi="Arial"/>
                <w:sz w:val="17"/>
                <w:szCs w:val="17"/>
                <w:color w:val="0000EE"/>
                <w:w w:val="97"/>
              </w:rPr>
            </w:pPr>
            <w:hyperlink w:anchor="page333">
              <w:r>
                <w:rPr>
                  <w:rFonts w:ascii="Arial" w:cs="Arial" w:eastAsia="Arial" w:hAnsi="Arial"/>
                  <w:sz w:val="17"/>
                  <w:szCs w:val="17"/>
                  <w:color w:val="0000EE"/>
                  <w:w w:val="97"/>
                </w:rPr>
                <w:t>Opinion of Cooley LLP.</w:t>
              </w:r>
            </w:hyperlink>
          </w:p>
        </w:tc>
        <w:tc>
          <w:tcPr>
            <w:tcW w:w="7940" w:type="dxa"/>
            <w:vAlign w:val="bottom"/>
            <w:gridSpan w:val="25"/>
          </w:tcPr>
          <w:p>
            <w:pPr>
              <w:spacing w:after="0"/>
              <w:rPr>
                <w:sz w:val="23"/>
                <w:szCs w:val="23"/>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3840" w:type="dxa"/>
            <w:vAlign w:val="bottom"/>
            <w:tcBorders>
              <w:bottom w:val="single" w:sz="8" w:color="0000EE"/>
            </w:tcBorders>
            <w:gridSpan w:val="9"/>
          </w:tcPr>
          <w:p>
            <w:pPr>
              <w:spacing w:after="0"/>
              <w:rPr>
                <w:rFonts w:ascii="Arial" w:cs="Arial" w:eastAsia="Arial" w:hAnsi="Arial"/>
                <w:sz w:val="17"/>
                <w:szCs w:val="17"/>
                <w:color w:val="0000EE"/>
                <w:w w:val="98"/>
              </w:rPr>
            </w:pPr>
            <w:hyperlink r:id="rId362">
              <w:r>
                <w:rPr>
                  <w:rFonts w:ascii="Arial" w:cs="Arial" w:eastAsia="Arial" w:hAnsi="Arial"/>
                  <w:sz w:val="17"/>
                  <w:szCs w:val="17"/>
                  <w:color w:val="0000EE"/>
                  <w:w w:val="98"/>
                </w:rPr>
                <w:t>Vera Therapeutics, Inc. 2017 Equity Incentive Plan.</w:t>
              </w:r>
            </w:hyperlink>
          </w:p>
        </w:tc>
        <w:tc>
          <w:tcPr>
            <w:tcW w:w="5820" w:type="dxa"/>
            <w:vAlign w:val="bottom"/>
            <w:gridSpan w:val="21"/>
          </w:tcPr>
          <w:p>
            <w:pPr>
              <w:spacing w:after="0"/>
              <w:rPr>
                <w:sz w:val="24"/>
                <w:szCs w:val="24"/>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4"/>
                <w:szCs w:val="24"/>
                <w:color w:val="auto"/>
              </w:rPr>
            </w:pPr>
          </w:p>
        </w:tc>
        <w:tc>
          <w:tcPr>
            <w:tcW w:w="9660" w:type="dxa"/>
            <w:vAlign w:val="bottom"/>
            <w:gridSpan w:val="30"/>
          </w:tcPr>
          <w:p>
            <w:pPr>
              <w:spacing w:after="0"/>
              <w:rPr>
                <w:rFonts w:ascii="Arial" w:cs="Arial" w:eastAsia="Arial" w:hAnsi="Arial"/>
                <w:sz w:val="17"/>
                <w:szCs w:val="17"/>
                <w:color w:val="0000EE"/>
              </w:rPr>
            </w:pPr>
            <w:hyperlink r:id="rId363">
              <w:r>
                <w:rPr>
                  <w:rFonts w:ascii="Arial" w:cs="Arial" w:eastAsia="Arial" w:hAnsi="Arial"/>
                  <w:sz w:val="17"/>
                  <w:szCs w:val="17"/>
                  <w:color w:val="0000EE"/>
                </w:rPr>
                <w:t>Forms of Grant Notice, Stock Option Agreement and Notice of Exercise under the Vera Therapeutics, Inc. 2017 Equity Incentive</w:t>
              </w:r>
            </w:hyperlink>
          </w:p>
        </w:tc>
      </w:tr>
      <w:tr>
        <w:trPr>
          <w:trHeight w:val="167"/>
        </w:trPr>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Borders>
              <w:top w:val="single" w:sz="8" w:color="0000EE"/>
              <w:bottom w:val="single" w:sz="8" w:color="0000EE"/>
            </w:tcBorders>
          </w:tcPr>
          <w:p>
            <w:pPr>
              <w:spacing w:after="0" w:line="167" w:lineRule="exact"/>
              <w:rPr>
                <w:rFonts w:ascii="Arial" w:cs="Arial" w:eastAsia="Arial" w:hAnsi="Arial"/>
                <w:sz w:val="17"/>
                <w:szCs w:val="17"/>
                <w:color w:val="0000EE"/>
                <w:w w:val="92"/>
              </w:rPr>
            </w:pPr>
            <w:hyperlink r:id="rId363">
              <w:r>
                <w:rPr>
                  <w:rFonts w:ascii="Arial" w:cs="Arial" w:eastAsia="Arial" w:hAnsi="Arial"/>
                  <w:sz w:val="17"/>
                  <w:szCs w:val="17"/>
                  <w:color w:val="0000EE"/>
                  <w:w w:val="92"/>
                </w:rPr>
                <w:t>Plan.</w:t>
              </w:r>
            </w:hyperlink>
          </w:p>
        </w:tc>
        <w:tc>
          <w:tcPr>
            <w:tcW w:w="9160" w:type="dxa"/>
            <w:vAlign w:val="bottom"/>
            <w:tcBorders>
              <w:top w:val="single" w:sz="8" w:color="0000EE"/>
            </w:tcBorders>
            <w:gridSpan w:val="27"/>
          </w:tcPr>
          <w:p>
            <w:pPr>
              <w:spacing w:after="0"/>
              <w:rPr>
                <w:sz w:val="14"/>
                <w:szCs w:val="14"/>
                <w:color w:val="auto"/>
              </w:rPr>
            </w:pPr>
          </w:p>
        </w:tc>
        <w:tc>
          <w:tcPr>
            <w:tcW w:w="120" w:type="dxa"/>
            <w:vAlign w:val="bottom"/>
            <w:gridSpan w:val="2"/>
          </w:tcPr>
          <w:p>
            <w:pPr>
              <w:spacing w:after="0"/>
              <w:rPr>
                <w:sz w:val="14"/>
                <w:szCs w:val="14"/>
                <w:color w:val="auto"/>
              </w:rPr>
            </w:pPr>
          </w:p>
        </w:tc>
      </w:tr>
      <w:tr>
        <w:trPr>
          <w:trHeight w:val="274"/>
        </w:trPr>
        <w:tc>
          <w:tcPr>
            <w:tcW w:w="760" w:type="dxa"/>
            <w:vAlign w:val="bottom"/>
            <w:gridSpan w:val="2"/>
          </w:tcPr>
          <w:p>
            <w:pPr>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3"/>
                <w:szCs w:val="23"/>
                <w:color w:val="auto"/>
              </w:rPr>
            </w:pPr>
          </w:p>
        </w:tc>
        <w:tc>
          <w:tcPr>
            <w:tcW w:w="3840" w:type="dxa"/>
            <w:vAlign w:val="bottom"/>
            <w:tcBorders>
              <w:bottom w:val="single" w:sz="8" w:color="0000EE"/>
            </w:tcBorders>
            <w:gridSpan w:val="9"/>
          </w:tcPr>
          <w:p>
            <w:pPr>
              <w:spacing w:after="0"/>
              <w:rPr>
                <w:rFonts w:ascii="Arial" w:cs="Arial" w:eastAsia="Arial" w:hAnsi="Arial"/>
                <w:sz w:val="17"/>
                <w:szCs w:val="17"/>
                <w:color w:val="0000EE"/>
                <w:w w:val="98"/>
              </w:rPr>
            </w:pPr>
            <w:hyperlink w:anchor="page335">
              <w:r>
                <w:rPr>
                  <w:rFonts w:ascii="Arial" w:cs="Arial" w:eastAsia="Arial" w:hAnsi="Arial"/>
                  <w:sz w:val="17"/>
                  <w:szCs w:val="17"/>
                  <w:color w:val="0000EE"/>
                  <w:w w:val="98"/>
                </w:rPr>
                <w:t>Vera Therapeutics, Inc. 2021 Equity Incentive Plan.</w:t>
              </w:r>
            </w:hyperlink>
          </w:p>
        </w:tc>
        <w:tc>
          <w:tcPr>
            <w:tcW w:w="5820" w:type="dxa"/>
            <w:vAlign w:val="bottom"/>
            <w:gridSpan w:val="21"/>
          </w:tcPr>
          <w:p>
            <w:pPr>
              <w:spacing w:after="0"/>
              <w:rPr>
                <w:sz w:val="23"/>
                <w:szCs w:val="23"/>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9660" w:type="dxa"/>
            <w:vAlign w:val="bottom"/>
            <w:gridSpan w:val="30"/>
          </w:tcPr>
          <w:p>
            <w:pPr>
              <w:spacing w:after="0"/>
              <w:rPr>
                <w:rFonts w:ascii="Arial" w:cs="Arial" w:eastAsia="Arial" w:hAnsi="Arial"/>
                <w:sz w:val="17"/>
                <w:szCs w:val="17"/>
                <w:color w:val="0000EE"/>
              </w:rPr>
            </w:pPr>
            <w:hyperlink w:anchor="page369">
              <w:r>
                <w:rPr>
                  <w:rFonts w:ascii="Arial" w:cs="Arial" w:eastAsia="Arial" w:hAnsi="Arial"/>
                  <w:sz w:val="17"/>
                  <w:szCs w:val="17"/>
                  <w:color w:val="0000EE"/>
                </w:rPr>
                <w:t>Forms of Stock Option Grant Notice, Stock Option Agreement and Notice of Exercise under the Vera Therapeutics, Inc. 2021</w:t>
              </w:r>
            </w:hyperlink>
          </w:p>
        </w:tc>
      </w:tr>
      <w:tr>
        <w:trPr>
          <w:trHeight w:val="167"/>
        </w:trPr>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Borders>
              <w:top w:val="single" w:sz="8" w:color="0000EE"/>
              <w:bottom w:val="single" w:sz="8" w:color="0000EE"/>
            </w:tcBorders>
            <w:gridSpan w:val="4"/>
          </w:tcPr>
          <w:p>
            <w:pPr>
              <w:spacing w:after="0" w:line="167" w:lineRule="exact"/>
              <w:rPr>
                <w:rFonts w:ascii="Arial" w:cs="Arial" w:eastAsia="Arial" w:hAnsi="Arial"/>
                <w:sz w:val="17"/>
                <w:szCs w:val="17"/>
                <w:color w:val="0000EE"/>
                <w:w w:val="97"/>
              </w:rPr>
            </w:pPr>
            <w:hyperlink w:anchor="page369">
              <w:r>
                <w:rPr>
                  <w:rFonts w:ascii="Arial" w:cs="Arial" w:eastAsia="Arial" w:hAnsi="Arial"/>
                  <w:sz w:val="17"/>
                  <w:szCs w:val="17"/>
                  <w:color w:val="0000EE"/>
                  <w:w w:val="97"/>
                </w:rPr>
                <w:t>Equity Incentive Plan.</w:t>
              </w:r>
            </w:hyperlink>
          </w:p>
        </w:tc>
        <w:tc>
          <w:tcPr>
            <w:tcW w:w="7700" w:type="dxa"/>
            <w:vAlign w:val="bottom"/>
            <w:tcBorders>
              <w:top w:val="single" w:sz="8" w:color="0000EE"/>
            </w:tcBorders>
            <w:gridSpan w:val="23"/>
          </w:tcPr>
          <w:p>
            <w:pPr>
              <w:spacing w:after="0"/>
              <w:rPr>
                <w:sz w:val="14"/>
                <w:szCs w:val="14"/>
                <w:color w:val="auto"/>
              </w:rPr>
            </w:pPr>
          </w:p>
        </w:tc>
        <w:tc>
          <w:tcPr>
            <w:tcW w:w="340" w:type="dxa"/>
            <w:vAlign w:val="bottom"/>
            <w:gridSpan w:val="3"/>
          </w:tcPr>
          <w:p>
            <w:pPr>
              <w:spacing w:after="0"/>
              <w:rPr>
                <w:sz w:val="14"/>
                <w:szCs w:val="14"/>
                <w:color w:val="auto"/>
              </w:rPr>
            </w:pPr>
          </w:p>
        </w:tc>
      </w:tr>
      <w:tr>
        <w:trPr>
          <w:trHeight w:val="274"/>
        </w:trPr>
        <w:tc>
          <w:tcPr>
            <w:tcW w:w="760" w:type="dxa"/>
            <w:vAlign w:val="bottom"/>
            <w:gridSpan w:val="2"/>
          </w:tcPr>
          <w:p>
            <w:pPr>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23"/>
                <w:szCs w:val="23"/>
                <w:color w:val="auto"/>
              </w:rPr>
            </w:pPr>
          </w:p>
        </w:tc>
        <w:tc>
          <w:tcPr>
            <w:tcW w:w="9660" w:type="dxa"/>
            <w:vAlign w:val="bottom"/>
            <w:tcBorders>
              <w:bottom w:val="single" w:sz="8" w:color="0000EE"/>
            </w:tcBorders>
            <w:gridSpan w:val="30"/>
          </w:tcPr>
          <w:p>
            <w:pPr>
              <w:spacing w:after="0"/>
              <w:rPr>
                <w:rFonts w:ascii="Arial" w:cs="Arial" w:eastAsia="Arial" w:hAnsi="Arial"/>
                <w:sz w:val="17"/>
                <w:szCs w:val="17"/>
                <w:color w:val="0000EE"/>
                <w:w w:val="99"/>
              </w:rPr>
            </w:pPr>
            <w:hyperlink w:anchor="page384">
              <w:r>
                <w:rPr>
                  <w:rFonts w:ascii="Arial" w:cs="Arial" w:eastAsia="Arial" w:hAnsi="Arial"/>
                  <w:sz w:val="17"/>
                  <w:szCs w:val="17"/>
                  <w:color w:val="0000EE"/>
                  <w:w w:val="99"/>
                </w:rPr>
                <w:t>Forms of Restricted Stock Unit Grant Notice and Award Agreement under the Vera Therapeutics, Inc. 2021 Equity Incentive Plan.</w:t>
              </w:r>
            </w:hyperlink>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4"/>
                <w:szCs w:val="24"/>
                <w:color w:val="auto"/>
              </w:rPr>
            </w:pPr>
          </w:p>
        </w:tc>
        <w:tc>
          <w:tcPr>
            <w:tcW w:w="9660" w:type="dxa"/>
            <w:vAlign w:val="bottom"/>
            <w:gridSpan w:val="30"/>
          </w:tcPr>
          <w:p>
            <w:pPr>
              <w:spacing w:after="0"/>
              <w:rPr>
                <w:rFonts w:ascii="Arial" w:cs="Arial" w:eastAsia="Arial" w:hAnsi="Arial"/>
                <w:sz w:val="17"/>
                <w:szCs w:val="17"/>
                <w:color w:val="0000EE"/>
              </w:rPr>
            </w:pPr>
            <w:hyperlink w:anchor="page388">
              <w:r>
                <w:rPr>
                  <w:rFonts w:ascii="Arial" w:cs="Arial" w:eastAsia="Arial" w:hAnsi="Arial"/>
                  <w:sz w:val="17"/>
                  <w:szCs w:val="17"/>
                  <w:color w:val="0000EE"/>
                </w:rPr>
                <w:t>Vera Therapeutics, Inc. 2021 Employee Stock Purchase Plan.</w:t>
              </w:r>
            </w:hyperlink>
          </w:p>
        </w:tc>
      </w:tr>
      <w:tr>
        <w:trPr>
          <w:trHeight w:val="20"/>
        </w:trPr>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4"/>
                <w:szCs w:val="24"/>
                <w:color w:val="auto"/>
              </w:rPr>
            </w:pPr>
          </w:p>
        </w:tc>
        <w:tc>
          <w:tcPr>
            <w:tcW w:w="5640" w:type="dxa"/>
            <w:vAlign w:val="bottom"/>
            <w:tcBorders>
              <w:bottom w:val="single" w:sz="8" w:color="0000EE"/>
            </w:tcBorders>
            <w:gridSpan w:val="15"/>
          </w:tcPr>
          <w:p>
            <w:pPr>
              <w:spacing w:after="0"/>
              <w:rPr>
                <w:rFonts w:ascii="Arial" w:cs="Arial" w:eastAsia="Arial" w:hAnsi="Arial"/>
                <w:sz w:val="17"/>
                <w:szCs w:val="17"/>
                <w:color w:val="0000EE"/>
                <w:w w:val="98"/>
              </w:rPr>
            </w:pPr>
            <w:hyperlink w:anchor="page402">
              <w:r>
                <w:rPr>
                  <w:rFonts w:ascii="Arial" w:cs="Arial" w:eastAsia="Arial" w:hAnsi="Arial"/>
                  <w:sz w:val="17"/>
                  <w:szCs w:val="17"/>
                  <w:color w:val="0000EE"/>
                  <w:w w:val="98"/>
                </w:rPr>
                <w:t>Vera Therapeutics, Inc. 2021 Non-Employee Director Compensation Policy.</w:t>
              </w:r>
            </w:hyperlink>
          </w:p>
        </w:tc>
        <w:tc>
          <w:tcPr>
            <w:tcW w:w="4020" w:type="dxa"/>
            <w:vAlign w:val="bottom"/>
            <w:gridSpan w:val="15"/>
          </w:tcPr>
          <w:p>
            <w:pPr>
              <w:spacing w:after="0"/>
              <w:rPr>
                <w:sz w:val="24"/>
                <w:szCs w:val="24"/>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24"/>
                <w:szCs w:val="24"/>
                <w:color w:val="auto"/>
              </w:rPr>
            </w:pPr>
          </w:p>
        </w:tc>
        <w:tc>
          <w:tcPr>
            <w:tcW w:w="9660" w:type="dxa"/>
            <w:vAlign w:val="bottom"/>
            <w:gridSpan w:val="30"/>
          </w:tcPr>
          <w:p>
            <w:pPr>
              <w:spacing w:after="0"/>
              <w:rPr>
                <w:rFonts w:ascii="Arial" w:cs="Arial" w:eastAsia="Arial" w:hAnsi="Arial"/>
                <w:sz w:val="17"/>
                <w:szCs w:val="17"/>
                <w:color w:val="0000EE"/>
              </w:rPr>
            </w:pPr>
            <w:hyperlink w:anchor="page404">
              <w:r>
                <w:rPr>
                  <w:rFonts w:ascii="Arial" w:cs="Arial" w:eastAsia="Arial" w:hAnsi="Arial"/>
                  <w:sz w:val="17"/>
                  <w:szCs w:val="17"/>
                  <w:color w:val="0000EE"/>
                </w:rPr>
                <w:t>Form of Indemnification Agreement by and between the Registrant and its directors and executive officers.</w:t>
              </w:r>
            </w:hyperlink>
          </w:p>
        </w:tc>
      </w:tr>
      <w:tr>
        <w:trPr>
          <w:trHeight w:val="20"/>
        </w:trPr>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4"/>
                <w:szCs w:val="24"/>
                <w:color w:val="auto"/>
              </w:rPr>
            </w:pPr>
          </w:p>
        </w:tc>
        <w:tc>
          <w:tcPr>
            <w:tcW w:w="9660" w:type="dxa"/>
            <w:vAlign w:val="bottom"/>
            <w:gridSpan w:val="30"/>
          </w:tcPr>
          <w:p>
            <w:pPr>
              <w:spacing w:after="0"/>
              <w:rPr>
                <w:rFonts w:ascii="Arial" w:cs="Arial" w:eastAsia="Arial" w:hAnsi="Arial"/>
                <w:sz w:val="17"/>
                <w:szCs w:val="17"/>
                <w:color w:val="0000EE"/>
              </w:rPr>
            </w:pPr>
            <w:hyperlink w:anchor="page418">
              <w:r>
                <w:rPr>
                  <w:rFonts w:ascii="Arial" w:cs="Arial" w:eastAsia="Arial" w:hAnsi="Arial"/>
                  <w:sz w:val="17"/>
                  <w:szCs w:val="17"/>
                  <w:color w:val="0000EE"/>
                </w:rPr>
                <w:t>Amended and Restated Offer Letter by and between the Registrant and Marshall Fordyce, M.D., dated May 7, 2021.</w:t>
              </w:r>
            </w:hyperlink>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10.10¥</w:t>
            </w:r>
          </w:p>
        </w:tc>
        <w:tc>
          <w:tcPr>
            <w:tcW w:w="460" w:type="dxa"/>
            <w:vAlign w:val="bottom"/>
          </w:tcPr>
          <w:p>
            <w:pPr>
              <w:spacing w:after="0"/>
              <w:rPr>
                <w:sz w:val="24"/>
                <w:szCs w:val="24"/>
                <w:color w:val="auto"/>
              </w:rPr>
            </w:pPr>
          </w:p>
        </w:tc>
        <w:tc>
          <w:tcPr>
            <w:tcW w:w="8680" w:type="dxa"/>
            <w:vAlign w:val="bottom"/>
            <w:tcBorders>
              <w:top w:val="single" w:sz="8" w:color="0000EE"/>
            </w:tcBorders>
            <w:gridSpan w:val="25"/>
          </w:tcPr>
          <w:p>
            <w:pPr>
              <w:spacing w:after="0"/>
              <w:rPr>
                <w:rFonts w:ascii="Arial" w:cs="Arial" w:eastAsia="Arial" w:hAnsi="Arial"/>
                <w:sz w:val="17"/>
                <w:szCs w:val="17"/>
                <w:color w:val="0000EE"/>
              </w:rPr>
            </w:pPr>
            <w:hyperlink w:anchor="page426">
              <w:r>
                <w:rPr>
                  <w:rFonts w:ascii="Arial" w:cs="Arial" w:eastAsia="Arial" w:hAnsi="Arial"/>
                  <w:sz w:val="17"/>
                  <w:szCs w:val="17"/>
                  <w:color w:val="0000EE"/>
                </w:rPr>
                <w:t>Amended and Restated Offer Letter by and between the Registrant and Joanne Curley, Ph.D., dated May 7, 2021.</w:t>
              </w:r>
            </w:hyperlink>
          </w:p>
        </w:tc>
        <w:tc>
          <w:tcPr>
            <w:tcW w:w="980" w:type="dxa"/>
            <w:vAlign w:val="bottom"/>
            <w:gridSpan w:val="5"/>
          </w:tcPr>
          <w:p>
            <w:pPr>
              <w:spacing w:after="0"/>
              <w:rPr>
                <w:sz w:val="24"/>
                <w:szCs w:val="24"/>
                <w:color w:val="auto"/>
              </w:rPr>
            </w:pPr>
          </w:p>
        </w:tc>
      </w:tr>
      <w:tr>
        <w:trPr>
          <w:trHeight w:val="20"/>
        </w:trPr>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10.11†</w:t>
            </w:r>
          </w:p>
        </w:tc>
        <w:tc>
          <w:tcPr>
            <w:tcW w:w="460" w:type="dxa"/>
            <w:vAlign w:val="bottom"/>
          </w:tcPr>
          <w:p>
            <w:pPr>
              <w:spacing w:after="0"/>
              <w:rPr>
                <w:sz w:val="24"/>
                <w:szCs w:val="24"/>
                <w:color w:val="auto"/>
              </w:rPr>
            </w:pPr>
          </w:p>
        </w:tc>
        <w:tc>
          <w:tcPr>
            <w:tcW w:w="8540" w:type="dxa"/>
            <w:vAlign w:val="bottom"/>
            <w:tcBorders>
              <w:bottom w:val="single" w:sz="8" w:color="0000EE"/>
            </w:tcBorders>
            <w:gridSpan w:val="24"/>
          </w:tcPr>
          <w:p>
            <w:pPr>
              <w:spacing w:after="0"/>
              <w:rPr>
                <w:rFonts w:ascii="Arial" w:cs="Arial" w:eastAsia="Arial" w:hAnsi="Arial"/>
                <w:sz w:val="17"/>
                <w:szCs w:val="17"/>
                <w:color w:val="0000EE"/>
                <w:w w:val="99"/>
              </w:rPr>
            </w:pPr>
            <w:hyperlink r:id="rId364">
              <w:r>
                <w:rPr>
                  <w:rFonts w:ascii="Arial" w:cs="Arial" w:eastAsia="Arial" w:hAnsi="Arial"/>
                  <w:sz w:val="17"/>
                  <w:szCs w:val="17"/>
                  <w:color w:val="0000EE"/>
                  <w:w w:val="99"/>
                </w:rPr>
                <w:t>Confidential Consulting Agreement by and between the Registrant and FLG Partners, LLC, dated March 15, 2020.</w:t>
              </w:r>
            </w:hyperlink>
          </w:p>
        </w:tc>
        <w:tc>
          <w:tcPr>
            <w:tcW w:w="1120" w:type="dxa"/>
            <w:vAlign w:val="bottom"/>
            <w:gridSpan w:val="6"/>
          </w:tcPr>
          <w:p>
            <w:pPr>
              <w:spacing w:after="0"/>
              <w:rPr>
                <w:sz w:val="24"/>
                <w:szCs w:val="24"/>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10.12†¥</w:t>
            </w:r>
          </w:p>
        </w:tc>
        <w:tc>
          <w:tcPr>
            <w:tcW w:w="460" w:type="dxa"/>
            <w:vAlign w:val="bottom"/>
          </w:tcPr>
          <w:p>
            <w:pPr>
              <w:spacing w:after="0"/>
              <w:rPr>
                <w:sz w:val="24"/>
                <w:szCs w:val="24"/>
                <w:color w:val="auto"/>
              </w:rPr>
            </w:pPr>
          </w:p>
        </w:tc>
        <w:tc>
          <w:tcPr>
            <w:tcW w:w="9660" w:type="dxa"/>
            <w:vAlign w:val="bottom"/>
            <w:gridSpan w:val="30"/>
          </w:tcPr>
          <w:p>
            <w:pPr>
              <w:spacing w:after="0"/>
              <w:rPr>
                <w:rFonts w:ascii="Arial" w:cs="Arial" w:eastAsia="Arial" w:hAnsi="Arial"/>
                <w:sz w:val="17"/>
                <w:szCs w:val="17"/>
                <w:color w:val="0000EE"/>
              </w:rPr>
            </w:pPr>
            <w:hyperlink r:id="rId365">
              <w:r>
                <w:rPr>
                  <w:rFonts w:ascii="Arial" w:cs="Arial" w:eastAsia="Arial" w:hAnsi="Arial"/>
                  <w:sz w:val="17"/>
                  <w:szCs w:val="17"/>
                  <w:color w:val="0000EE"/>
                </w:rPr>
                <w:t>Offer Letter by and between the Registrant and Allen Ebens, Ph.D., dated July 26, 2018.</w:t>
              </w:r>
            </w:hyperlink>
          </w:p>
        </w:tc>
      </w:tr>
      <w:tr>
        <w:trPr>
          <w:trHeight w:val="20"/>
        </w:trPr>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10.13†¥</w:t>
            </w:r>
          </w:p>
        </w:tc>
        <w:tc>
          <w:tcPr>
            <w:tcW w:w="460" w:type="dxa"/>
            <w:vAlign w:val="bottom"/>
          </w:tcPr>
          <w:p>
            <w:pPr>
              <w:spacing w:after="0"/>
              <w:rPr>
                <w:sz w:val="24"/>
                <w:szCs w:val="24"/>
                <w:color w:val="auto"/>
              </w:rPr>
            </w:pPr>
          </w:p>
        </w:tc>
        <w:tc>
          <w:tcPr>
            <w:tcW w:w="7980" w:type="dxa"/>
            <w:vAlign w:val="bottom"/>
            <w:tcBorders>
              <w:bottom w:val="single" w:sz="8" w:color="0000EE"/>
            </w:tcBorders>
            <w:gridSpan w:val="21"/>
          </w:tcPr>
          <w:p>
            <w:pPr>
              <w:spacing w:after="0"/>
              <w:rPr>
                <w:rFonts w:ascii="Arial" w:cs="Arial" w:eastAsia="Arial" w:hAnsi="Arial"/>
                <w:sz w:val="17"/>
                <w:szCs w:val="17"/>
                <w:color w:val="0000EE"/>
                <w:w w:val="99"/>
              </w:rPr>
            </w:pPr>
            <w:hyperlink r:id="rId366">
              <w:r>
                <w:rPr>
                  <w:rFonts w:ascii="Arial" w:cs="Arial" w:eastAsia="Arial" w:hAnsi="Arial"/>
                  <w:sz w:val="17"/>
                  <w:szCs w:val="17"/>
                  <w:color w:val="0000EE"/>
                  <w:w w:val="99"/>
                </w:rPr>
                <w:t>Separation Agreement by and between the Registrant and Allen Ebens, Ph.D., dated September 24, 2020.</w:t>
              </w:r>
            </w:hyperlink>
          </w:p>
        </w:tc>
        <w:tc>
          <w:tcPr>
            <w:tcW w:w="1680" w:type="dxa"/>
            <w:vAlign w:val="bottom"/>
            <w:gridSpan w:val="9"/>
          </w:tcPr>
          <w:p>
            <w:pPr>
              <w:spacing w:after="0"/>
              <w:rPr>
                <w:sz w:val="24"/>
                <w:szCs w:val="24"/>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10.14¥</w:t>
            </w:r>
          </w:p>
        </w:tc>
        <w:tc>
          <w:tcPr>
            <w:tcW w:w="460" w:type="dxa"/>
            <w:vAlign w:val="bottom"/>
          </w:tcPr>
          <w:p>
            <w:pPr>
              <w:spacing w:after="0"/>
              <w:rPr>
                <w:sz w:val="24"/>
                <w:szCs w:val="24"/>
                <w:color w:val="auto"/>
              </w:rPr>
            </w:pPr>
          </w:p>
        </w:tc>
        <w:tc>
          <w:tcPr>
            <w:tcW w:w="9660" w:type="dxa"/>
            <w:vAlign w:val="bottom"/>
            <w:gridSpan w:val="30"/>
          </w:tcPr>
          <w:p>
            <w:pPr>
              <w:spacing w:after="0"/>
              <w:rPr>
                <w:rFonts w:ascii="Arial" w:cs="Arial" w:eastAsia="Arial" w:hAnsi="Arial"/>
                <w:sz w:val="17"/>
                <w:szCs w:val="17"/>
                <w:color w:val="0000EE"/>
              </w:rPr>
            </w:pPr>
            <w:hyperlink w:anchor="page434">
              <w:r>
                <w:rPr>
                  <w:rFonts w:ascii="Arial" w:cs="Arial" w:eastAsia="Arial" w:hAnsi="Arial"/>
                  <w:sz w:val="17"/>
                  <w:szCs w:val="17"/>
                  <w:color w:val="0000EE"/>
                </w:rPr>
                <w:t>Amended and Restated Offer Letter by and between the Registrant and Celia Lin, M.D., dated May 7, 2021.</w:t>
              </w:r>
            </w:hyperlink>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10.15†*</w:t>
            </w:r>
          </w:p>
        </w:tc>
        <w:tc>
          <w:tcPr>
            <w:tcW w:w="460" w:type="dxa"/>
            <w:vAlign w:val="bottom"/>
          </w:tcPr>
          <w:p>
            <w:pPr>
              <w:spacing w:after="0"/>
              <w:rPr>
                <w:sz w:val="24"/>
                <w:szCs w:val="24"/>
                <w:color w:val="auto"/>
              </w:rPr>
            </w:pPr>
          </w:p>
        </w:tc>
        <w:tc>
          <w:tcPr>
            <w:tcW w:w="7840" w:type="dxa"/>
            <w:vAlign w:val="bottom"/>
            <w:tcBorders>
              <w:top w:val="single" w:sz="8" w:color="0000EE"/>
              <w:bottom w:val="single" w:sz="8" w:color="0000EE"/>
            </w:tcBorders>
            <w:gridSpan w:val="19"/>
          </w:tcPr>
          <w:p>
            <w:pPr>
              <w:spacing w:after="0"/>
              <w:rPr>
                <w:rFonts w:ascii="Arial" w:cs="Arial" w:eastAsia="Arial" w:hAnsi="Arial"/>
                <w:sz w:val="17"/>
                <w:szCs w:val="17"/>
                <w:color w:val="0000EE"/>
                <w:w w:val="99"/>
              </w:rPr>
            </w:pPr>
            <w:hyperlink r:id="rId367">
              <w:r>
                <w:rPr>
                  <w:rFonts w:ascii="Arial" w:cs="Arial" w:eastAsia="Arial" w:hAnsi="Arial"/>
                  <w:sz w:val="17"/>
                  <w:szCs w:val="17"/>
                  <w:color w:val="0000EE"/>
                  <w:w w:val="99"/>
                </w:rPr>
                <w:t>License Agreement by and between the Registrant and Ares Trading S.A., dated as of October 29, 2020.</w:t>
              </w:r>
            </w:hyperlink>
          </w:p>
        </w:tc>
        <w:tc>
          <w:tcPr>
            <w:tcW w:w="200" w:type="dxa"/>
            <w:vAlign w:val="bottom"/>
            <w:tcBorders>
              <w:top w:val="single" w:sz="8" w:color="0000EE"/>
            </w:tcBorders>
            <w:gridSpan w:val="3"/>
          </w:tcPr>
          <w:p>
            <w:pPr>
              <w:spacing w:after="0"/>
              <w:rPr>
                <w:sz w:val="24"/>
                <w:szCs w:val="24"/>
                <w:color w:val="auto"/>
              </w:rPr>
            </w:pPr>
          </w:p>
        </w:tc>
        <w:tc>
          <w:tcPr>
            <w:tcW w:w="1620" w:type="dxa"/>
            <w:vAlign w:val="bottom"/>
            <w:gridSpan w:val="8"/>
          </w:tcPr>
          <w:p>
            <w:pPr>
              <w:spacing w:after="0"/>
              <w:rPr>
                <w:sz w:val="24"/>
                <w:szCs w:val="24"/>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24"/>
                <w:szCs w:val="24"/>
                <w:color w:val="auto"/>
              </w:rPr>
            </w:pPr>
          </w:p>
        </w:tc>
        <w:tc>
          <w:tcPr>
            <w:tcW w:w="4320" w:type="dxa"/>
            <w:vAlign w:val="bottom"/>
            <w:tcBorders>
              <w:bottom w:val="single" w:sz="8" w:color="0000EE"/>
            </w:tcBorders>
            <w:gridSpan w:val="10"/>
          </w:tcPr>
          <w:p>
            <w:pPr>
              <w:spacing w:after="0"/>
              <w:rPr>
                <w:rFonts w:ascii="Arial" w:cs="Arial" w:eastAsia="Arial" w:hAnsi="Arial"/>
                <w:sz w:val="17"/>
                <w:szCs w:val="17"/>
                <w:color w:val="0000EE"/>
                <w:w w:val="98"/>
              </w:rPr>
            </w:pPr>
            <w:hyperlink w:anchor="page442">
              <w:r>
                <w:rPr>
                  <w:rFonts w:ascii="Arial" w:cs="Arial" w:eastAsia="Arial" w:hAnsi="Arial"/>
                  <w:sz w:val="17"/>
                  <w:szCs w:val="17"/>
                  <w:color w:val="0000EE"/>
                  <w:w w:val="98"/>
                </w:rPr>
                <w:t>Consent of independent registered public accounting firm.</w:t>
              </w:r>
            </w:hyperlink>
          </w:p>
        </w:tc>
        <w:tc>
          <w:tcPr>
            <w:tcW w:w="5340" w:type="dxa"/>
            <w:vAlign w:val="bottom"/>
            <w:gridSpan w:val="20"/>
          </w:tcPr>
          <w:p>
            <w:pPr>
              <w:spacing w:after="0"/>
              <w:rPr>
                <w:sz w:val="24"/>
                <w:szCs w:val="24"/>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24"/>
                <w:szCs w:val="24"/>
                <w:color w:val="auto"/>
              </w:rPr>
            </w:pPr>
          </w:p>
        </w:tc>
        <w:tc>
          <w:tcPr>
            <w:tcW w:w="9660" w:type="dxa"/>
            <w:vAlign w:val="bottom"/>
            <w:gridSpan w:val="30"/>
          </w:tcPr>
          <w:p>
            <w:pPr>
              <w:spacing w:after="0"/>
              <w:rPr>
                <w:rFonts w:ascii="Arial" w:cs="Arial" w:eastAsia="Arial" w:hAnsi="Arial"/>
                <w:sz w:val="17"/>
                <w:szCs w:val="17"/>
                <w:color w:val="0000EE"/>
              </w:rPr>
            </w:pPr>
            <w:hyperlink w:anchor="page333">
              <w:r>
                <w:rPr>
                  <w:rFonts w:ascii="Arial" w:cs="Arial" w:eastAsia="Arial" w:hAnsi="Arial"/>
                  <w:sz w:val="17"/>
                  <w:szCs w:val="17"/>
                  <w:color w:val="0000EE"/>
                </w:rPr>
                <w:t>Consent of Cooley LLP (included in Exhibit 5.1).</w:t>
              </w:r>
            </w:hyperlink>
          </w:p>
        </w:tc>
      </w:tr>
      <w:tr>
        <w:trPr>
          <w:trHeight w:val="288"/>
        </w:trPr>
        <w:tc>
          <w:tcPr>
            <w:tcW w:w="760" w:type="dxa"/>
            <w:vAlign w:val="bottom"/>
            <w:gridSpan w:val="2"/>
          </w:tcPr>
          <w:p>
            <w:pPr>
              <w:spacing w:after="0"/>
              <w:rPr>
                <w:sz w:val="20"/>
                <w:szCs w:val="20"/>
                <w:color w:val="auto"/>
              </w:rPr>
            </w:pPr>
            <w:r>
              <w:rPr>
                <w:rFonts w:ascii="Arial" w:cs="Arial" w:eastAsia="Arial" w:hAnsi="Arial"/>
                <w:sz w:val="18"/>
                <w:szCs w:val="18"/>
                <w:color w:val="auto"/>
              </w:rPr>
              <w:t>24.1†</w:t>
            </w:r>
          </w:p>
        </w:tc>
        <w:tc>
          <w:tcPr>
            <w:tcW w:w="460" w:type="dxa"/>
            <w:vAlign w:val="bottom"/>
          </w:tcPr>
          <w:p>
            <w:pPr>
              <w:spacing w:after="0"/>
              <w:rPr>
                <w:sz w:val="24"/>
                <w:szCs w:val="24"/>
                <w:color w:val="auto"/>
              </w:rPr>
            </w:pPr>
          </w:p>
        </w:tc>
        <w:tc>
          <w:tcPr>
            <w:tcW w:w="138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7"/>
              </w:rPr>
            </w:pPr>
            <w:hyperlink r:id="rId368">
              <w:r>
                <w:rPr>
                  <w:rFonts w:ascii="Arial" w:cs="Arial" w:eastAsia="Arial" w:hAnsi="Arial"/>
                  <w:sz w:val="17"/>
                  <w:szCs w:val="17"/>
                  <w:color w:val="0000EE"/>
                  <w:w w:val="97"/>
                </w:rPr>
                <w:t>Power of Attorney.</w:t>
              </w:r>
            </w:hyperlink>
          </w:p>
        </w:tc>
        <w:tc>
          <w:tcPr>
            <w:tcW w:w="2200" w:type="dxa"/>
            <w:vAlign w:val="bottom"/>
            <w:tcBorders>
              <w:top w:val="single" w:sz="8" w:color="0000EE"/>
            </w:tcBorders>
            <w:gridSpan w:val="5"/>
          </w:tcPr>
          <w:p>
            <w:pPr>
              <w:spacing w:after="0"/>
              <w:rPr>
                <w:sz w:val="24"/>
                <w:szCs w:val="24"/>
                <w:color w:val="auto"/>
              </w:rPr>
            </w:pPr>
          </w:p>
        </w:tc>
        <w:tc>
          <w:tcPr>
            <w:tcW w:w="6080" w:type="dxa"/>
            <w:vAlign w:val="bottom"/>
            <w:gridSpan w:val="22"/>
          </w:tcPr>
          <w:p>
            <w:pPr>
              <w:spacing w:after="0"/>
              <w:rPr>
                <w:sz w:val="24"/>
                <w:szCs w:val="24"/>
                <w:color w:val="auto"/>
              </w:rPr>
            </w:pPr>
          </w:p>
        </w:tc>
      </w:tr>
    </w:tbl>
    <w:p>
      <w:pPr>
        <w:spacing w:after="0" w:line="141" w:lineRule="exact"/>
        <w:rPr>
          <w:sz w:val="20"/>
          <w:szCs w:val="20"/>
          <w:color w:val="auto"/>
        </w:rPr>
      </w:pPr>
    </w:p>
    <w:p>
      <w:pPr>
        <w:ind w:left="600" w:hanging="433"/>
        <w:spacing w:after="0"/>
        <w:tabs>
          <w:tab w:leader="none" w:pos="6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040"/>
          </w:cols>
          <w:pgMar w:left="320" w:top="456" w:right="5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600" w:hanging="433"/>
        <w:spacing w:after="0"/>
        <w:tabs>
          <w:tab w:leader="none" w:pos="6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Pursuant to Item 601(b)(10) of Regulation S-K, certain portions of this exhibit (indicated by asterisks) have been omitted.</w:t>
      </w:r>
    </w:p>
    <w:p>
      <w:pPr>
        <w:spacing w:after="0" w:line="232" w:lineRule="exact"/>
        <w:rPr>
          <w:sz w:val="20"/>
          <w:szCs w:val="20"/>
          <w:color w:val="auto"/>
        </w:rPr>
      </w:pPr>
    </w:p>
    <w:p>
      <w:pPr>
        <w:ind w:left="600" w:hanging="433"/>
        <w:spacing w:after="0" w:line="239" w:lineRule="auto"/>
        <w:tabs>
          <w:tab w:leader="none" w:pos="6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Schedules have been omitted pursuant to Item 601(a)(5) of Regulation S-K. The registrant undertakes to furnish supplemental copies of any of the omitted schedules upon request by the SEC.</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 Financial Statement Schedules.</w:t>
      </w:r>
    </w:p>
    <w:p>
      <w:pPr>
        <w:spacing w:after="0" w:line="152" w:lineRule="exact"/>
        <w:rPr>
          <w:sz w:val="20"/>
          <w:szCs w:val="20"/>
          <w:color w:val="auto"/>
        </w:rPr>
      </w:pPr>
    </w:p>
    <w:p>
      <w:pPr>
        <w:ind w:left="160" w:right="100"/>
        <w:spacing w:after="0" w:line="239" w:lineRule="auto"/>
        <w:rPr>
          <w:sz w:val="20"/>
          <w:szCs w:val="20"/>
          <w:color w:val="auto"/>
        </w:rPr>
      </w:pPr>
      <w:r>
        <w:rPr>
          <w:rFonts w:ascii="Arial" w:cs="Arial" w:eastAsia="Arial" w:hAnsi="Arial"/>
          <w:sz w:val="17"/>
          <w:szCs w:val="17"/>
          <w:color w:val="auto"/>
        </w:rPr>
        <w:t>All financial statement schedules are omitted because the information required to be set forth therein is not applicable or is shown in the financial statements or the notes thereto.</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17. Undertakings.</w:t>
      </w:r>
    </w:p>
    <w:p>
      <w:pPr>
        <w:spacing w:after="0" w:line="91" w:lineRule="exact"/>
        <w:rPr>
          <w:sz w:val="20"/>
          <w:szCs w:val="20"/>
          <w:color w:val="auto"/>
        </w:rPr>
      </w:pPr>
    </w:p>
    <w:p>
      <w:pPr>
        <w:ind w:left="160" w:right="40" w:firstLine="7"/>
        <w:spacing w:after="0" w:line="239" w:lineRule="auto"/>
        <w:tabs>
          <w:tab w:leader="none" w:pos="41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5" w:lineRule="exact"/>
        <w:rPr>
          <w:rFonts w:ascii="Arial" w:cs="Arial" w:eastAsia="Arial" w:hAnsi="Arial"/>
          <w:sz w:val="17"/>
          <w:szCs w:val="17"/>
          <w:color w:val="auto"/>
        </w:rPr>
      </w:pPr>
    </w:p>
    <w:p>
      <w:pPr>
        <w:ind w:left="160" w:right="160" w:firstLine="7"/>
        <w:spacing w:after="0" w:line="232" w:lineRule="auto"/>
        <w:tabs>
          <w:tab w:leader="none" w:pos="41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6" w:lineRule="exact"/>
        <w:rPr>
          <w:rFonts w:ascii="Arial" w:cs="Arial" w:eastAsia="Arial" w:hAnsi="Arial"/>
          <w:sz w:val="17"/>
          <w:szCs w:val="17"/>
          <w:color w:val="auto"/>
        </w:rPr>
      </w:pPr>
    </w:p>
    <w:p>
      <w:pPr>
        <w:ind w:left="420" w:hanging="253"/>
        <w:spacing w:after="0"/>
        <w:tabs>
          <w:tab w:leader="none" w:pos="4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152" w:lineRule="exact"/>
        <w:rPr>
          <w:sz w:val="20"/>
          <w:szCs w:val="20"/>
          <w:color w:val="auto"/>
        </w:rPr>
      </w:pPr>
    </w:p>
    <w:p>
      <w:pPr>
        <w:ind w:left="160" w:right="100" w:firstLine="7"/>
        <w:spacing w:after="0" w:line="236" w:lineRule="auto"/>
        <w:tabs>
          <w:tab w:leader="none" w:pos="41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145" w:lineRule="exact"/>
        <w:rPr>
          <w:rFonts w:ascii="Arial" w:cs="Arial" w:eastAsia="Arial" w:hAnsi="Arial"/>
          <w:sz w:val="17"/>
          <w:szCs w:val="17"/>
          <w:color w:val="auto"/>
        </w:rPr>
      </w:pPr>
    </w:p>
    <w:p>
      <w:pPr>
        <w:jc w:val="both"/>
        <w:ind w:left="160" w:firstLine="7"/>
        <w:spacing w:after="0" w:line="236" w:lineRule="auto"/>
        <w:tabs>
          <w:tab w:leader="none" w:pos="41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as amended,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080"/>
          </w:cols>
          <w:pgMar w:left="320" w:top="456" w:right="4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left="160" w:right="240"/>
        <w:spacing w:after="0" w:line="239"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South San Francisco, State of California on May 10, 2021.</w:t>
      </w:r>
    </w:p>
    <w:p>
      <w:pPr>
        <w:spacing w:after="0" w:line="326" w:lineRule="exact"/>
        <w:rPr>
          <w:sz w:val="20"/>
          <w:szCs w:val="20"/>
          <w:color w:val="auto"/>
        </w:rPr>
      </w:pPr>
    </w:p>
    <w:p>
      <w:pPr>
        <w:ind w:left="6720"/>
        <w:spacing w:after="0"/>
        <w:rPr>
          <w:sz w:val="20"/>
          <w:szCs w:val="20"/>
          <w:color w:val="auto"/>
        </w:rPr>
      </w:pPr>
      <w:r>
        <w:rPr>
          <w:rFonts w:ascii="Arial" w:cs="Arial" w:eastAsia="Arial" w:hAnsi="Arial"/>
          <w:sz w:val="17"/>
          <w:szCs w:val="17"/>
          <w:b w:val="1"/>
          <w:bCs w:val="1"/>
          <w:color w:val="auto"/>
        </w:rPr>
        <w:t>VERA THERAPEUTICS, INC.</w:t>
      </w:r>
    </w:p>
    <w:p>
      <w:pPr>
        <w:spacing w:after="0" w:line="226"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By: /s/ Marshall Fordyce,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-635</wp:posOffset>
            </wp:positionV>
            <wp:extent cx="260731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1">
                      <a:extLst>
                        <a:ext uri="{28A0092B-C50C-407E-A947-70E740481C1C}"/>
                      </a:extLst>
                    </a:blip>
                    <a:srcRect/>
                    <a:stretch>
                      <a:fillRect/>
                    </a:stretch>
                  </pic:blipFill>
                  <pic:spPr bwMode="auto">
                    <a:xfrm>
                      <a:off x="0" y="0"/>
                      <a:ext cx="2607310" cy="8255"/>
                    </a:xfrm>
                    <a:prstGeom prst="rect">
                      <a:avLst/>
                    </a:prstGeom>
                    <a:noFill/>
                  </pic:spPr>
                </pic:pic>
              </a:graphicData>
            </a:graphic>
          </wp:anchor>
        </w:drawing>
      </w:r>
    </w:p>
    <w:p>
      <w:pPr>
        <w:ind w:left="6720"/>
        <w:spacing w:after="0" w:line="236" w:lineRule="auto"/>
        <w:rPr>
          <w:sz w:val="20"/>
          <w:szCs w:val="20"/>
          <w:color w:val="auto"/>
        </w:rPr>
      </w:pPr>
      <w:r>
        <w:rPr>
          <w:rFonts w:ascii="Arial" w:cs="Arial" w:eastAsia="Arial" w:hAnsi="Arial"/>
          <w:sz w:val="17"/>
          <w:szCs w:val="17"/>
          <w:color w:val="auto"/>
        </w:rPr>
        <w:t>Name:  Marshall Fordyce, M.D.</w:t>
      </w:r>
    </w:p>
    <w:p>
      <w:pPr>
        <w:ind w:left="6720"/>
        <w:spacing w:after="0"/>
        <w:tabs>
          <w:tab w:leader="none" w:pos="7320" w:val="left"/>
        </w:tabs>
        <w:rPr>
          <w:sz w:val="20"/>
          <w:szCs w:val="20"/>
          <w:color w:val="auto"/>
        </w:rPr>
      </w:pPr>
      <w:r>
        <w:rPr>
          <w:rFonts w:ascii="Arial" w:cs="Arial" w:eastAsia="Arial" w:hAnsi="Arial"/>
          <w:sz w:val="17"/>
          <w:szCs w:val="17"/>
          <w:color w:val="auto"/>
        </w:rPr>
        <w:t>Title:</w:t>
        <w:tab/>
        <w:t>Chief Executive Officer</w:t>
      </w:r>
    </w:p>
    <w:p>
      <w:pPr>
        <w:spacing w:after="0" w:line="152" w:lineRule="exact"/>
        <w:rPr>
          <w:sz w:val="20"/>
          <w:szCs w:val="20"/>
          <w:color w:val="auto"/>
        </w:rPr>
      </w:pPr>
    </w:p>
    <w:p>
      <w:pPr>
        <w:ind w:left="160" w:right="180"/>
        <w:spacing w:after="0" w:line="239"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458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SIGNATURE</w:t>
            </w:r>
          </w:p>
        </w:tc>
        <w:tc>
          <w:tcPr>
            <w:tcW w:w="140" w:type="dxa"/>
            <w:vAlign w:val="bottom"/>
          </w:tcPr>
          <w:p>
            <w:pPr>
              <w:spacing w:after="0"/>
              <w:rPr>
                <w:sz w:val="16"/>
                <w:szCs w:val="16"/>
                <w:color w:val="auto"/>
              </w:rPr>
            </w:pPr>
          </w:p>
        </w:tc>
        <w:tc>
          <w:tcPr>
            <w:tcW w:w="424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268"/>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Marshall Fordyce, M.D.</w:t>
            </w:r>
          </w:p>
        </w:tc>
        <w:tc>
          <w:tcPr>
            <w:tcW w:w="4500" w:type="dxa"/>
            <w:vAlign w:val="bottom"/>
            <w:gridSpan w:val="3"/>
          </w:tcPr>
          <w:p>
            <w:pPr>
              <w:ind w:left="140"/>
              <w:spacing w:after="0"/>
              <w:rPr>
                <w:sz w:val="20"/>
                <w:szCs w:val="20"/>
                <w:color w:val="auto"/>
              </w:rPr>
            </w:pPr>
            <w:r>
              <w:rPr>
                <w:rFonts w:ascii="Arial" w:cs="Arial" w:eastAsia="Arial" w:hAnsi="Arial"/>
                <w:sz w:val="17"/>
                <w:szCs w:val="17"/>
                <w:color w:val="auto"/>
              </w:rPr>
              <w:t>President, Chief Executive Officer and Director</w:t>
            </w:r>
          </w:p>
        </w:tc>
        <w:tc>
          <w:tcPr>
            <w:tcW w:w="1840" w:type="dxa"/>
            <w:vAlign w:val="bottom"/>
          </w:tcPr>
          <w:p>
            <w:pPr>
              <w:jc w:val="center"/>
              <w:spacing w:after="0"/>
              <w:rPr>
                <w:sz w:val="20"/>
                <w:szCs w:val="20"/>
                <w:color w:val="auto"/>
              </w:rPr>
            </w:pPr>
            <w:r>
              <w:rPr>
                <w:rFonts w:ascii="Arial" w:cs="Arial" w:eastAsia="Arial" w:hAnsi="Arial"/>
                <w:sz w:val="17"/>
                <w:szCs w:val="17"/>
                <w:color w:val="auto"/>
              </w:rPr>
              <w:t>May 10, 2021</w:t>
            </w:r>
          </w:p>
        </w:tc>
      </w:tr>
      <w:tr>
        <w:trPr>
          <w:trHeight w:val="203"/>
        </w:trPr>
        <w:tc>
          <w:tcPr>
            <w:tcW w:w="4580" w:type="dxa"/>
            <w:vAlign w:val="bottom"/>
          </w:tcPr>
          <w:p>
            <w:pPr>
              <w:spacing w:after="0"/>
              <w:rPr>
                <w:sz w:val="20"/>
                <w:szCs w:val="20"/>
                <w:color w:val="auto"/>
              </w:rPr>
            </w:pPr>
            <w:r>
              <w:rPr>
                <w:rFonts w:ascii="Arial" w:cs="Arial" w:eastAsia="Arial" w:hAnsi="Arial"/>
                <w:sz w:val="17"/>
                <w:szCs w:val="17"/>
                <w:color w:val="auto"/>
              </w:rPr>
              <w:t>Marshall Fordyce, M.D.</w:t>
            </w:r>
          </w:p>
        </w:tc>
        <w:tc>
          <w:tcPr>
            <w:tcW w:w="4500" w:type="dxa"/>
            <w:vAlign w:val="bottom"/>
            <w:gridSpan w:val="3"/>
          </w:tcPr>
          <w:p>
            <w:pPr>
              <w:ind w:left="140"/>
              <w:spacing w:after="0" w:line="183" w:lineRule="exact"/>
              <w:rPr>
                <w:sz w:val="20"/>
                <w:szCs w:val="20"/>
                <w:color w:val="auto"/>
              </w:rPr>
            </w:pPr>
            <w:r>
              <w:rPr>
                <w:rFonts w:ascii="Arial" w:cs="Arial" w:eastAsia="Arial" w:hAnsi="Arial"/>
                <w:sz w:val="17"/>
                <w:szCs w:val="17"/>
                <w:color w:val="auto"/>
              </w:rPr>
              <w:t>(Principal Executive Officer)</w:t>
            </w:r>
          </w:p>
        </w:tc>
        <w:tc>
          <w:tcPr>
            <w:tcW w:w="1840" w:type="dxa"/>
            <w:vAlign w:val="bottom"/>
          </w:tcPr>
          <w:p>
            <w:pPr>
              <w:spacing w:after="0"/>
              <w:rPr>
                <w:sz w:val="17"/>
                <w:szCs w:val="17"/>
                <w:color w:val="auto"/>
              </w:rPr>
            </w:pPr>
          </w:p>
        </w:tc>
      </w:tr>
      <w:tr>
        <w:trPr>
          <w:trHeight w:val="285"/>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Jonathan Wolter</w:t>
            </w:r>
          </w:p>
        </w:tc>
        <w:tc>
          <w:tcPr>
            <w:tcW w:w="4500" w:type="dxa"/>
            <w:vAlign w:val="bottom"/>
            <w:gridSpan w:val="3"/>
          </w:tcPr>
          <w:p>
            <w:pPr>
              <w:ind w:left="140"/>
              <w:spacing w:after="0"/>
              <w:rPr>
                <w:sz w:val="20"/>
                <w:szCs w:val="20"/>
                <w:color w:val="auto"/>
              </w:rPr>
            </w:pPr>
            <w:r>
              <w:rPr>
                <w:rFonts w:ascii="Arial" w:cs="Arial" w:eastAsia="Arial" w:hAnsi="Arial"/>
                <w:sz w:val="17"/>
                <w:szCs w:val="17"/>
                <w:color w:val="auto"/>
              </w:rPr>
              <w:t>Chief Financial Officer</w:t>
            </w:r>
          </w:p>
        </w:tc>
        <w:tc>
          <w:tcPr>
            <w:tcW w:w="1840" w:type="dxa"/>
            <w:vAlign w:val="bottom"/>
          </w:tcPr>
          <w:p>
            <w:pPr>
              <w:jc w:val="center"/>
              <w:spacing w:after="0"/>
              <w:rPr>
                <w:sz w:val="20"/>
                <w:szCs w:val="20"/>
                <w:color w:val="auto"/>
              </w:rPr>
            </w:pPr>
            <w:r>
              <w:rPr>
                <w:rFonts w:ascii="Arial" w:cs="Arial" w:eastAsia="Arial" w:hAnsi="Arial"/>
                <w:sz w:val="17"/>
                <w:szCs w:val="17"/>
                <w:color w:val="auto"/>
              </w:rPr>
              <w:t>May 10, 2021</w:t>
            </w:r>
          </w:p>
        </w:tc>
      </w:tr>
      <w:tr>
        <w:trPr>
          <w:trHeight w:val="203"/>
        </w:trPr>
        <w:tc>
          <w:tcPr>
            <w:tcW w:w="4580" w:type="dxa"/>
            <w:vAlign w:val="bottom"/>
          </w:tcPr>
          <w:p>
            <w:pPr>
              <w:spacing w:after="0"/>
              <w:rPr>
                <w:sz w:val="20"/>
                <w:szCs w:val="20"/>
                <w:color w:val="auto"/>
              </w:rPr>
            </w:pPr>
            <w:r>
              <w:rPr>
                <w:rFonts w:ascii="Arial" w:cs="Arial" w:eastAsia="Arial" w:hAnsi="Arial"/>
                <w:sz w:val="17"/>
                <w:szCs w:val="17"/>
                <w:color w:val="auto"/>
              </w:rPr>
              <w:t>Jonathan Wolter</w:t>
            </w:r>
          </w:p>
        </w:tc>
        <w:tc>
          <w:tcPr>
            <w:tcW w:w="4500" w:type="dxa"/>
            <w:vAlign w:val="bottom"/>
            <w:gridSpan w:val="3"/>
          </w:tcPr>
          <w:p>
            <w:pPr>
              <w:ind w:left="140"/>
              <w:spacing w:after="0" w:line="183" w:lineRule="exact"/>
              <w:rPr>
                <w:sz w:val="20"/>
                <w:szCs w:val="20"/>
                <w:color w:val="auto"/>
              </w:rPr>
            </w:pPr>
            <w:r>
              <w:rPr>
                <w:rFonts w:ascii="Arial" w:cs="Arial" w:eastAsia="Arial" w:hAnsi="Arial"/>
                <w:sz w:val="17"/>
                <w:szCs w:val="17"/>
                <w:color w:val="auto"/>
              </w:rPr>
              <w:t>(Principal Financial Officer)</w:t>
            </w:r>
          </w:p>
        </w:tc>
        <w:tc>
          <w:tcPr>
            <w:tcW w:w="1840" w:type="dxa"/>
            <w:vAlign w:val="bottom"/>
          </w:tcPr>
          <w:p>
            <w:pPr>
              <w:spacing w:after="0"/>
              <w:rPr>
                <w:sz w:val="17"/>
                <w:szCs w:val="17"/>
                <w:color w:val="auto"/>
              </w:rPr>
            </w:pPr>
          </w:p>
        </w:tc>
      </w:tr>
      <w:tr>
        <w:trPr>
          <w:trHeight w:val="285"/>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Joseph Young</w:t>
            </w:r>
          </w:p>
        </w:tc>
        <w:tc>
          <w:tcPr>
            <w:tcW w:w="4500" w:type="dxa"/>
            <w:vAlign w:val="bottom"/>
            <w:gridSpan w:val="3"/>
          </w:tcPr>
          <w:p>
            <w:pPr>
              <w:ind w:left="140"/>
              <w:spacing w:after="0"/>
              <w:rPr>
                <w:sz w:val="20"/>
                <w:szCs w:val="20"/>
                <w:color w:val="auto"/>
              </w:rPr>
            </w:pPr>
            <w:r>
              <w:rPr>
                <w:rFonts w:ascii="Arial" w:cs="Arial" w:eastAsia="Arial" w:hAnsi="Arial"/>
                <w:sz w:val="17"/>
                <w:szCs w:val="17"/>
                <w:color w:val="auto"/>
              </w:rPr>
              <w:t>Senior Vice President, Finance and Chief Accounting</w:t>
            </w:r>
          </w:p>
        </w:tc>
        <w:tc>
          <w:tcPr>
            <w:tcW w:w="1840" w:type="dxa"/>
            <w:vAlign w:val="bottom"/>
          </w:tcPr>
          <w:p>
            <w:pPr>
              <w:jc w:val="center"/>
              <w:spacing w:after="0"/>
              <w:rPr>
                <w:sz w:val="20"/>
                <w:szCs w:val="20"/>
                <w:color w:val="auto"/>
              </w:rPr>
            </w:pPr>
            <w:r>
              <w:rPr>
                <w:rFonts w:ascii="Arial" w:cs="Arial" w:eastAsia="Arial" w:hAnsi="Arial"/>
                <w:sz w:val="17"/>
                <w:szCs w:val="17"/>
                <w:color w:val="auto"/>
              </w:rPr>
              <w:t>May 10, 2021</w:t>
            </w:r>
          </w:p>
        </w:tc>
      </w:tr>
      <w:tr>
        <w:trPr>
          <w:trHeight w:val="167"/>
        </w:trPr>
        <w:tc>
          <w:tcPr>
            <w:tcW w:w="4580" w:type="dxa"/>
            <w:vAlign w:val="bottom"/>
          </w:tcPr>
          <w:p>
            <w:pPr>
              <w:spacing w:after="0" w:line="167" w:lineRule="exact"/>
              <w:rPr>
                <w:sz w:val="20"/>
                <w:szCs w:val="20"/>
                <w:color w:val="auto"/>
              </w:rPr>
            </w:pPr>
            <w:r>
              <w:rPr>
                <w:rFonts w:ascii="Arial" w:cs="Arial" w:eastAsia="Arial" w:hAnsi="Arial"/>
                <w:sz w:val="17"/>
                <w:szCs w:val="17"/>
                <w:color w:val="auto"/>
              </w:rPr>
              <w:t>Joseph Young</w:t>
            </w:r>
          </w:p>
        </w:tc>
        <w:tc>
          <w:tcPr>
            <w:tcW w:w="140" w:type="dxa"/>
            <w:vAlign w:val="bottom"/>
          </w:tcPr>
          <w:p>
            <w:pPr>
              <w:spacing w:after="0"/>
              <w:rPr>
                <w:sz w:val="14"/>
                <w:szCs w:val="14"/>
                <w:color w:val="auto"/>
              </w:rPr>
            </w:pPr>
          </w:p>
        </w:tc>
        <w:tc>
          <w:tcPr>
            <w:tcW w:w="4360" w:type="dxa"/>
            <w:vAlign w:val="bottom"/>
            <w:gridSpan w:val="2"/>
          </w:tcPr>
          <w:p>
            <w:pPr>
              <w:ind w:left="160"/>
              <w:spacing w:after="0" w:line="167" w:lineRule="exact"/>
              <w:rPr>
                <w:sz w:val="20"/>
                <w:szCs w:val="20"/>
                <w:color w:val="auto"/>
              </w:rPr>
            </w:pPr>
            <w:r>
              <w:rPr>
                <w:rFonts w:ascii="Arial" w:cs="Arial" w:eastAsia="Arial" w:hAnsi="Arial"/>
                <w:sz w:val="17"/>
                <w:szCs w:val="17"/>
                <w:color w:val="auto"/>
              </w:rPr>
              <w:t>Officer</w:t>
            </w:r>
          </w:p>
        </w:tc>
        <w:tc>
          <w:tcPr>
            <w:tcW w:w="1840" w:type="dxa"/>
            <w:vAlign w:val="bottom"/>
          </w:tcPr>
          <w:p>
            <w:pPr>
              <w:spacing w:after="0"/>
              <w:rPr>
                <w:sz w:val="14"/>
                <w:szCs w:val="14"/>
                <w:color w:val="auto"/>
              </w:rPr>
            </w:pPr>
          </w:p>
        </w:tc>
      </w:tr>
      <w:tr>
        <w:trPr>
          <w:trHeight w:val="203"/>
        </w:trPr>
        <w:tc>
          <w:tcPr>
            <w:tcW w:w="4580" w:type="dxa"/>
            <w:vAlign w:val="bottom"/>
          </w:tcPr>
          <w:p>
            <w:pPr>
              <w:spacing w:after="0"/>
              <w:rPr>
                <w:sz w:val="17"/>
                <w:szCs w:val="17"/>
                <w:color w:val="auto"/>
              </w:rPr>
            </w:pPr>
          </w:p>
        </w:tc>
        <w:tc>
          <w:tcPr>
            <w:tcW w:w="4500" w:type="dxa"/>
            <w:vAlign w:val="bottom"/>
            <w:gridSpan w:val="3"/>
          </w:tcPr>
          <w:p>
            <w:pPr>
              <w:ind w:left="140"/>
              <w:spacing w:after="0"/>
              <w:rPr>
                <w:sz w:val="20"/>
                <w:szCs w:val="20"/>
                <w:color w:val="auto"/>
              </w:rPr>
            </w:pPr>
            <w:r>
              <w:rPr>
                <w:rFonts w:ascii="Arial" w:cs="Arial" w:eastAsia="Arial" w:hAnsi="Arial"/>
                <w:sz w:val="17"/>
                <w:szCs w:val="17"/>
                <w:color w:val="auto"/>
              </w:rPr>
              <w:t>(Principal Accounting Officer)</w:t>
            </w:r>
          </w:p>
        </w:tc>
        <w:tc>
          <w:tcPr>
            <w:tcW w:w="1840" w:type="dxa"/>
            <w:vAlign w:val="bottom"/>
          </w:tcPr>
          <w:p>
            <w:pPr>
              <w:spacing w:after="0"/>
              <w:rPr>
                <w:sz w:val="17"/>
                <w:szCs w:val="17"/>
                <w:color w:val="auto"/>
              </w:rPr>
            </w:pPr>
          </w:p>
        </w:tc>
      </w:tr>
      <w:tr>
        <w:trPr>
          <w:trHeight w:val="298"/>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4500" w:type="dxa"/>
            <w:vAlign w:val="bottom"/>
            <w:gridSpan w:val="3"/>
          </w:tcPr>
          <w:p>
            <w:pPr>
              <w:ind w:left="140"/>
              <w:spacing w:after="0"/>
              <w:rPr>
                <w:sz w:val="20"/>
                <w:szCs w:val="20"/>
                <w:color w:val="auto"/>
              </w:rPr>
            </w:pPr>
            <w:r>
              <w:rPr>
                <w:rFonts w:ascii="Arial" w:cs="Arial" w:eastAsia="Arial" w:hAnsi="Arial"/>
                <w:sz w:val="17"/>
                <w:szCs w:val="17"/>
                <w:color w:val="auto"/>
              </w:rPr>
              <w:t>Chairperson of the Board</w:t>
            </w:r>
          </w:p>
        </w:tc>
        <w:tc>
          <w:tcPr>
            <w:tcW w:w="1840" w:type="dxa"/>
            <w:vAlign w:val="bottom"/>
          </w:tcPr>
          <w:p>
            <w:pPr>
              <w:jc w:val="center"/>
              <w:spacing w:after="0"/>
              <w:rPr>
                <w:sz w:val="20"/>
                <w:szCs w:val="20"/>
                <w:color w:val="auto"/>
              </w:rPr>
            </w:pPr>
            <w:r>
              <w:rPr>
                <w:rFonts w:ascii="Arial" w:cs="Arial" w:eastAsia="Arial" w:hAnsi="Arial"/>
                <w:sz w:val="17"/>
                <w:szCs w:val="17"/>
                <w:color w:val="auto"/>
              </w:rPr>
              <w:t>May 10, 2021</w:t>
            </w:r>
          </w:p>
        </w:tc>
      </w:tr>
      <w:tr>
        <w:trPr>
          <w:trHeight w:val="197"/>
        </w:trPr>
        <w:tc>
          <w:tcPr>
            <w:tcW w:w="4580" w:type="dxa"/>
            <w:vAlign w:val="bottom"/>
          </w:tcPr>
          <w:p>
            <w:pPr>
              <w:spacing w:after="0"/>
              <w:rPr>
                <w:sz w:val="20"/>
                <w:szCs w:val="20"/>
                <w:color w:val="auto"/>
              </w:rPr>
            </w:pPr>
            <w:r>
              <w:rPr>
                <w:rFonts w:ascii="Arial" w:cs="Arial" w:eastAsia="Arial" w:hAnsi="Arial"/>
                <w:sz w:val="17"/>
                <w:szCs w:val="17"/>
                <w:color w:val="auto"/>
              </w:rPr>
              <w:t>Kurt von Emster, C.F.A.</w:t>
            </w:r>
          </w:p>
        </w:tc>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92"/>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450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1840" w:type="dxa"/>
            <w:vAlign w:val="bottom"/>
          </w:tcPr>
          <w:p>
            <w:pPr>
              <w:jc w:val="center"/>
              <w:spacing w:after="0"/>
              <w:rPr>
                <w:sz w:val="20"/>
                <w:szCs w:val="20"/>
                <w:color w:val="auto"/>
              </w:rPr>
            </w:pPr>
            <w:r>
              <w:rPr>
                <w:rFonts w:ascii="Arial" w:cs="Arial" w:eastAsia="Arial" w:hAnsi="Arial"/>
                <w:sz w:val="17"/>
                <w:szCs w:val="17"/>
                <w:color w:val="auto"/>
              </w:rPr>
              <w:t>May 10, 2021</w:t>
            </w:r>
          </w:p>
        </w:tc>
      </w:tr>
      <w:tr>
        <w:trPr>
          <w:trHeight w:val="197"/>
        </w:trPr>
        <w:tc>
          <w:tcPr>
            <w:tcW w:w="4580" w:type="dxa"/>
            <w:vAlign w:val="bottom"/>
          </w:tcPr>
          <w:p>
            <w:pPr>
              <w:spacing w:after="0"/>
              <w:rPr>
                <w:sz w:val="20"/>
                <w:szCs w:val="20"/>
                <w:color w:val="auto"/>
              </w:rPr>
            </w:pPr>
            <w:r>
              <w:rPr>
                <w:rFonts w:ascii="Arial" w:cs="Arial" w:eastAsia="Arial" w:hAnsi="Arial"/>
                <w:sz w:val="17"/>
                <w:szCs w:val="17"/>
                <w:color w:val="auto"/>
              </w:rPr>
              <w:t>Andrew Cheng, M.D., Ph.D.</w:t>
            </w:r>
          </w:p>
        </w:tc>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92"/>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450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1840" w:type="dxa"/>
            <w:vAlign w:val="bottom"/>
          </w:tcPr>
          <w:p>
            <w:pPr>
              <w:jc w:val="center"/>
              <w:spacing w:after="0"/>
              <w:rPr>
                <w:sz w:val="20"/>
                <w:szCs w:val="20"/>
                <w:color w:val="auto"/>
              </w:rPr>
            </w:pPr>
            <w:r>
              <w:rPr>
                <w:rFonts w:ascii="Arial" w:cs="Arial" w:eastAsia="Arial" w:hAnsi="Arial"/>
                <w:sz w:val="17"/>
                <w:szCs w:val="17"/>
                <w:color w:val="auto"/>
              </w:rPr>
              <w:t>May 10, 2021</w:t>
            </w:r>
          </w:p>
        </w:tc>
      </w:tr>
      <w:tr>
        <w:trPr>
          <w:trHeight w:val="197"/>
        </w:trPr>
        <w:tc>
          <w:tcPr>
            <w:tcW w:w="4580" w:type="dxa"/>
            <w:vAlign w:val="bottom"/>
          </w:tcPr>
          <w:p>
            <w:pPr>
              <w:spacing w:after="0"/>
              <w:rPr>
                <w:sz w:val="20"/>
                <w:szCs w:val="20"/>
                <w:color w:val="auto"/>
              </w:rPr>
            </w:pPr>
            <w:r>
              <w:rPr>
                <w:rFonts w:ascii="Arial" w:cs="Arial" w:eastAsia="Arial" w:hAnsi="Arial"/>
                <w:sz w:val="17"/>
                <w:szCs w:val="17"/>
                <w:color w:val="auto"/>
              </w:rPr>
              <w:t>Beth Seidenberg, M.D.</w:t>
            </w:r>
          </w:p>
        </w:tc>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92"/>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450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1840" w:type="dxa"/>
            <w:vAlign w:val="bottom"/>
          </w:tcPr>
          <w:p>
            <w:pPr>
              <w:jc w:val="center"/>
              <w:spacing w:after="0"/>
              <w:rPr>
                <w:sz w:val="20"/>
                <w:szCs w:val="20"/>
                <w:color w:val="auto"/>
              </w:rPr>
            </w:pPr>
            <w:r>
              <w:rPr>
                <w:rFonts w:ascii="Arial" w:cs="Arial" w:eastAsia="Arial" w:hAnsi="Arial"/>
                <w:sz w:val="17"/>
                <w:szCs w:val="17"/>
                <w:color w:val="auto"/>
              </w:rPr>
              <w:t>May 10, 2021</w:t>
            </w:r>
          </w:p>
        </w:tc>
      </w:tr>
      <w:tr>
        <w:trPr>
          <w:trHeight w:val="197"/>
        </w:trPr>
        <w:tc>
          <w:tcPr>
            <w:tcW w:w="4580" w:type="dxa"/>
            <w:vAlign w:val="bottom"/>
          </w:tcPr>
          <w:p>
            <w:pPr>
              <w:spacing w:after="0"/>
              <w:rPr>
                <w:sz w:val="20"/>
                <w:szCs w:val="20"/>
                <w:color w:val="auto"/>
              </w:rPr>
            </w:pPr>
            <w:r>
              <w:rPr>
                <w:rFonts w:ascii="Arial" w:cs="Arial" w:eastAsia="Arial" w:hAnsi="Arial"/>
                <w:sz w:val="17"/>
                <w:szCs w:val="17"/>
                <w:color w:val="auto"/>
              </w:rPr>
              <w:t>Maha Katabi, Ph.D.</w:t>
            </w:r>
          </w:p>
        </w:tc>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92"/>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450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1840" w:type="dxa"/>
            <w:vAlign w:val="bottom"/>
          </w:tcPr>
          <w:p>
            <w:pPr>
              <w:jc w:val="center"/>
              <w:spacing w:after="0"/>
              <w:rPr>
                <w:sz w:val="20"/>
                <w:szCs w:val="20"/>
                <w:color w:val="auto"/>
              </w:rPr>
            </w:pPr>
            <w:r>
              <w:rPr>
                <w:rFonts w:ascii="Arial" w:cs="Arial" w:eastAsia="Arial" w:hAnsi="Arial"/>
                <w:sz w:val="17"/>
                <w:szCs w:val="17"/>
                <w:color w:val="auto"/>
              </w:rPr>
              <w:t>May 10, 2021</w:t>
            </w:r>
          </w:p>
        </w:tc>
      </w:tr>
      <w:tr>
        <w:trPr>
          <w:trHeight w:val="197"/>
        </w:trPr>
        <w:tc>
          <w:tcPr>
            <w:tcW w:w="4580" w:type="dxa"/>
            <w:vAlign w:val="bottom"/>
          </w:tcPr>
          <w:p>
            <w:pPr>
              <w:spacing w:after="0"/>
              <w:rPr>
                <w:sz w:val="20"/>
                <w:szCs w:val="20"/>
                <w:color w:val="auto"/>
              </w:rPr>
            </w:pPr>
            <w:r>
              <w:rPr>
                <w:rFonts w:ascii="Arial" w:cs="Arial" w:eastAsia="Arial" w:hAnsi="Arial"/>
                <w:sz w:val="17"/>
                <w:szCs w:val="17"/>
                <w:color w:val="auto"/>
              </w:rPr>
              <w:t>Patrick Enright</w:t>
            </w:r>
          </w:p>
        </w:tc>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92"/>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450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1840" w:type="dxa"/>
            <w:vAlign w:val="bottom"/>
          </w:tcPr>
          <w:p>
            <w:pPr>
              <w:jc w:val="center"/>
              <w:spacing w:after="0"/>
              <w:rPr>
                <w:sz w:val="20"/>
                <w:szCs w:val="20"/>
                <w:color w:val="auto"/>
              </w:rPr>
            </w:pPr>
            <w:r>
              <w:rPr>
                <w:rFonts w:ascii="Arial" w:cs="Arial" w:eastAsia="Arial" w:hAnsi="Arial"/>
                <w:sz w:val="17"/>
                <w:szCs w:val="17"/>
                <w:color w:val="auto"/>
              </w:rPr>
              <w:t>May 10, 2021</w:t>
            </w:r>
          </w:p>
        </w:tc>
      </w:tr>
      <w:tr>
        <w:trPr>
          <w:trHeight w:val="197"/>
        </w:trPr>
        <w:tc>
          <w:tcPr>
            <w:tcW w:w="4580" w:type="dxa"/>
            <w:vAlign w:val="bottom"/>
          </w:tcPr>
          <w:p>
            <w:pPr>
              <w:spacing w:after="0"/>
              <w:rPr>
                <w:sz w:val="20"/>
                <w:szCs w:val="20"/>
                <w:color w:val="auto"/>
              </w:rPr>
            </w:pPr>
            <w:r>
              <w:rPr>
                <w:rFonts w:ascii="Arial" w:cs="Arial" w:eastAsia="Arial" w:hAnsi="Arial"/>
                <w:sz w:val="17"/>
                <w:szCs w:val="17"/>
                <w:color w:val="auto"/>
              </w:rPr>
              <w:t>Scott Morrison</w:t>
            </w:r>
          </w:p>
        </w:tc>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23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*By: /s/ Marshall Fordyce,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-635</wp:posOffset>
            </wp:positionV>
            <wp:extent cx="27686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1480"/>
        <w:spacing w:after="0" w:line="236" w:lineRule="auto"/>
        <w:rPr>
          <w:sz w:val="20"/>
          <w:szCs w:val="20"/>
          <w:color w:val="auto"/>
        </w:rPr>
      </w:pPr>
      <w:r>
        <w:rPr>
          <w:rFonts w:ascii="Arial" w:cs="Arial" w:eastAsia="Arial" w:hAnsi="Arial"/>
          <w:sz w:val="17"/>
          <w:szCs w:val="17"/>
          <w:color w:val="auto"/>
        </w:rPr>
        <w:t>Marshall Fordyce, M.D.</w:t>
      </w:r>
    </w:p>
    <w:p>
      <w:pPr>
        <w:ind w:left="1740"/>
        <w:spacing w:after="0"/>
        <w:rPr>
          <w:sz w:val="20"/>
          <w:szCs w:val="20"/>
          <w:color w:val="auto"/>
        </w:rPr>
      </w:pPr>
      <w:r>
        <w:rPr>
          <w:rFonts w:ascii="Arial" w:cs="Arial" w:eastAsia="Arial" w:hAnsi="Arial"/>
          <w:sz w:val="17"/>
          <w:szCs w:val="17"/>
          <w:color w:val="auto"/>
        </w:rPr>
        <w:t>Attorney-in-Fact</w:t>
      </w:r>
    </w:p>
    <w:p>
      <w:pPr>
        <w:spacing w:after="0" w:line="16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080"/>
          </w:cols>
          <w:pgMar w:left="320" w:top="456" w:right="49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35" w:lineRule="exact"/>
        <w:rPr>
          <w:sz w:val="20"/>
          <w:szCs w:val="20"/>
          <w:color w:val="auto"/>
        </w:rPr>
      </w:pPr>
    </w:p>
    <w:p>
      <w:pPr>
        <w:ind w:left="5540" w:hanging="770"/>
        <w:spacing w:after="0"/>
        <w:tabs>
          <w:tab w:leader="none" w:pos="55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Shares</w:t>
      </w:r>
    </w:p>
    <w:p>
      <w:pPr>
        <w:spacing w:after="0" w:line="23" w:lineRule="exact"/>
        <w:rPr>
          <w:rFonts w:ascii="Arial" w:cs="Arial" w:eastAsia="Arial" w:hAnsi="Arial"/>
          <w:sz w:val="18"/>
          <w:szCs w:val="18"/>
          <w:b w:val="1"/>
          <w:bCs w:val="1"/>
          <w:color w:val="auto"/>
        </w:rPr>
      </w:pPr>
    </w:p>
    <w:p>
      <w:pPr>
        <w:ind w:left="4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Vera Therapeutics,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08" w:lineRule="exact"/>
        <w:rPr>
          <w:sz w:val="20"/>
          <w:szCs w:val="20"/>
          <w:color w:val="auto"/>
        </w:rPr>
      </w:pPr>
    </w:p>
    <w:tbl>
      <w:tblPr>
        <w:tblLayout w:type="fixed"/>
        <w:tblInd w:w="9600" w:type="dxa"/>
        <w:tblCellMar>
          <w:top w:w="0" w:type="dxa"/>
          <w:left w:w="0" w:type="dxa"/>
          <w:bottom w:w="0" w:type="dxa"/>
          <w:right w:w="0" w:type="dxa"/>
        </w:tblCellMar>
      </w:tblPr>
      <w:tr>
        <w:trPr>
          <w:trHeight w:val="227"/>
        </w:trPr>
        <w:tc>
          <w:tcPr>
            <w:tcW w:w="440" w:type="dxa"/>
            <w:vAlign w:val="bottom"/>
          </w:tcPr>
          <w:p>
            <w:pPr>
              <w:jc w:val="right"/>
              <w:ind w:right="291"/>
              <w:spacing w:after="0"/>
              <w:rPr>
                <w:sz w:val="20"/>
                <w:szCs w:val="20"/>
                <w:color w:val="auto"/>
              </w:rPr>
            </w:pPr>
            <w:r>
              <w:rPr>
                <w:rFonts w:ascii="Arial" w:cs="Arial" w:eastAsia="Arial" w:hAnsi="Arial"/>
                <w:sz w:val="18"/>
                <w:szCs w:val="18"/>
                <w:color w:val="auto"/>
                <w:w w:val="78"/>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EVERCORE GROUP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 EVERCORE GROUP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55 East 52nd Street, Ste 35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10055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0" w:lineRule="exact"/>
        <w:rPr>
          <w:sz w:val="20"/>
          <w:szCs w:val="20"/>
          <w:color w:val="auto"/>
        </w:rPr>
      </w:pPr>
    </w:p>
    <w:p>
      <w:pPr>
        <w:ind w:right="60" w:firstLine="436"/>
        <w:spacing w:after="0" w:line="268" w:lineRule="auto"/>
        <w:rPr>
          <w:sz w:val="20"/>
          <w:szCs w:val="20"/>
          <w:color w:val="auto"/>
        </w:rPr>
      </w:pPr>
      <w:r>
        <w:rPr>
          <w:rFonts w:ascii="Arial" w:cs="Arial" w:eastAsia="Arial" w:hAnsi="Arial"/>
          <w:sz w:val="17"/>
          <w:szCs w:val="17"/>
          <w:b w:val="1"/>
          <w:bCs w:val="1"/>
          <w:color w:val="auto"/>
        </w:rPr>
        <w:t xml:space="preserve">Introductory. </w:t>
      </w:r>
      <w:r>
        <w:rPr>
          <w:rFonts w:ascii="Arial" w:cs="Arial" w:eastAsia="Arial" w:hAnsi="Arial"/>
          <w:sz w:val="17"/>
          <w:szCs w:val="17"/>
          <w:color w:val="auto"/>
        </w:rPr>
        <w:t>Vera 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(the “</w:t>
      </w:r>
      <w:r>
        <w:rPr>
          <w:rFonts w:ascii="Arial" w:cs="Arial" w:eastAsia="Arial" w:hAnsi="Arial"/>
          <w:sz w:val="17"/>
          <w:szCs w:val="17"/>
          <w:b w:val="1"/>
          <w:bCs w:val="1"/>
          <w:color w:val="auto"/>
        </w:rPr>
        <w:t>Underwriters</w:t>
      </w:r>
      <w:r>
        <w:rPr>
          <w:rFonts w:ascii="Arial" w:cs="Arial" w:eastAsia="Arial" w:hAnsi="Arial"/>
          <w:sz w:val="17"/>
          <w:szCs w:val="17"/>
          <w:color w:val="auto"/>
        </w:rPr>
        <w:t>”) an aggregate of [•] shares of its common stock, par value $0.0001 per share (the “</w:t>
      </w:r>
      <w:r>
        <w:rPr>
          <w:rFonts w:ascii="Arial" w:cs="Arial" w:eastAsia="Arial" w:hAnsi="Arial"/>
          <w:sz w:val="17"/>
          <w:szCs w:val="17"/>
          <w:b w:val="1"/>
          <w:bCs w:val="1"/>
          <w:color w:val="auto"/>
        </w:rPr>
        <w:t>Shares</w:t>
      </w:r>
      <w:r>
        <w:rPr>
          <w:rFonts w:ascii="Arial" w:cs="Arial" w:eastAsia="Arial" w:hAnsi="Arial"/>
          <w:sz w:val="17"/>
          <w:szCs w:val="17"/>
          <w:color w:val="auto"/>
        </w:rPr>
        <w:t>”). The [•] Shares to be sold by the Company are called the “</w:t>
      </w:r>
      <w:r>
        <w:rPr>
          <w:rFonts w:ascii="Arial" w:cs="Arial" w:eastAsia="Arial" w:hAnsi="Arial"/>
          <w:sz w:val="17"/>
          <w:szCs w:val="17"/>
          <w:b w:val="1"/>
          <w:bCs w:val="1"/>
          <w:color w:val="auto"/>
        </w:rPr>
        <w:t>Firm Shares</w:t>
      </w:r>
      <w:r>
        <w:rPr>
          <w:rFonts w:ascii="Arial" w:cs="Arial" w:eastAsia="Arial" w:hAnsi="Arial"/>
          <w:sz w:val="17"/>
          <w:szCs w:val="17"/>
          <w:color w:val="auto"/>
        </w:rPr>
        <w:t>.” In addition, the Company has granted to the Underwriters an option to purchase up to an additional [•] Shares as provided in Section 2. The additional [•] Shares to be sold by the Company pursuant to such option are collectively called the “</w:t>
      </w:r>
      <w:r>
        <w:rPr>
          <w:rFonts w:ascii="Arial" w:cs="Arial" w:eastAsia="Arial" w:hAnsi="Arial"/>
          <w:sz w:val="17"/>
          <w:szCs w:val="17"/>
          <w:b w:val="1"/>
          <w:bCs w:val="1"/>
          <w:color w:val="auto"/>
        </w:rPr>
        <w:t>Optional</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The Firm Shares and, if and to the extent such option is exercised, the Optional Shares are collectively called the “</w:t>
      </w:r>
      <w:r>
        <w:rPr>
          <w:rFonts w:ascii="Arial" w:cs="Arial" w:eastAsia="Arial" w:hAnsi="Arial"/>
          <w:sz w:val="17"/>
          <w:szCs w:val="17"/>
          <w:b w:val="1"/>
          <w:bCs w:val="1"/>
          <w:color w:val="auto"/>
        </w:rPr>
        <w:t>Offered Shares</w:t>
      </w:r>
      <w:r>
        <w:rPr>
          <w:rFonts w:ascii="Arial" w:cs="Arial" w:eastAsia="Arial" w:hAnsi="Arial"/>
          <w:sz w:val="17"/>
          <w:szCs w:val="17"/>
          <w:color w:val="auto"/>
        </w:rPr>
        <w:t>.” Jefferies</w:t>
      </w:r>
      <w:r>
        <w:rPr>
          <w:rFonts w:ascii="Arial" w:cs="Arial" w:eastAsia="Arial" w:hAnsi="Arial"/>
          <w:sz w:val="17"/>
          <w:szCs w:val="17"/>
          <w:b w:val="1"/>
          <w:bCs w:val="1"/>
          <w:color w:val="auto"/>
        </w:rPr>
        <w:t xml:space="preserve"> </w:t>
      </w:r>
      <w:r>
        <w:rPr>
          <w:rFonts w:ascii="Arial" w:cs="Arial" w:eastAsia="Arial" w:hAnsi="Arial"/>
          <w:sz w:val="17"/>
          <w:szCs w:val="17"/>
          <w:color w:val="auto"/>
        </w:rPr>
        <w:t>LLC (“</w:t>
      </w:r>
      <w:r>
        <w:rPr>
          <w:rFonts w:ascii="Arial" w:cs="Arial" w:eastAsia="Arial" w:hAnsi="Arial"/>
          <w:sz w:val="17"/>
          <w:szCs w:val="17"/>
          <w:b w:val="1"/>
          <w:bCs w:val="1"/>
          <w:color w:val="auto"/>
        </w:rPr>
        <w:t>Jefferies</w:t>
      </w:r>
      <w:r>
        <w:rPr>
          <w:rFonts w:ascii="Arial" w:cs="Arial" w:eastAsia="Arial" w:hAnsi="Arial"/>
          <w:sz w:val="17"/>
          <w:szCs w:val="17"/>
          <w:color w:val="auto"/>
        </w:rPr>
        <w:t>”), Cowen and Company, LLC (“</w:t>
      </w:r>
      <w:r>
        <w:rPr>
          <w:rFonts w:ascii="Arial" w:cs="Arial" w:eastAsia="Arial" w:hAnsi="Arial"/>
          <w:sz w:val="17"/>
          <w:szCs w:val="17"/>
          <w:b w:val="1"/>
          <w:bCs w:val="1"/>
          <w:color w:val="auto"/>
        </w:rPr>
        <w:t>Cowen</w:t>
      </w:r>
      <w:r>
        <w:rPr>
          <w:rFonts w:ascii="Arial" w:cs="Arial" w:eastAsia="Arial" w:hAnsi="Arial"/>
          <w:sz w:val="17"/>
          <w:szCs w:val="17"/>
          <w:color w:val="auto"/>
        </w:rPr>
        <w:t>”) and Evercore Group L.L.C. (“</w:t>
      </w:r>
      <w:r>
        <w:rPr>
          <w:rFonts w:ascii="Arial" w:cs="Arial" w:eastAsia="Arial" w:hAnsi="Arial"/>
          <w:sz w:val="17"/>
          <w:szCs w:val="17"/>
          <w:b w:val="1"/>
          <w:bCs w:val="1"/>
          <w:color w:val="auto"/>
        </w:rPr>
        <w:t>Evercore</w:t>
      </w:r>
      <w:r>
        <w:rPr>
          <w:rFonts w:ascii="Arial" w:cs="Arial" w:eastAsia="Arial" w:hAnsi="Arial"/>
          <w:sz w:val="17"/>
          <w:szCs w:val="17"/>
          <w:color w:val="auto"/>
        </w:rPr>
        <w:t>”) have agreed to act as representatives of the several Underwriters (in such capacity, the “</w:t>
      </w:r>
      <w:r>
        <w:rPr>
          <w:rFonts w:ascii="Arial" w:cs="Arial" w:eastAsia="Arial" w:hAnsi="Arial"/>
          <w:sz w:val="17"/>
          <w:szCs w:val="17"/>
          <w:b w:val="1"/>
          <w:bCs w:val="1"/>
          <w:color w:val="auto"/>
        </w:rPr>
        <w:t>Representatives</w:t>
      </w:r>
      <w:r>
        <w:rPr>
          <w:rFonts w:ascii="Arial" w:cs="Arial" w:eastAsia="Arial" w:hAnsi="Arial"/>
          <w:sz w:val="17"/>
          <w:szCs w:val="17"/>
          <w:color w:val="auto"/>
        </w:rPr>
        <w:t xml:space="preserve">”) in connection with the offering and sale of the Offered Shares. To the extent there are no additional underwriters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the term “Representatives” as used herein shall mean you, as Underwriters, and the term “Underwriters” shall mean either the singular or the plural, as the context requires.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Jefferies agrees that up to [•] of the Firm Shares to be purchased by the Underwriters (the “</w:t>
      </w:r>
      <w:r>
        <w:rPr>
          <w:rFonts w:ascii="Arial" w:cs="Arial" w:eastAsia="Arial" w:hAnsi="Arial"/>
          <w:sz w:val="16"/>
          <w:szCs w:val="16"/>
          <w:b w:val="1"/>
          <w:bCs w:val="1"/>
          <w:color w:val="auto"/>
        </w:rPr>
        <w:t>Directed Shares</w:t>
      </w:r>
      <w:r>
        <w:rPr>
          <w:rFonts w:ascii="Arial" w:cs="Arial" w:eastAsia="Arial" w:hAnsi="Arial"/>
          <w:sz w:val="16"/>
          <w:szCs w:val="16"/>
          <w:color w:val="auto"/>
        </w:rPr>
        <w:t>”) shall be reserved for sale to certain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eligible directors, officers and employees of the Company and persons having business relationships with the Company (collectively, the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Participants</w:t>
      </w:r>
      <w:r>
        <w:rPr>
          <w:rFonts w:ascii="Arial" w:cs="Arial" w:eastAsia="Arial" w:hAnsi="Arial"/>
          <w:sz w:val="17"/>
          <w:szCs w:val="17"/>
          <w:color w:val="auto"/>
        </w:rPr>
        <w:t>”), as part of the distribution of the Offered Shares by the Underwriters (the “</w:t>
      </w:r>
      <w:r>
        <w:rPr>
          <w:rFonts w:ascii="Arial" w:cs="Arial" w:eastAsia="Arial" w:hAnsi="Arial"/>
          <w:sz w:val="17"/>
          <w:szCs w:val="17"/>
          <w:b w:val="1"/>
          <w:bCs w:val="1"/>
          <w:color w:val="auto"/>
        </w:rPr>
        <w:t>Directed Share Program</w:t>
      </w:r>
      <w:r>
        <w:rPr>
          <w:rFonts w:ascii="Arial" w:cs="Arial" w:eastAsia="Arial" w:hAnsi="Arial"/>
          <w:sz w:val="17"/>
          <w:szCs w:val="17"/>
          <w:color w:val="auto"/>
        </w:rPr>
        <w:t>”) subject to the terms of this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Agreement, the applicable rules, regulations and interpretations of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and all other applicable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laws, rule and regulations. The Directed Share Program shall be administered by [•]. To the extent that the Directed Shares are not orally confirmed for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purchase by the Participants by the end of the first business day after the date of this Agreement, such Directed Shares may be offered to the public by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as part of the public offering contemplated hereby.</w:t>
      </w:r>
    </w:p>
    <w:p>
      <w:pPr>
        <w:sectPr>
          <w:pgSz w:w="11900" w:h="16838" w:orient="portrait"/>
          <w:cols w:equalWidth="0" w:num="1">
            <w:col w:w="10920"/>
          </w:cols>
          <w:pgMar w:left="480" w:top="121" w:right="499" w:bottom="1440" w:gutter="0" w:footer="0" w:header="0"/>
        </w:sectPr>
      </w:pPr>
    </w:p>
    <w:bookmarkStart w:id="225" w:name="page226"/>
    <w:bookmarkEnd w:id="225"/>
    <w:p>
      <w:pPr>
        <w:ind w:firstLine="436"/>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has prepared and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on Form S-1, File No. 333-255492, which contains a form of prospectus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6"/>
          <w:szCs w:val="16"/>
          <w:b w:val="1"/>
          <w:bCs w:val="1"/>
          <w:color w:val="auto"/>
        </w:rPr>
        <w:t>Securities Act</w:t>
      </w:r>
      <w:r>
        <w:rPr>
          <w:rFonts w:ascii="Arial" w:cs="Arial" w:eastAsia="Arial" w:hAnsi="Arial"/>
          <w:sz w:val="16"/>
          <w:szCs w:val="16"/>
          <w:color w:val="auto"/>
        </w:rPr>
        <w:t>”), including any information deemed to be a part thereof at the time of effectiveness pursuant to Rule 430A under the Securities Act, is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Any registration statement filed by the Company pursuant to Rule 462(b) under the Securities Act in connection with the offer and sale of the Offered Shares is called the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and from and after the date and time of filing of any such Rule 462(b) Registration Statement the term “Registration Statement” shall include the Rule 462(b) Registration Statement. The prospectus, in the form first used by the Underwriters to confirm sales of the Offered Shares or in the form first made available to the Underwriters by the Company to meet requests of purchasers pursuant to Rule 173 under the Securities Act, is called the “</w:t>
      </w:r>
      <w:r>
        <w:rPr>
          <w:rFonts w:ascii="Arial" w:cs="Arial" w:eastAsia="Arial" w:hAnsi="Arial"/>
          <w:sz w:val="16"/>
          <w:szCs w:val="16"/>
          <w:b w:val="1"/>
          <w:bCs w:val="1"/>
          <w:color w:val="auto"/>
        </w:rPr>
        <w:t>Prospectus</w:t>
      </w:r>
      <w:r>
        <w:rPr>
          <w:rFonts w:ascii="Arial" w:cs="Arial" w:eastAsia="Arial" w:hAnsi="Arial"/>
          <w:sz w:val="16"/>
          <w:szCs w:val="16"/>
          <w:color w:val="auto"/>
        </w:rPr>
        <w:t>.” The preliminary prospectus dated [•], 2021 describing the Offered Shares and the offering thereof is called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and the Preliminary Prospectus and any other prospectus in preliminary form that describes the Offered Shares and the offering thereof and is used prior to the filing of the Prospectus is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As used herein, “</w:t>
      </w:r>
      <w:r>
        <w:rPr>
          <w:rFonts w:ascii="Arial" w:cs="Arial" w:eastAsia="Arial" w:hAnsi="Arial"/>
          <w:sz w:val="16"/>
          <w:szCs w:val="16"/>
          <w:b w:val="1"/>
          <w:bCs w:val="1"/>
          <w:color w:val="auto"/>
        </w:rPr>
        <w:t>Applicable</w:t>
      </w:r>
      <w:r>
        <w:rPr>
          <w:rFonts w:ascii="Arial" w:cs="Arial" w:eastAsia="Arial" w:hAnsi="Arial"/>
          <w:sz w:val="16"/>
          <w:szCs w:val="16"/>
          <w:color w:val="auto"/>
        </w:rPr>
        <w:t xml:space="preserve"> </w:t>
      </w:r>
      <w:r>
        <w:rPr>
          <w:rFonts w:ascii="Arial" w:cs="Arial" w:eastAsia="Arial" w:hAnsi="Arial"/>
          <w:sz w:val="16"/>
          <w:szCs w:val="16"/>
          <w:b w:val="1"/>
          <w:bCs w:val="1"/>
          <w:color w:val="auto"/>
        </w:rPr>
        <w:t>Time</w:t>
      </w:r>
      <w:r>
        <w:rPr>
          <w:rFonts w:ascii="Arial" w:cs="Arial" w:eastAsia="Arial" w:hAnsi="Arial"/>
          <w:sz w:val="16"/>
          <w:szCs w:val="16"/>
          <w:color w:val="auto"/>
        </w:rPr>
        <w:t>” is [•][a.m.][p.m.] (New York City time) on [•], 2021. As used herein,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and “</w:t>
      </w:r>
      <w:r>
        <w:rPr>
          <w:rFonts w:ascii="Arial" w:cs="Arial" w:eastAsia="Arial" w:hAnsi="Arial"/>
          <w:sz w:val="16"/>
          <w:szCs w:val="16"/>
          <w:b w:val="1"/>
          <w:bCs w:val="1"/>
          <w:color w:val="auto"/>
        </w:rPr>
        <w:t>Time of Sale Prospectus</w:t>
      </w:r>
      <w:r>
        <w:rPr>
          <w:rFonts w:ascii="Arial" w:cs="Arial" w:eastAsia="Arial" w:hAnsi="Arial"/>
          <w:sz w:val="16"/>
          <w:szCs w:val="16"/>
          <w:color w:val="auto"/>
        </w:rPr>
        <w:t xml:space="preserve">” means the Preliminary Prospectus together with 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“Road Show”</w:t>
      </w:r>
      <w:r>
        <w:rPr>
          <w:rFonts w:ascii="Arial" w:cs="Arial" w:eastAsia="Arial" w:hAnsi="Arial"/>
          <w:sz w:val="16"/>
          <w:szCs w:val="16"/>
          <w:color w:val="auto"/>
        </w:rPr>
        <w:t xml:space="preserve"> means a “road show” (as defined in Rule 433 under the Securities Act) relating to the offering of the Offered Shares contemplated hereby that is a “written communication” (as defined in Rule 405 under the Securities Act). As used herein, “</w:t>
      </w:r>
      <w:r>
        <w:rPr>
          <w:rFonts w:ascii="Arial" w:cs="Arial" w:eastAsia="Arial" w:hAnsi="Arial"/>
          <w:sz w:val="16"/>
          <w:szCs w:val="16"/>
          <w:b w:val="1"/>
          <w:bCs w:val="1"/>
          <w:color w:val="auto"/>
        </w:rPr>
        <w:t>Section 5(d)</w:t>
      </w:r>
      <w:r>
        <w:rPr>
          <w:rFonts w:ascii="Arial" w:cs="Arial" w:eastAsia="Arial" w:hAnsi="Arial"/>
          <w:sz w:val="16"/>
          <w:szCs w:val="16"/>
          <w:color w:val="auto"/>
        </w:rPr>
        <w:t xml:space="preserve"> </w:t>
      </w:r>
      <w:r>
        <w:rPr>
          <w:rFonts w:ascii="Arial" w:cs="Arial" w:eastAsia="Arial" w:hAnsi="Arial"/>
          <w:sz w:val="16"/>
          <w:szCs w:val="16"/>
          <w:b w:val="1"/>
          <w:bCs w:val="1"/>
          <w:color w:val="auto"/>
        </w:rPr>
        <w:t>Written Communication</w:t>
      </w:r>
      <w:r>
        <w:rPr>
          <w:rFonts w:ascii="Arial" w:cs="Arial" w:eastAsia="Arial" w:hAnsi="Arial"/>
          <w:sz w:val="16"/>
          <w:szCs w:val="16"/>
          <w:color w:val="auto"/>
        </w:rPr>
        <w:t>” means each written communication (within the meaning of Rule 405 under the Securities Act) that is made in reliance on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5(d) of the Securities Act by the Company or any person authorized to act on behalf of the Company to one or more potential investors that are 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and/or institutions that are accredited investors (“</w:t>
      </w:r>
      <w:r>
        <w:rPr>
          <w:rFonts w:ascii="Arial" w:cs="Arial" w:eastAsia="Arial" w:hAnsi="Arial"/>
          <w:sz w:val="16"/>
          <w:szCs w:val="16"/>
          <w:b w:val="1"/>
          <w:bCs w:val="1"/>
          <w:color w:val="auto"/>
        </w:rPr>
        <w:t>IAIs</w:t>
      </w:r>
      <w:r>
        <w:rPr>
          <w:rFonts w:ascii="Arial" w:cs="Arial" w:eastAsia="Arial" w:hAnsi="Arial"/>
          <w:sz w:val="16"/>
          <w:szCs w:val="16"/>
          <w:color w:val="auto"/>
        </w:rPr>
        <w:t>”), as such terms are respectively defined in Rule 144A and Rule 501(a) under the Securities Act, to determine whether such investors might have an interest in the offering of the Offered Shares; “</w:t>
      </w:r>
      <w:r>
        <w:rPr>
          <w:rFonts w:ascii="Arial" w:cs="Arial" w:eastAsia="Arial" w:hAnsi="Arial"/>
          <w:sz w:val="16"/>
          <w:szCs w:val="16"/>
          <w:b w:val="1"/>
          <w:bCs w:val="1"/>
          <w:color w:val="auto"/>
        </w:rPr>
        <w:t>Section 5(d)</w:t>
      </w:r>
      <w:r>
        <w:rPr>
          <w:rFonts w:ascii="Arial" w:cs="Arial" w:eastAsia="Arial" w:hAnsi="Arial"/>
          <w:sz w:val="16"/>
          <w:szCs w:val="16"/>
          <w:color w:val="auto"/>
        </w:rPr>
        <w:t xml:space="preserve"> </w:t>
      </w:r>
      <w:r>
        <w:rPr>
          <w:rFonts w:ascii="Arial" w:cs="Arial" w:eastAsia="Arial" w:hAnsi="Arial"/>
          <w:sz w:val="16"/>
          <w:szCs w:val="16"/>
          <w:b w:val="1"/>
          <w:bCs w:val="1"/>
          <w:color w:val="auto"/>
        </w:rPr>
        <w:t>Oral Communication</w:t>
      </w:r>
      <w:r>
        <w:rPr>
          <w:rFonts w:ascii="Arial" w:cs="Arial" w:eastAsia="Arial" w:hAnsi="Arial"/>
          <w:sz w:val="16"/>
          <w:szCs w:val="16"/>
          <w:color w:val="auto"/>
        </w:rPr>
        <w:t>” means each oral communication, if any, made in reliance on Section 5(d) of the Securities Act by the Company or any person</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to act on behalf of the Company made to one or more QIBs and/or one or more IAIs to determine whether such investors might have an interest in the offering of the Offered Shares; “</w:t>
      </w:r>
      <w:r>
        <w:rPr>
          <w:rFonts w:ascii="Arial" w:cs="Arial" w:eastAsia="Arial" w:hAnsi="Arial"/>
          <w:sz w:val="16"/>
          <w:szCs w:val="16"/>
          <w:b w:val="1"/>
          <w:bCs w:val="1"/>
          <w:color w:val="auto"/>
        </w:rPr>
        <w:t>Marketing Materials</w:t>
      </w:r>
      <w:r>
        <w:rPr>
          <w:rFonts w:ascii="Arial" w:cs="Arial" w:eastAsia="Arial" w:hAnsi="Arial"/>
          <w:sz w:val="16"/>
          <w:szCs w:val="16"/>
          <w:color w:val="auto"/>
        </w:rPr>
        <w:t>” means any materials or information provided to investors by, or with the approval of, the Company in connection with the marketing of the offering of the Offered Shares, including any roadshow or investor presentations made to investors by the Company (whether in person or electronically); and “</w:t>
      </w:r>
      <w:r>
        <w:rPr>
          <w:rFonts w:ascii="Arial" w:cs="Arial" w:eastAsia="Arial" w:hAnsi="Arial"/>
          <w:sz w:val="16"/>
          <w:szCs w:val="16"/>
          <w:b w:val="1"/>
          <w:bCs w:val="1"/>
          <w:color w:val="auto"/>
        </w:rPr>
        <w:t>Permitted Section 5(d) Communication</w:t>
      </w:r>
      <w:r>
        <w:rPr>
          <w:rFonts w:ascii="Arial" w:cs="Arial" w:eastAsia="Arial" w:hAnsi="Arial"/>
          <w:sz w:val="16"/>
          <w:szCs w:val="16"/>
          <w:color w:val="auto"/>
        </w:rPr>
        <w:t>” means the Section 5(d) Written Communication(s) and Marketing Materials listed on Schedule C attached hereto.</w:t>
      </w:r>
    </w:p>
    <w:p>
      <w:pPr>
        <w:spacing w:after="0" w:line="181" w:lineRule="exact"/>
        <w:rPr>
          <w:sz w:val="20"/>
          <w:szCs w:val="20"/>
          <w:color w:val="auto"/>
        </w:rPr>
      </w:pPr>
    </w:p>
    <w:p>
      <w:pPr>
        <w:ind w:right="180" w:firstLine="436"/>
        <w:spacing w:after="0" w:line="297" w:lineRule="auto"/>
        <w:rPr>
          <w:sz w:val="20"/>
          <w:szCs w:val="20"/>
          <w:color w:val="auto"/>
        </w:rPr>
      </w:pPr>
      <w:r>
        <w:rPr>
          <w:rFonts w:ascii="Arial" w:cs="Arial" w:eastAsia="Arial" w:hAnsi="Arial"/>
          <w:sz w:val="16"/>
          <w:szCs w:val="16"/>
          <w:color w:val="auto"/>
        </w:rPr>
        <w:t>All references in this Agreement to (i) the Registration Statement, any preliminary prospectus (including the Preliminary Prospectus), or the Prospectus, or any amendments or supplements to any of the foregoing, or any free writing prospectus, shall include any copy thereof filed with the Commission pursuant to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and (ii) the Prospectus shall be deemed to include any “electronic Prospectus” provided for use in connection with the offering of the Offered Shares as contemplated by Section 3(o) of this Agreement.</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hereby confirms its agreements with the Underwriters as follows: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69" w:right="499" w:bottom="1440" w:gutter="0" w:footer="0" w:header="0"/>
        </w:sectPr>
      </w:pPr>
    </w:p>
    <w:bookmarkStart w:id="226" w:name="page227"/>
    <w:bookmarkEnd w:id="226"/>
    <w:p>
      <w:pPr>
        <w:ind w:right="200" w:firstLine="982"/>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 Representations and Warranties of the Company. </w:t>
      </w:r>
      <w:r>
        <w:rPr>
          <w:rFonts w:ascii="Arial" w:cs="Arial" w:eastAsia="Arial" w:hAnsi="Arial"/>
          <w:sz w:val="18"/>
          <w:szCs w:val="18"/>
          <w:color w:val="auto"/>
        </w:rPr>
        <w:t>The Company hereby represents, warrants and covenants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 as of the date of this Agreement, as of the First Closing Date (as hereinafter defined) and as of each Option Closing Date (as hereinafter defined), if any, as follows:</w:t>
      </w:r>
    </w:p>
    <w:p>
      <w:pPr>
        <w:spacing w:after="0" w:line="74" w:lineRule="exact"/>
        <w:rPr>
          <w:sz w:val="20"/>
          <w:szCs w:val="20"/>
          <w:color w:val="auto"/>
        </w:rPr>
      </w:pPr>
    </w:p>
    <w:p>
      <w:pPr>
        <w:ind w:firstLine="444"/>
        <w:spacing w:after="0" w:line="257" w:lineRule="auto"/>
        <w:tabs>
          <w:tab w:leader="none" w:pos="689"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Registration Statement has become effective under the Securities Act. The Company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w:t>
      </w:r>
    </w:p>
    <w:p>
      <w:pPr>
        <w:spacing w:after="0" w:line="76" w:lineRule="exact"/>
        <w:rPr>
          <w:rFonts w:ascii="Arial" w:cs="Arial" w:eastAsia="Arial" w:hAnsi="Arial"/>
          <w:sz w:val="18"/>
          <w:szCs w:val="18"/>
          <w:b w:val="1"/>
          <w:bCs w:val="1"/>
          <w:color w:val="auto"/>
        </w:rPr>
      </w:pPr>
    </w:p>
    <w:p>
      <w:pPr>
        <w:ind w:right="20" w:firstLine="444"/>
        <w:spacing w:after="0" w:line="282" w:lineRule="auto"/>
        <w:tabs>
          <w:tab w:leader="none" w:pos="699"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preliminary prospectus and the Prospectus when filed complied in all material respects with the Securities Act and, if filed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spacing w:after="0" w:line="69" w:lineRule="exact"/>
        <w:rPr>
          <w:rFonts w:ascii="Arial" w:cs="Arial" w:eastAsia="Arial" w:hAnsi="Arial"/>
          <w:sz w:val="16"/>
          <w:szCs w:val="16"/>
          <w:b w:val="1"/>
          <w:bCs w:val="1"/>
          <w:color w:val="auto"/>
        </w:rPr>
      </w:pPr>
    </w:p>
    <w:p>
      <w:pPr>
        <w:ind w:firstLine="444"/>
        <w:spacing w:after="0" w:line="285" w:lineRule="auto"/>
        <w:tabs>
          <w:tab w:leader="none" w:pos="679"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Free Writing Prospectuses; Road Show</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the determination date referenced in Rule 164(h) under the Securities Act, the Company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and</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480" w:top="268" w:right="579" w:bottom="1440" w:gutter="0" w:footer="0" w:header="0"/>
        </w:sectPr>
      </w:pPr>
    </w:p>
    <w:bookmarkStart w:id="227" w:name="page228"/>
    <w:bookmarkEnd w:id="227"/>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electronic road shows, if any, furnished to you before first use,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79" w:lineRule="exact"/>
        <w:rPr>
          <w:sz w:val="20"/>
          <w:szCs w:val="20"/>
          <w:color w:val="auto"/>
        </w:rPr>
      </w:pPr>
    </w:p>
    <w:p>
      <w:pPr>
        <w:ind w:firstLine="444"/>
        <w:spacing w:after="0" w:line="268" w:lineRule="auto"/>
        <w:tabs>
          <w:tab w:leader="none" w:pos="699" w:val="left"/>
        </w:tabs>
        <w:numPr>
          <w:ilvl w:val="1"/>
          <w:numId w:val="13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Directed Share Program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 The Registration Statement, the Prospectus, the Time of Sale Prospectus and any preliminary prospectus comply,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any further amendments or supplements thereto will comply, with any applicable laws or regulations of foreign jurisdictions in which the Prospectus, Time of Sale Prospectus or any preliminary prospectus, as amended or supplemented, if applicable, are distributed in connection with the Directed Share Program, and (ii) no authorization, approval, consent, license, order registration or qualification of or with any government, governmental instrumentality or court, other than such as have been obtained, is necessary under the securities laws and regulations of foreign jurisdictions in which the Directed Shares are offered outside the United States. The Company has not offered, or caused the Underwriters to offer, any Offered Shares to any person pursuant to the Directed Share Program with the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68" w:lineRule="exact"/>
        <w:rPr>
          <w:rFonts w:ascii="Arial" w:cs="Arial" w:eastAsia="Arial" w:hAnsi="Arial"/>
          <w:sz w:val="17"/>
          <w:szCs w:val="17"/>
          <w:b w:val="1"/>
          <w:bCs w:val="1"/>
          <w:color w:val="auto"/>
        </w:rPr>
      </w:pPr>
    </w:p>
    <w:p>
      <w:pPr>
        <w:ind w:right="60" w:firstLine="444"/>
        <w:spacing w:after="0" w:line="294" w:lineRule="auto"/>
        <w:tabs>
          <w:tab w:leader="none" w:pos="679" w:val="left"/>
        </w:tabs>
        <w:numPr>
          <w:ilvl w:val="1"/>
          <w:numId w:val="1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Distribution of Offering Material By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the later of (i) the expiration or termination of the option granted to the several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Underwriters in Section 2, (ii) the completion of the Underwriters’ distribution of the Offered Shares and (iii) the expiration of 25 days after the date of the Prospectus</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and any Permitted Section 5(d) Communications.</w:t>
      </w:r>
    </w:p>
    <w:p>
      <w:pPr>
        <w:spacing w:after="0" w:line="49" w:lineRule="exact"/>
        <w:rPr>
          <w:rFonts w:ascii="Arial" w:cs="Arial" w:eastAsia="Arial" w:hAnsi="Arial"/>
          <w:sz w:val="16"/>
          <w:szCs w:val="16"/>
          <w:b w:val="1"/>
          <w:bCs w:val="1"/>
          <w:color w:val="auto"/>
        </w:rPr>
      </w:pPr>
    </w:p>
    <w:p>
      <w:pPr>
        <w:ind w:left="660" w:hanging="216"/>
        <w:spacing w:after="0"/>
        <w:tabs>
          <w:tab w:leader="none" w:pos="660" w:val="left"/>
        </w:tabs>
        <w:numPr>
          <w:ilvl w:val="1"/>
          <w:numId w:val="1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authorized, executed and delivered by the Company.</w:t>
      </w:r>
    </w:p>
    <w:p>
      <w:pPr>
        <w:spacing w:after="0" w:line="113" w:lineRule="exact"/>
        <w:rPr>
          <w:rFonts w:ascii="Arial" w:cs="Arial" w:eastAsia="Arial" w:hAnsi="Arial"/>
          <w:sz w:val="18"/>
          <w:szCs w:val="18"/>
          <w:b w:val="1"/>
          <w:bCs w:val="1"/>
          <w:color w:val="auto"/>
        </w:rPr>
      </w:pPr>
    </w:p>
    <w:p>
      <w:pPr>
        <w:ind w:right="160" w:firstLine="444"/>
        <w:spacing w:after="0" w:line="257" w:lineRule="auto"/>
        <w:tabs>
          <w:tab w:leader="none" w:pos="689" w:val="left"/>
        </w:tabs>
        <w:numPr>
          <w:ilvl w:val="1"/>
          <w:numId w:val="1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Shares have been duly authorized for issuance and sale pursuant to this Agreement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w:t>
      </w:r>
    </w:p>
    <w:p>
      <w:pPr>
        <w:spacing w:after="0" w:line="76" w:lineRule="exact"/>
        <w:rPr>
          <w:rFonts w:ascii="Arial" w:cs="Arial" w:eastAsia="Arial" w:hAnsi="Arial"/>
          <w:sz w:val="18"/>
          <w:szCs w:val="18"/>
          <w:b w:val="1"/>
          <w:bCs w:val="1"/>
          <w:color w:val="auto"/>
        </w:rPr>
      </w:pPr>
    </w:p>
    <w:p>
      <w:pPr>
        <w:ind w:firstLine="444"/>
        <w:spacing w:after="0" w:line="261" w:lineRule="auto"/>
        <w:tabs>
          <w:tab w:leader="none" w:pos="699" w:val="left"/>
        </w:tabs>
        <w:numPr>
          <w:ilvl w:val="1"/>
          <w:numId w:val="1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Applicable Registration or Other Similar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persons with registration or other similar rights to have any equity 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registered for sale under the Registration Statement or included in the offering contemplated by this Agreement, except for such rights as have been duly waived.</w:t>
      </w:r>
    </w:p>
    <w:p>
      <w:pPr>
        <w:spacing w:after="0" w:line="73" w:lineRule="exact"/>
        <w:rPr>
          <w:rFonts w:ascii="Arial" w:cs="Arial" w:eastAsia="Arial" w:hAnsi="Arial"/>
          <w:sz w:val="18"/>
          <w:szCs w:val="18"/>
          <w:b w:val="1"/>
          <w:bCs w:val="1"/>
          <w:color w:val="auto"/>
        </w:rPr>
      </w:pPr>
    </w:p>
    <w:p>
      <w:pPr>
        <w:ind w:right="200" w:firstLine="444"/>
        <w:spacing w:after="0" w:line="331" w:lineRule="auto"/>
        <w:tabs>
          <w:tab w:leader="none" w:pos="649" w:val="left"/>
        </w:tabs>
        <w:numPr>
          <w:ilvl w:val="1"/>
          <w:numId w:val="132"/>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No Material Adverse Change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Except as otherwise disclosed in the Registration Statement, the Time of Sale Prospectus and the Prospectus,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subsequent to the respective dates as of which information is given in the Registration Statement, the Time of Sale Prospectus and the Prospectus:</w:t>
      </w:r>
    </w:p>
    <w:p>
      <w:pPr>
        <w:ind w:right="180" w:firstLine="7"/>
        <w:spacing w:after="0" w:line="250" w:lineRule="auto"/>
        <w:tabs>
          <w:tab w:leader="none" w:pos="21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there has been no material adverse change, or any development that could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or (B) the ability of the Company to consummate the transactions contemplated by this Agreement or perform its obligations hereunder (any</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480" w:top="272" w:right="559" w:bottom="1440" w:gutter="0" w:footer="0" w:header="0"/>
        </w:sectPr>
      </w:pPr>
    </w:p>
    <w:bookmarkStart w:id="228" w:name="page229"/>
    <w:bookmarkEnd w:id="228"/>
    <w:p>
      <w:pPr>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such change being referred to herein as a “</w:t>
      </w:r>
      <w:r>
        <w:rPr>
          <w:rFonts w:ascii="Arial" w:cs="Arial" w:eastAsia="Arial" w:hAnsi="Arial"/>
          <w:sz w:val="18"/>
          <w:szCs w:val="18"/>
          <w:b w:val="1"/>
          <w:bCs w:val="1"/>
          <w:color w:val="auto"/>
        </w:rPr>
        <w:t>Material Adverse Change</w:t>
      </w:r>
      <w:r>
        <w:rPr>
          <w:rFonts w:ascii="Arial" w:cs="Arial" w:eastAsia="Arial" w:hAnsi="Arial"/>
          <w:sz w:val="18"/>
          <w:szCs w:val="18"/>
          <w:color w:val="auto"/>
        </w:rPr>
        <w:t>”); (ii) the Company has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has not entered into any material transactions not in the ordinary course of business; and (iii) there has not been any material decrease in the capital stock or any material increase in any short-term or long-term indebtedness of the Company and there has been no dividend or distribution of any kind declared, paid or made by the Company or, except for any repurchase or redemption by the Company of any class of capital stock.</w:t>
      </w:r>
    </w:p>
    <w:p>
      <w:pPr>
        <w:spacing w:after="0" w:line="84" w:lineRule="exact"/>
        <w:rPr>
          <w:sz w:val="20"/>
          <w:szCs w:val="20"/>
          <w:color w:val="auto"/>
        </w:rPr>
      </w:pPr>
    </w:p>
    <w:p>
      <w:pPr>
        <w:ind w:right="160" w:firstLine="444"/>
        <w:spacing w:after="0" w:line="269" w:lineRule="auto"/>
        <w:tabs>
          <w:tab w:leader="none" w:pos="659"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Independent Accountants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KPMG LLP, which has expressed its opinion with respect to the financial statements (which term as used in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includes the related notes thereto)filed with the Commission as a part of the Registration Statement, the Time of Sale Prospectus and the Prospectus, is (i) an independent registered public accounting firm as required by the Securities Act, the Securities Exchange Act of 1934, as amended ,and the rules and regulations promulgated thereunder (collectively, the “</w:t>
      </w:r>
      <w:r>
        <w:rPr>
          <w:rFonts w:ascii="Arial" w:cs="Arial" w:eastAsia="Arial" w:hAnsi="Arial"/>
          <w:sz w:val="17"/>
          <w:szCs w:val="17"/>
          <w:b w:val="1"/>
          <w:bCs w:val="1"/>
          <w:color w:val="auto"/>
        </w:rPr>
        <w:t>Exchange Act</w:t>
      </w:r>
      <w:r>
        <w:rPr>
          <w:rFonts w:ascii="Arial" w:cs="Arial" w:eastAsia="Arial" w:hAnsi="Arial"/>
          <w:sz w:val="17"/>
          <w:szCs w:val="17"/>
          <w:color w:val="auto"/>
        </w:rPr>
        <w:t>”), and the rules of the Public Company Accounting Oversight Board (“</w:t>
      </w:r>
      <w:r>
        <w:rPr>
          <w:rFonts w:ascii="Arial" w:cs="Arial" w:eastAsia="Arial" w:hAnsi="Arial"/>
          <w:sz w:val="17"/>
          <w:szCs w:val="17"/>
          <w:b w:val="1"/>
          <w:bCs w:val="1"/>
          <w:color w:val="auto"/>
        </w:rPr>
        <w:t>PCAOB</w:t>
      </w:r>
      <w:r>
        <w:rPr>
          <w:rFonts w:ascii="Arial" w:cs="Arial" w:eastAsia="Arial" w:hAnsi="Arial"/>
          <w:sz w:val="17"/>
          <w:szCs w:val="17"/>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71" w:lineRule="exact"/>
        <w:rPr>
          <w:rFonts w:ascii="Arial" w:cs="Arial" w:eastAsia="Arial" w:hAnsi="Arial"/>
          <w:sz w:val="17"/>
          <w:szCs w:val="17"/>
          <w:b w:val="1"/>
          <w:bCs w:val="1"/>
          <w:color w:val="auto"/>
        </w:rPr>
      </w:pPr>
    </w:p>
    <w:p>
      <w:pPr>
        <w:ind w:firstLine="444"/>
        <w:spacing w:after="0" w:line="283" w:lineRule="auto"/>
        <w:tabs>
          <w:tab w:leader="none" w:pos="699"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Financial Statements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statements filed with the Commission as a part of the Registration Statement, the Time of Sale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Prospectus present fairly, in all material respects, the consolidated financial position of the Company as of the dates indicated and the results of its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captions “Prospectus Summary—Summary Financial Data” and “Capitalization” fairly present, in all material respects, the information set forth therein on a basis consistent with that of the audited financial statements contained in the Registration Statement, the Time of Sale Prospectus and the Prospectus. All disclosures contained in the Registration Statement, any preliminary prospectus or the Prospectus and any free writing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w:t>
      </w:r>
    </w:p>
    <w:p>
      <w:pPr>
        <w:spacing w:after="0" w:line="62" w:lineRule="exact"/>
        <w:rPr>
          <w:rFonts w:ascii="Arial" w:cs="Arial" w:eastAsia="Arial" w:hAnsi="Arial"/>
          <w:sz w:val="16"/>
          <w:szCs w:val="16"/>
          <w:b w:val="1"/>
          <w:bCs w:val="1"/>
          <w:color w:val="auto"/>
        </w:rPr>
      </w:pPr>
    </w:p>
    <w:p>
      <w:pPr>
        <w:ind w:right="220" w:firstLine="444"/>
        <w:spacing w:after="0" w:line="291" w:lineRule="auto"/>
        <w:tabs>
          <w:tab w:leader="none" w:pos="649"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Company’s Accounting System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makes and keeps books and records that are accurate in all material respects and maintains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 of internal accounting controls designed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80" w:top="268" w:right="519" w:bottom="1440" w:gutter="0" w:footer="0" w:header="0"/>
        </w:sectPr>
      </w:pPr>
    </w:p>
    <w:bookmarkStart w:id="229" w:name="page230"/>
    <w:bookmarkEnd w:id="229"/>
    <w:p>
      <w:pPr>
        <w:ind w:left="-7" w:firstLine="444"/>
        <w:spacing w:after="0" w:line="284" w:lineRule="auto"/>
        <w:tabs>
          <w:tab w:leader="none" w:pos="741" w:val="left"/>
        </w:tabs>
        <w:numPr>
          <w:ilvl w:val="1"/>
          <w:numId w:val="13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Disclosure Controls and Procedures; Deficiencies in or Changes to Internal Control Over Financial Reporting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established and maintains disclosure controls and procedures (as defined in Rules 13a-15 and 15d-15 under the Exchange Act), which (i) are designed to ensure that material information relating to the Company is made known to the Company’s principal executive officer and its principal financial officer by others within the Company, particularly during the periods in which the periodic reports required under the Exchange Act are being prepared;</w:t>
      </w:r>
    </w:p>
    <w:p>
      <w:pPr>
        <w:spacing w:after="0" w:line="1" w:lineRule="exact"/>
        <w:rPr>
          <w:rFonts w:ascii="Arial" w:cs="Arial" w:eastAsia="Arial" w:hAnsi="Arial"/>
          <w:sz w:val="16"/>
          <w:szCs w:val="16"/>
          <w:b w:val="1"/>
          <w:bCs w:val="1"/>
          <w:color w:val="auto"/>
        </w:rPr>
      </w:pPr>
    </w:p>
    <w:p>
      <w:pPr>
        <w:ind w:left="-7" w:right="20" w:firstLine="7"/>
        <w:spacing w:after="0" w:line="285" w:lineRule="auto"/>
        <w:tabs>
          <w:tab w:leader="none" w:pos="25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have been evaluated by management of the Company for effectiveness as of the end of the Company’s most recent fiscal quarter; and (iii) are effective in all material respects to perform the functions for which they were established. Except as disclosed in the Registration Statement, the Time of Sale Prospectus and the Prospectus,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58" w:lineRule="exact"/>
        <w:rPr>
          <w:rFonts w:ascii="Arial" w:cs="Arial" w:eastAsia="Arial" w:hAnsi="Arial"/>
          <w:sz w:val="16"/>
          <w:szCs w:val="16"/>
          <w:color w:val="auto"/>
        </w:rPr>
      </w:pPr>
    </w:p>
    <w:p>
      <w:pPr>
        <w:ind w:left="-7" w:right="20" w:firstLine="444"/>
        <w:spacing w:after="0" w:line="252" w:lineRule="auto"/>
        <w:tabs>
          <w:tab w:leader="none" w:pos="691"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Incorporation and Good Standing of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been duly incorporated and is validly existing as a corporation in good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the State of California and each other jurisdiction in which such qualification is required, whether by reason of the ownership or leasing of property or the conduct of business, except where the failure to be so qualified or in good standing would not reasonably be expected, individually or in the aggregate, to result in a Material Adverse Change.</w:t>
      </w:r>
    </w:p>
    <w:p>
      <w:pPr>
        <w:spacing w:after="0" w:line="83" w:lineRule="exact"/>
        <w:rPr>
          <w:rFonts w:ascii="Arial" w:cs="Arial" w:eastAsia="Arial" w:hAnsi="Arial"/>
          <w:sz w:val="18"/>
          <w:szCs w:val="18"/>
          <w:b w:val="1"/>
          <w:bCs w:val="1"/>
          <w:color w:val="auto"/>
        </w:rPr>
      </w:pPr>
    </w:p>
    <w:p>
      <w:pPr>
        <w:ind w:left="-7" w:right="40" w:firstLine="444"/>
        <w:spacing w:after="0" w:line="284" w:lineRule="auto"/>
        <w:tabs>
          <w:tab w:leader="none" w:pos="681" w:val="left"/>
        </w:tabs>
        <w:numPr>
          <w:ilvl w:val="1"/>
          <w:numId w:val="1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Capitalization and Other Capital Stock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authorized, issued and outstanding capital stock of the Company is as set forth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The Shares (including the Offered Shares) conform in all material respects to the description thereof contained in the Time of Sale Prospectus. All of the issued and outstanding Shares have been duly authorized and validly issued, are fully paid and nonassessable and have been issued in compliance with all federal and state securities laws.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other than those described in the Registration Statement, the Time of Sale Prospectus and the Prospectus. The descriptions of the Company’s stock option, stock bonus and other stock plans or arrangements, and the options or other rights granted thereunder, set forth in the Registration Statement, the Time of Sale Prospectus and the Prospectus accurately and fairly presents, in all material respects, the information required to be shown with respect to such plans, arrangements, options and rights.</w:t>
      </w:r>
    </w:p>
    <w:p>
      <w:pPr>
        <w:spacing w:after="0" w:line="62" w:lineRule="exact"/>
        <w:rPr>
          <w:rFonts w:ascii="Arial" w:cs="Arial" w:eastAsia="Arial" w:hAnsi="Arial"/>
          <w:sz w:val="16"/>
          <w:szCs w:val="16"/>
          <w:b w:val="1"/>
          <w:bCs w:val="1"/>
          <w:color w:val="auto"/>
        </w:rPr>
      </w:pPr>
    </w:p>
    <w:p>
      <w:pPr>
        <w:ind w:left="-7" w:right="240" w:firstLine="444"/>
        <w:spacing w:after="0" w:line="275" w:lineRule="auto"/>
        <w:tabs>
          <w:tab w:leader="none" w:pos="691"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Exchange 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Shares have been approved for listing on The Nasdaq Global Market (the “</w:t>
      </w:r>
      <w:r>
        <w:rPr>
          <w:rFonts w:ascii="Arial" w:cs="Arial" w:eastAsia="Arial" w:hAnsi="Arial"/>
          <w:sz w:val="18"/>
          <w:szCs w:val="18"/>
          <w:b w:val="1"/>
          <w:bCs w:val="1"/>
          <w:color w:val="auto"/>
        </w:rPr>
        <w:t>Nasdaq</w:t>
      </w:r>
      <w:r>
        <w:rPr>
          <w:rFonts w:ascii="Arial" w:cs="Arial" w:eastAsia="Arial" w:hAnsi="Arial"/>
          <w:sz w:val="18"/>
          <w:szCs w:val="18"/>
          <w:color w:val="auto"/>
        </w:rPr>
        <w:t>”), subject only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official notice of issuance.</w:t>
      </w:r>
    </w:p>
    <w:p>
      <w:pPr>
        <w:spacing w:after="0" w:line="105"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93"/>
          </w:cols>
          <w:pgMar w:left="487" w:top="268" w:right="519" w:bottom="1440" w:gutter="0" w:footer="0" w:header="0"/>
        </w:sectPr>
      </w:pPr>
    </w:p>
    <w:bookmarkStart w:id="230" w:name="page231"/>
    <w:bookmarkEnd w:id="230"/>
    <w:p>
      <w:pPr>
        <w:ind w:left="-40" w:firstLine="444"/>
        <w:spacing w:after="0" w:line="281" w:lineRule="auto"/>
        <w:tabs>
          <w:tab w:leader="none" w:pos="659"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Non-Contravention of Existing Instruments; No Further Authorizations or Approvals Required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is not in violation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charter or by-laws, partnership agreement or operating agreement or similar organizational documents, as applicable, or is in default (or, with the giving of notice or lapse of time, would be in default) (“</w:t>
      </w:r>
      <w:r>
        <w:rPr>
          <w:rFonts w:ascii="Arial" w:cs="Arial" w:eastAsia="Arial" w:hAnsi="Arial"/>
          <w:sz w:val="16"/>
          <w:szCs w:val="16"/>
          <w:b w:val="1"/>
          <w:bCs w:val="1"/>
          <w:color w:val="auto"/>
        </w:rPr>
        <w:t>Default</w:t>
      </w:r>
      <w:r>
        <w:rPr>
          <w:rFonts w:ascii="Arial" w:cs="Arial" w:eastAsia="Arial" w:hAnsi="Arial"/>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is a party or by which it or any of them may be bound, or to which any of its properties or assets are subject (each, an “</w:t>
      </w:r>
      <w:r>
        <w:rPr>
          <w:rFonts w:ascii="Arial" w:cs="Arial" w:eastAsia="Arial" w:hAnsi="Arial"/>
          <w:sz w:val="16"/>
          <w:szCs w:val="16"/>
          <w:b w:val="1"/>
          <w:bCs w:val="1"/>
          <w:color w:val="auto"/>
        </w:rPr>
        <w:t>Existing Instrument</w:t>
      </w:r>
      <w:r>
        <w:rPr>
          <w:rFonts w:ascii="Arial" w:cs="Arial" w:eastAsia="Arial" w:hAnsi="Arial"/>
          <w:sz w:val="16"/>
          <w:szCs w:val="16"/>
          <w:color w:val="auto"/>
        </w:rPr>
        <w:t>”), except for such Defaults as could not be expected, individually or in the aggregate, to result in a Material Adverse Change. The Company’s 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(ii) will not conflict with or constitute a breach of, or Default or a Debt Repayment Triggering Event (as defined below) under, or result in the creation or imposition of any lien, charge or encumbrance upon any property or assets of the Company pursuant to, or require the consent of any other party to, any Existing Instrument, except as would not reasonably be expected, individually or in the aggregate, to result in a Material Adverse Change, and (iii) will not result in any violation of any law, administrative regulation or administrative or court decree applicable to the Company, except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(A) such as have been obtained or made by the Company and are in full force and effect under the Securities Act and such as may be required under applicable state securities or blue sky laws or FINRA and (B) such as have been obtained under the laws and regulations of jurisdictions outside the United States in which Directed Shares are offered. As used herein, a “</w:t>
      </w:r>
      <w:r>
        <w:rPr>
          <w:rFonts w:ascii="Arial" w:cs="Arial" w:eastAsia="Arial" w:hAnsi="Arial"/>
          <w:sz w:val="16"/>
          <w:szCs w:val="16"/>
          <w:b w:val="1"/>
          <w:bCs w:val="1"/>
          <w:color w:val="auto"/>
        </w:rPr>
        <w:t>Debt</w:t>
      </w:r>
      <w:r>
        <w:rPr>
          <w:rFonts w:ascii="Arial" w:cs="Arial" w:eastAsia="Arial" w:hAnsi="Arial"/>
          <w:sz w:val="16"/>
          <w:szCs w:val="16"/>
          <w:color w:val="auto"/>
        </w:rPr>
        <w:t xml:space="preserve"> </w:t>
      </w:r>
      <w:r>
        <w:rPr>
          <w:rFonts w:ascii="Arial" w:cs="Arial" w:eastAsia="Arial" w:hAnsi="Arial"/>
          <w:sz w:val="16"/>
          <w:szCs w:val="16"/>
          <w:b w:val="1"/>
          <w:bCs w:val="1"/>
          <w:color w:val="auto"/>
        </w:rPr>
        <w:t>Repayment Triggering Event</w:t>
      </w:r>
      <w:r>
        <w:rPr>
          <w:rFonts w:ascii="Arial" w:cs="Arial" w:eastAsia="Arial" w:hAnsi="Arial"/>
          <w:sz w:val="16"/>
          <w:szCs w:val="16"/>
          <w:color w:val="auto"/>
        </w:rPr>
        <w:t>” means any event or condition which gives, or with the giving of notice or lapse of time would give, the holder of any</w:t>
      </w:r>
      <w:r>
        <w:rPr>
          <w:rFonts w:ascii="Arial" w:cs="Arial" w:eastAsia="Arial" w:hAnsi="Arial"/>
          <w:sz w:val="16"/>
          <w:szCs w:val="16"/>
          <w:b w:val="1"/>
          <w:bCs w:val="1"/>
          <w:color w:val="auto"/>
        </w:rPr>
        <w:t xml:space="preserve"> </w:t>
      </w:r>
      <w:r>
        <w:rPr>
          <w:rFonts w:ascii="Arial" w:cs="Arial" w:eastAsia="Arial" w:hAnsi="Arial"/>
          <w:sz w:val="16"/>
          <w:szCs w:val="16"/>
          <w:color w:val="auto"/>
        </w:rPr>
        <w:t>note, debenture or other evidence of indebtedness (or any person acting on such holder’s behalf) the right to require the repurchase, redemption or repayment of all or a portion of such indebtedness by the Company.</w:t>
      </w:r>
    </w:p>
    <w:p>
      <w:pPr>
        <w:spacing w:after="0" w:line="76" w:lineRule="exact"/>
        <w:rPr>
          <w:rFonts w:ascii="Arial" w:cs="Arial" w:eastAsia="Arial" w:hAnsi="Arial"/>
          <w:sz w:val="16"/>
          <w:szCs w:val="16"/>
          <w:b w:val="1"/>
          <w:bCs w:val="1"/>
          <w:color w:val="auto"/>
        </w:rPr>
      </w:pPr>
    </w:p>
    <w:p>
      <w:pPr>
        <w:ind w:left="-40" w:right="20" w:firstLine="444"/>
        <w:spacing w:after="0" w:line="271" w:lineRule="auto"/>
        <w:tabs>
          <w:tab w:leader="none" w:pos="639"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Laws. </w:t>
      </w:r>
      <w:r>
        <w:rPr>
          <w:rFonts w:ascii="Arial" w:cs="Arial" w:eastAsia="Arial" w:hAnsi="Arial"/>
          <w:sz w:val="18"/>
          <w:szCs w:val="18"/>
          <w:color w:val="auto"/>
        </w:rPr>
        <w:t>The Company has been and is in compliance with all applicable laws, rules and regulations, except where failure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 in compliance would not be expected, individually or in the aggregate, to result in a Material Adverse Change.</w:t>
      </w:r>
    </w:p>
    <w:p>
      <w:pPr>
        <w:spacing w:after="0" w:line="63" w:lineRule="exact"/>
        <w:rPr>
          <w:rFonts w:ascii="Arial" w:cs="Arial" w:eastAsia="Arial" w:hAnsi="Arial"/>
          <w:sz w:val="18"/>
          <w:szCs w:val="18"/>
          <w:b w:val="1"/>
          <w:bCs w:val="1"/>
          <w:color w:val="auto"/>
        </w:rPr>
      </w:pPr>
    </w:p>
    <w:p>
      <w:pPr>
        <w:ind w:left="-40" w:right="60" w:firstLine="444"/>
        <w:spacing w:after="0" w:line="255" w:lineRule="auto"/>
        <w:tabs>
          <w:tab w:leader="none" w:pos="629"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Material Actions or Proceedings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is no action, suit, proceeding, inquiry or investigation brought by or before any legal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governmental entity now pending or, to the knowledge of the Company, threatened, against or affecting the Company, which could be expected, individually or in the aggregate, to result in a Material Adverse Change. No material labor dispute with the employees of the Company, or with the employees of any principal supplier, manufacturer, customer or contractor of the Company, exists or, to the knowledge of the Company, is threatened or imminent.</w:t>
      </w:r>
    </w:p>
    <w:p>
      <w:pPr>
        <w:spacing w:after="0" w:line="77" w:lineRule="exact"/>
        <w:rPr>
          <w:rFonts w:ascii="Arial" w:cs="Arial" w:eastAsia="Arial" w:hAnsi="Arial"/>
          <w:sz w:val="18"/>
          <w:szCs w:val="18"/>
          <w:b w:val="1"/>
          <w:bCs w:val="1"/>
          <w:color w:val="auto"/>
        </w:rPr>
      </w:pPr>
    </w:p>
    <w:p>
      <w:pPr>
        <w:ind w:left="-40" w:right="160" w:firstLine="444"/>
        <w:spacing w:after="0" w:line="294" w:lineRule="auto"/>
        <w:tabs>
          <w:tab w:leader="none" w:pos="619"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Intellectual Property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owns, or has obtained valid and enforceable licenses for, the inventions, patent applications,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patents, trademarks, trade names, service names, copyrights, trade secrets and other intellectual property described in the Registration Statement, the Time of Sale Prospectus and the Prospectus as being owned or licensed by them or which, to the Company’s knowledge, are necessary for the conduct of its business as described in the Registration Statement, the Time of Sale Prospectus and the Prospectus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To the Company’s knowledge, the conduct of its business does not and will not infringe, misappropriate or otherwise conflict 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520" w:top="268" w:right="519" w:bottom="1440" w:gutter="0" w:footer="0" w:header="0"/>
        </w:sectPr>
      </w:pPr>
    </w:p>
    <w:bookmarkStart w:id="231" w:name="page232"/>
    <w:bookmarkEnd w:id="231"/>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material respect with any valid and enforceable rights of others. The Intellectual Property of the Company has not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except for customary reversionary rights of third-party licensors with respect to Intellectual Property that is disclosed in the Registration Statement, the Time of Sale Prospectus and the Prospectus as licensed to the Company; and (ii) there is no infringement by third parties of any Intellectual Property. There is no pending or, to the Company’s knowledge, except as would not individually or in the aggregate, have or would reasonably be expected to have a Material Adverse Effect,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that would form a reasonable basis for any such action, suit, proceeding or claim; or (C) asserting that the Company infringes or otherwise violates, or would, upon the commercialization of any product or service described in the Registration Statement, the Time of Sale Prospectus or the Prospectus as under development, infringe or violate, any patent, trademark, trade name, service name, copyright, trade secret or other proprietary rights of others. To the Company’s knowledge, the Company has materially complied with the terms of each agreement pursuant to which Intellectual Property has been licensed to the Company, and, to the Company’s knowledge, all such agreements are in full force and effect. To the Company’s knowledge, there are no material defects in any of the patents or patent applications included in the Intellectual Property. To the Company’s knowledge, the Company has taken reasonable steps to protect, maintain and safeguard its Intellectual Property, including the execution of appropriate nondisclosure, confidentiality agreements and invention assignment agreements and invention assignments with their employees, and, to the Company’s knowledge, no employee of the Company is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To the Company’s knowledge, the duty of candor and good faith as required by the United States Patent and Trademark Office during the prosecution of the United States patents and patent applications included in the Intellectual Property have been complied with; and to the Company’s knowledge, in all foreign offices having similar requirements, all such requirements have been complied with. To the Company’s knowledge, none of the Company owned Intellectual Property or technology (including information technology and outsourced arrangements) employed by the Company has been obtained or is being used by the Company in violation of any contractual obligation binding on the Company or any of its officers, directors or employees or otherwise in violation of the rights of any persons.</w:t>
      </w:r>
    </w:p>
    <w:p>
      <w:pPr>
        <w:spacing w:after="0" w:line="67" w:lineRule="exact"/>
        <w:rPr>
          <w:sz w:val="20"/>
          <w:szCs w:val="20"/>
          <w:color w:val="auto"/>
        </w:rPr>
      </w:pPr>
    </w:p>
    <w:p>
      <w:pPr>
        <w:ind w:right="140" w:firstLine="444"/>
        <w:spacing w:after="0" w:line="291" w:lineRule="auto"/>
        <w:tabs>
          <w:tab w:leader="none" w:pos="699"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All Necessary Permits, etc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possesses such valid and current certificates, authorizations or permits required by state, federal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foreign regulatory agencies or bodies to conduct its businesses as currently conducted and as described in the Registration Statement, the Time of Sale Prospectus or the Prospectus (“</w:t>
      </w:r>
      <w:r>
        <w:rPr>
          <w:rFonts w:ascii="Arial" w:cs="Arial" w:eastAsia="Arial" w:hAnsi="Arial"/>
          <w:sz w:val="16"/>
          <w:szCs w:val="16"/>
          <w:b w:val="1"/>
          <w:bCs w:val="1"/>
          <w:color w:val="auto"/>
        </w:rPr>
        <w:t>Permits</w:t>
      </w:r>
      <w:r>
        <w:rPr>
          <w:rFonts w:ascii="Arial" w:cs="Arial" w:eastAsia="Arial" w:hAnsi="Arial"/>
          <w:sz w:val="16"/>
          <w:szCs w:val="16"/>
          <w:color w:val="auto"/>
        </w:rPr>
        <w:t>”), except where failure to so possess would not reasonably be expected, individually or in the aggregate, to result in a Material Adverse Change. The Company is not in violation of, or in default under, any of the Permits and has not received any notice of proceedings relating to the revocation or modification of, or non-compliance with, any such certificate, authorization or permit, except as would not reasonably be expected, individually or in the aggregate, to result in a Material Adverse Effect.</w:t>
      </w:r>
    </w:p>
    <w:p>
      <w:pPr>
        <w:spacing w:after="0" w:line="52" w:lineRule="exact"/>
        <w:rPr>
          <w:rFonts w:ascii="Arial" w:cs="Arial" w:eastAsia="Arial" w:hAnsi="Arial"/>
          <w:sz w:val="16"/>
          <w:szCs w:val="16"/>
          <w:b w:val="1"/>
          <w:bCs w:val="1"/>
          <w:color w:val="auto"/>
        </w:rPr>
      </w:pPr>
    </w:p>
    <w:p>
      <w:pPr>
        <w:jc w:val="both"/>
        <w:ind w:right="60" w:firstLine="444"/>
        <w:spacing w:after="0" w:line="284" w:lineRule="auto"/>
        <w:tabs>
          <w:tab w:leader="none" w:pos="689"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Title to Properties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have good and marketable title to all of the real and personal property and other assets reflected as owned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financial statements referred to in Section 1(k) above (or elsewhere in the Registration Statement, the Time of Sale Prospectus or the Prospectus), in each case free and clear of any security interests, mortgages, liens, encumbrances, equities, adverse claims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2" w:right="499" w:bottom="1440" w:gutter="0" w:footer="0" w:header="0"/>
        </w:sectPr>
      </w:pPr>
    </w:p>
    <w:bookmarkStart w:id="232" w:name="page233"/>
    <w:bookmarkEnd w:id="232"/>
    <w:p>
      <w:pPr>
        <w:ind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other defects, except where failure to so possess would not reasonably be expected, individually or in the aggregate, to result in a Material Adverse Change (provided that, for the avoidance of doubt, rights to Intellectual Property are addressed exclusively in Section 1(t) above). The real property, improvements, equipment and personal property held under lease by the Company are held under valid and enforceable leases, with such exceptions as are not material and do not materially interfere with the use made or proposed to be made of such real property, improvements, equipment or personal property by the Company.</w:t>
      </w:r>
    </w:p>
    <w:p>
      <w:pPr>
        <w:spacing w:after="0" w:line="82" w:lineRule="exact"/>
        <w:rPr>
          <w:sz w:val="20"/>
          <w:szCs w:val="20"/>
          <w:color w:val="auto"/>
        </w:rPr>
      </w:pPr>
    </w:p>
    <w:p>
      <w:pPr>
        <w:ind w:right="120" w:firstLine="444"/>
        <w:spacing w:after="0" w:line="253" w:lineRule="auto"/>
        <w:tabs>
          <w:tab w:leader="none" w:pos="728"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Tax Law Compliance</w:t>
      </w:r>
      <w:r>
        <w:rPr>
          <w:rFonts w:ascii="Arial" w:cs="Arial" w:eastAsia="Arial" w:hAnsi="Arial"/>
          <w:sz w:val="18"/>
          <w:szCs w:val="18"/>
          <w:b w:val="1"/>
          <w:bCs w:val="1"/>
          <w:color w:val="auto"/>
        </w:rPr>
        <w:t>. The Company has filed all necessary federal, state and foreign income and franchise tax returns or have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properly requested extensions thereof and has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Section 1(k) above in respect of all federal, state and foreign income and franchise taxes for all periods as to which the tax liability of the Company has not been finally determined.</w:t>
      </w:r>
    </w:p>
    <w:p>
      <w:pPr>
        <w:spacing w:after="0" w:line="81" w:lineRule="exact"/>
        <w:rPr>
          <w:rFonts w:ascii="Arial" w:cs="Arial" w:eastAsia="Arial" w:hAnsi="Arial"/>
          <w:sz w:val="18"/>
          <w:szCs w:val="18"/>
          <w:b w:val="1"/>
          <w:bCs w:val="1"/>
          <w:color w:val="auto"/>
        </w:rPr>
      </w:pPr>
    </w:p>
    <w:p>
      <w:pPr>
        <w:ind w:firstLine="444"/>
        <w:spacing w:after="0" w:line="289" w:lineRule="auto"/>
        <w:tabs>
          <w:tab w:leader="none" w:pos="689"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of the Company is insured by recognized, financially sound and reputable institutions with policies in such amounts and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deductibles and covering such risks as are generally deemed adequate and customary for its business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could not be expected to result in a Material Adverse Change. The Company has not been denied any insurance coverage which it has sought or for which it has applied.</w:t>
      </w:r>
    </w:p>
    <w:p>
      <w:pPr>
        <w:spacing w:after="0" w:line="54" w:lineRule="exact"/>
        <w:rPr>
          <w:rFonts w:ascii="Arial" w:cs="Arial" w:eastAsia="Arial" w:hAnsi="Arial"/>
          <w:sz w:val="16"/>
          <w:szCs w:val="16"/>
          <w:b w:val="1"/>
          <w:bCs w:val="1"/>
          <w:color w:val="auto"/>
        </w:rPr>
      </w:pPr>
    </w:p>
    <w:p>
      <w:pPr>
        <w:ind w:left="700" w:hanging="256"/>
        <w:spacing w:after="0"/>
        <w:tabs>
          <w:tab w:leader="none" w:pos="700"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Environmental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could not be expected, individually or in the aggregate, to result in a Material Adverse</w:t>
      </w:r>
    </w:p>
    <w:p>
      <w:pPr>
        <w:spacing w:after="0" w:line="46" w:lineRule="exact"/>
        <w:rPr>
          <w:rFonts w:ascii="Arial" w:cs="Arial" w:eastAsia="Arial" w:hAnsi="Arial"/>
          <w:sz w:val="16"/>
          <w:szCs w:val="16"/>
          <w:b w:val="1"/>
          <w:bCs w:val="1"/>
          <w:color w:val="auto"/>
        </w:rPr>
      </w:pPr>
    </w:p>
    <w:p>
      <w:pPr>
        <w:spacing w:after="0" w:line="264" w:lineRule="auto"/>
        <w:rPr>
          <w:rFonts w:ascii="Arial" w:cs="Arial" w:eastAsia="Arial" w:hAnsi="Arial"/>
          <w:sz w:val="16"/>
          <w:szCs w:val="16"/>
          <w:b w:val="1"/>
          <w:bCs w:val="1"/>
          <w:color w:val="auto"/>
        </w:rPr>
      </w:pPr>
      <w:r>
        <w:rPr>
          <w:rFonts w:ascii="Arial" w:cs="Arial" w:eastAsia="Arial" w:hAnsi="Arial"/>
          <w:sz w:val="17"/>
          <w:szCs w:val="17"/>
          <w:color w:val="auto"/>
        </w:rPr>
        <w:t>Change: (i) the Company is not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b w:val="1"/>
          <w:bCs w:val="1"/>
          <w:color w:val="auto"/>
        </w:rPr>
        <w:t>Environmental</w:t>
      </w:r>
      <w:r>
        <w:rPr>
          <w:rFonts w:ascii="Arial" w:cs="Arial" w:eastAsia="Arial" w:hAnsi="Arial"/>
          <w:sz w:val="17"/>
          <w:szCs w:val="17"/>
          <w:color w:val="auto"/>
        </w:rPr>
        <w:t xml:space="preserve"> </w:t>
      </w:r>
      <w:r>
        <w:rPr>
          <w:rFonts w:ascii="Arial" w:cs="Arial" w:eastAsia="Arial" w:hAnsi="Arial"/>
          <w:sz w:val="17"/>
          <w:szCs w:val="17"/>
          <w:b w:val="1"/>
          <w:bCs w:val="1"/>
          <w:color w:val="auto"/>
        </w:rPr>
        <w:t>Laws</w:t>
      </w:r>
      <w:r>
        <w:rPr>
          <w:rFonts w:ascii="Arial" w:cs="Arial" w:eastAsia="Arial" w:hAnsi="Arial"/>
          <w:sz w:val="17"/>
          <w:szCs w:val="17"/>
          <w:color w:val="auto"/>
        </w:rPr>
        <w:t>”); (ii) the Company has all permits, authorizations and approvals required under any applicable Environmental Laws and is in compliance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and (iv) to the Company’s knowledge, there are no events or circumstances that might reasonably be expected to form the basis of an order for clean-up or remediation, or an action, suit or proceeding by any private party or governmental body or agency, against or affecting the Company relating to Hazardous Materials or any Environmental Laws.</w:t>
      </w:r>
    </w:p>
    <w:p>
      <w:pPr>
        <w:spacing w:after="0" w:line="81" w:lineRule="exact"/>
        <w:rPr>
          <w:rFonts w:ascii="Arial" w:cs="Arial" w:eastAsia="Arial" w:hAnsi="Arial"/>
          <w:sz w:val="16"/>
          <w:szCs w:val="16"/>
          <w:b w:val="1"/>
          <w:bCs w:val="1"/>
          <w:color w:val="auto"/>
        </w:rPr>
      </w:pPr>
    </w:p>
    <w:p>
      <w:pPr>
        <w:ind w:right="160" w:firstLine="444"/>
        <w:spacing w:after="0" w:line="259" w:lineRule="auto"/>
        <w:tabs>
          <w:tab w:leader="none" w:pos="679" w:val="left"/>
        </w:tabs>
        <w:numPr>
          <w:ilvl w:val="0"/>
          <w:numId w:val="139"/>
        </w:numPr>
        <w:rPr>
          <w:rFonts w:ascii="Arial" w:cs="Arial" w:eastAsia="Arial" w:hAnsi="Arial"/>
          <w:sz w:val="18"/>
          <w:szCs w:val="18"/>
          <w:color w:val="auto"/>
        </w:rPr>
      </w:pPr>
      <w:r>
        <w:rPr>
          <w:rFonts w:ascii="Arial" w:cs="Arial" w:eastAsia="Arial" w:hAnsi="Arial"/>
          <w:sz w:val="18"/>
          <w:szCs w:val="18"/>
          <w:b w:val="1"/>
          <w:bCs w:val="1"/>
          <w:i w:val="1"/>
          <w:iCs w:val="1"/>
          <w:color w:val="auto"/>
        </w:rPr>
        <w:t>ERISA Compliance</w:t>
      </w:r>
      <w:r>
        <w:rPr>
          <w:rFonts w:ascii="Arial" w:cs="Arial" w:eastAsia="Arial" w:hAnsi="Arial"/>
          <w:sz w:val="18"/>
          <w:szCs w:val="18"/>
          <w:color w:val="auto"/>
        </w:rPr>
        <w:t>. The Company and any “employee benefit plan” (as defined under the Employee Retirement Income Security Act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1974, as amended, and the regulations and published interpretations thereunder (collectively, “ERISA”)) established or maintained by the Company or its “ERISA Affiliates” (as defined below) are in compliance in all material respects with ERISA. “ERISA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72" w:right="519" w:bottom="1440" w:gutter="0" w:footer="0" w:header="0"/>
        </w:sectPr>
      </w:pPr>
    </w:p>
    <w:bookmarkStart w:id="233" w:name="page234"/>
    <w:bookmarkEnd w:id="233"/>
    <w:p>
      <w:pPr>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Affiliate</w:t>
      </w:r>
      <w:r>
        <w:rPr>
          <w:rFonts w:ascii="Arial" w:cs="Arial" w:eastAsia="Arial" w:hAnsi="Arial"/>
          <w:sz w:val="16"/>
          <w:szCs w:val="16"/>
          <w:color w:val="auto"/>
        </w:rPr>
        <w:t>” means, with respect to the Company, any member of any group of organizations described in Sections 414(b), (c), (m) or (o) of the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Code of 1986, as amended, and the regulations and published interpretations thereunder (the “</w:t>
      </w:r>
      <w:r>
        <w:rPr>
          <w:rFonts w:ascii="Arial" w:cs="Arial" w:eastAsia="Arial" w:hAnsi="Arial"/>
          <w:sz w:val="16"/>
          <w:szCs w:val="16"/>
          <w:b w:val="1"/>
          <w:bCs w:val="1"/>
          <w:color w:val="auto"/>
        </w:rPr>
        <w:t>Code</w:t>
      </w:r>
      <w:r>
        <w:rPr>
          <w:rFonts w:ascii="Arial" w:cs="Arial" w:eastAsia="Arial" w:hAnsi="Arial"/>
          <w:sz w:val="16"/>
          <w:szCs w:val="16"/>
          <w:color w:val="auto"/>
        </w:rPr>
        <w:t>”)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nothing has occurred, whether by action or failure to act, which would cause the loss of such qualification.</w:t>
      </w:r>
    </w:p>
    <w:p>
      <w:pPr>
        <w:spacing w:after="0" w:line="64" w:lineRule="exact"/>
        <w:rPr>
          <w:sz w:val="20"/>
          <w:szCs w:val="20"/>
          <w:color w:val="auto"/>
        </w:rPr>
      </w:pPr>
    </w:p>
    <w:p>
      <w:pPr>
        <w:ind w:right="200" w:firstLine="444"/>
        <w:spacing w:after="0" w:line="255" w:lineRule="auto"/>
        <w:tabs>
          <w:tab w:leader="none" w:pos="778"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Company Not an “Investment Company.” </w:t>
      </w:r>
      <w:r>
        <w:rPr>
          <w:rFonts w:ascii="Arial" w:cs="Arial" w:eastAsia="Arial" w:hAnsi="Arial"/>
          <w:sz w:val="18"/>
          <w:szCs w:val="18"/>
          <w:color w:val="auto"/>
        </w:rPr>
        <w:t>The Company is not, and will not be, either after receipt of payment for the Offered Shares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79" w:lineRule="exact"/>
        <w:rPr>
          <w:rFonts w:ascii="Arial" w:cs="Arial" w:eastAsia="Arial" w:hAnsi="Arial"/>
          <w:sz w:val="18"/>
          <w:szCs w:val="18"/>
          <w:b w:val="1"/>
          <w:bCs w:val="1"/>
          <w:color w:val="auto"/>
        </w:rPr>
      </w:pPr>
    </w:p>
    <w:p>
      <w:pPr>
        <w:ind w:right="40" w:firstLine="444"/>
        <w:spacing w:after="0" w:line="255" w:lineRule="auto"/>
        <w:tabs>
          <w:tab w:leader="none" w:pos="798"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Price Stabilization or Manipulation; Compliance with Regulation 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not taken, directly or indirectly, without giving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 to activities by the Underwriters, any action designed to or that would reasonably be expected to cause or result in stabilization or manipulation of the price of the Shares or of any “reference security” (as defined in Rule 100 of Regulation M under the Exchange Act (</w:t>
      </w:r>
      <w:r>
        <w:rPr>
          <w:rFonts w:ascii="Arial" w:cs="Arial" w:eastAsia="Arial" w:hAnsi="Arial"/>
          <w:sz w:val="18"/>
          <w:szCs w:val="18"/>
          <w:b w:val="1"/>
          <w:bCs w:val="1"/>
          <w:color w:val="auto"/>
        </w:rPr>
        <w:t>“Regulation M”</w:t>
      </w:r>
      <w:r>
        <w:rPr>
          <w:rFonts w:ascii="Arial" w:cs="Arial" w:eastAsia="Arial" w:hAnsi="Arial"/>
          <w:sz w:val="18"/>
          <w:szCs w:val="18"/>
          <w:color w:val="auto"/>
        </w:rPr>
        <w:t>)) with respect to the Shares, whether to facilitate the sale or resale of the Offered Shares or otherwise, and has taken no action which would directly or indirectly violate Regulation M.</w:t>
      </w:r>
    </w:p>
    <w:p>
      <w:pPr>
        <w:spacing w:after="0" w:line="77" w:lineRule="exact"/>
        <w:rPr>
          <w:rFonts w:ascii="Arial" w:cs="Arial" w:eastAsia="Arial" w:hAnsi="Arial"/>
          <w:sz w:val="18"/>
          <w:szCs w:val="18"/>
          <w:b w:val="1"/>
          <w:bCs w:val="1"/>
          <w:color w:val="auto"/>
        </w:rPr>
      </w:pPr>
    </w:p>
    <w:p>
      <w:pPr>
        <w:ind w:right="340" w:firstLine="444"/>
        <w:spacing w:after="0" w:line="398" w:lineRule="auto"/>
        <w:tabs>
          <w:tab w:leader="none" w:pos="758" w:val="left"/>
        </w:tabs>
        <w:numPr>
          <w:ilvl w:val="0"/>
          <w:numId w:val="140"/>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Related-Party Transactions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There are no business relationships or related-party transactions involving the Company or any other person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required to be described in the Registration Statement, the Time of Sale Prospectus or the Prospectus that have not been described as required.</w:t>
      </w:r>
    </w:p>
    <w:p>
      <w:pPr>
        <w:ind w:right="120" w:firstLine="444"/>
        <w:spacing w:after="0" w:line="255" w:lineRule="auto"/>
        <w:tabs>
          <w:tab w:leader="none" w:pos="798"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FINRA Matters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the information provided to the Underwriters or to counsel for the Underwriters by the Company, its counsel,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and directors and, to the Company’s knowledge, the holders of any securities (debt or equity) or options to acquire any securities of the Company in connection with the offering of the Offered Shares is true, complete, correct in all material respects and compliant with FINRA’s rules and any letters, filings or other supplemental information provided to FINRA pursuant to FINRA Rules or NASD Conduct Rules is true, complete and correct in all material respects.</w:t>
      </w:r>
    </w:p>
    <w:p>
      <w:pPr>
        <w:spacing w:after="0" w:line="77" w:lineRule="exact"/>
        <w:rPr>
          <w:rFonts w:ascii="Arial" w:cs="Arial" w:eastAsia="Arial" w:hAnsi="Arial"/>
          <w:sz w:val="18"/>
          <w:szCs w:val="18"/>
          <w:b w:val="1"/>
          <w:bCs w:val="1"/>
          <w:color w:val="auto"/>
        </w:rPr>
      </w:pPr>
    </w:p>
    <w:p>
      <w:pPr>
        <w:ind w:right="80" w:firstLine="444"/>
        <w:spacing w:after="0" w:line="273" w:lineRule="auto"/>
        <w:tabs>
          <w:tab w:leader="none" w:pos="758"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Parties to Lock-Up Agreements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furnished to the Underwriters a letter agreement in the form attached hereto as</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Lock-up Agreement</w:t>
      </w:r>
      <w:r>
        <w:rPr>
          <w:rFonts w:ascii="Arial" w:cs="Arial" w:eastAsia="Arial" w:hAnsi="Arial"/>
          <w:sz w:val="17"/>
          <w:szCs w:val="17"/>
          <w:color w:val="auto"/>
        </w:rPr>
        <w:t>”) from each of the persons described in Section 6(i). If any additional persons shall become directors or officers of the Company prior to the end of the Company Lock-up Period (as defined below), the Company shall cause each such person, prior to or contemporaneously with their appointment or election as a director or officer of the Company, to execute and deliver to the Representatives a Lock-up Agreement.</w:t>
      </w:r>
    </w:p>
    <w:p>
      <w:pPr>
        <w:spacing w:after="0" w:line="65" w:lineRule="exact"/>
        <w:rPr>
          <w:rFonts w:ascii="Arial" w:cs="Arial" w:eastAsia="Arial" w:hAnsi="Arial"/>
          <w:sz w:val="17"/>
          <w:szCs w:val="17"/>
          <w:b w:val="1"/>
          <w:bCs w:val="1"/>
          <w:color w:val="auto"/>
        </w:rPr>
      </w:pPr>
    </w:p>
    <w:p>
      <w:pPr>
        <w:ind w:right="60" w:firstLine="444"/>
        <w:spacing w:after="0" w:line="309" w:lineRule="auto"/>
        <w:tabs>
          <w:tab w:leader="none" w:pos="718"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Statistical and Market-Related Data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statistical, demographic and market-related data included in the Registration Statement, the Time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 Prospectus or the Prospectus are based on or derived from sources that the Company believes, after reasonable inquiry, to be reliable and accurate in all material respects. To the extent required, the Company has obtained the written consent to the use of such data from such sources.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80" w:top="268" w:right="519" w:bottom="1440" w:gutter="0" w:footer="0" w:header="0"/>
        </w:sectPr>
      </w:pPr>
    </w:p>
    <w:bookmarkStart w:id="234" w:name="page235"/>
    <w:bookmarkEnd w:id="234"/>
    <w:p>
      <w:pPr>
        <w:ind w:left="-7" w:right="160" w:firstLine="444"/>
        <w:spacing w:after="0" w:line="281" w:lineRule="auto"/>
        <w:tabs>
          <w:tab w:leader="none" w:pos="770" w:val="left"/>
        </w:tabs>
        <w:numPr>
          <w:ilvl w:val="1"/>
          <w:numId w:val="14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Sarbanes-Oxley Act. </w:t>
      </w:r>
      <w:r>
        <w:rPr>
          <w:rFonts w:ascii="Arial" w:cs="Arial" w:eastAsia="Arial" w:hAnsi="Arial"/>
          <w:sz w:val="17"/>
          <w:szCs w:val="17"/>
          <w:color w:val="auto"/>
        </w:rPr>
        <w:t>There is, and has been, no failure on the part of the Company or any of the Company’s directors or officers, in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capacities as such, to comply with any applicable provision of the Sarbanes-Oxley Act of 2002, as amended and the rules and regulations promulgated in connection therewith, including Section 402 related to loans and Sections 302 and 906 related to certifications.</w:t>
      </w:r>
    </w:p>
    <w:p>
      <w:pPr>
        <w:spacing w:after="0" w:line="58" w:lineRule="exact"/>
        <w:rPr>
          <w:rFonts w:ascii="Arial" w:cs="Arial" w:eastAsia="Arial" w:hAnsi="Arial"/>
          <w:sz w:val="17"/>
          <w:szCs w:val="17"/>
          <w:b w:val="1"/>
          <w:bCs w:val="1"/>
          <w:color w:val="auto"/>
        </w:rPr>
      </w:pPr>
    </w:p>
    <w:p>
      <w:pPr>
        <w:ind w:left="-7" w:right="80" w:firstLine="444"/>
        <w:spacing w:after="0" w:line="284" w:lineRule="auto"/>
        <w:tabs>
          <w:tab w:leader="none" w:pos="791" w:val="left"/>
        </w:tabs>
        <w:numPr>
          <w:ilvl w:val="1"/>
          <w:numId w:val="14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Unlawful Contributions or Other Payments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to the best of the Company’s knowledge, any employee or agent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55" w:lineRule="exact"/>
        <w:rPr>
          <w:rFonts w:ascii="Arial" w:cs="Arial" w:eastAsia="Arial" w:hAnsi="Arial"/>
          <w:sz w:val="17"/>
          <w:szCs w:val="17"/>
          <w:b w:val="1"/>
          <w:bCs w:val="1"/>
          <w:color w:val="auto"/>
        </w:rPr>
      </w:pPr>
    </w:p>
    <w:p>
      <w:pPr>
        <w:jc w:val="both"/>
        <w:ind w:left="-7" w:right="160" w:firstLine="444"/>
        <w:spacing w:after="0" w:line="290" w:lineRule="auto"/>
        <w:tabs>
          <w:tab w:leader="none" w:pos="691" w:val="left"/>
        </w:tabs>
        <w:numPr>
          <w:ilvl w:val="1"/>
          <w:numId w:val="14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Anti-Corruption and Anti-Bribery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director, officer, or employee of the Company, nor to the knowledge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any agent, affiliate or other person acting on behalf of the Company has, in the course of its actions for, or on behalf of, the Company</w:t>
      </w:r>
    </w:p>
    <w:p>
      <w:pPr>
        <w:ind w:left="-7" w:firstLine="7"/>
        <w:spacing w:after="0" w:line="249" w:lineRule="auto"/>
        <w:tabs>
          <w:tab w:leader="none" w:pos="2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applicable provision of the U.S. Foreign Corrupt Practices Act of 1977, as amended (the “</w:t>
      </w:r>
      <w:r>
        <w:rPr>
          <w:rFonts w:ascii="Arial" w:cs="Arial" w:eastAsia="Arial" w:hAnsi="Arial"/>
          <w:sz w:val="18"/>
          <w:szCs w:val="18"/>
          <w:b w:val="1"/>
          <w:bCs w:val="1"/>
          <w:color w:val="auto"/>
        </w:rPr>
        <w:t>FCPA</w:t>
      </w:r>
      <w:r>
        <w:rPr>
          <w:rFonts w:ascii="Arial" w:cs="Arial" w:eastAsia="Arial" w:hAnsi="Arial"/>
          <w:sz w:val="18"/>
          <w:szCs w:val="18"/>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83" w:lineRule="exact"/>
        <w:rPr>
          <w:rFonts w:ascii="Arial" w:cs="Arial" w:eastAsia="Arial" w:hAnsi="Arial"/>
          <w:sz w:val="18"/>
          <w:szCs w:val="18"/>
          <w:color w:val="auto"/>
        </w:rPr>
      </w:pPr>
    </w:p>
    <w:p>
      <w:pPr>
        <w:ind w:left="-7" w:firstLine="444"/>
        <w:spacing w:after="0" w:line="253" w:lineRule="auto"/>
        <w:tabs>
          <w:tab w:leader="none" w:pos="711" w:val="left"/>
        </w:tabs>
        <w:numPr>
          <w:ilvl w:val="1"/>
          <w:numId w:val="1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Money Laundering Laws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operations of the Company is, and has been conducted at all times, in compliance with applicable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81" w:lineRule="exact"/>
        <w:rPr>
          <w:rFonts w:ascii="Arial" w:cs="Arial" w:eastAsia="Arial" w:hAnsi="Arial"/>
          <w:sz w:val="18"/>
          <w:szCs w:val="18"/>
          <w:b w:val="1"/>
          <w:bCs w:val="1"/>
          <w:color w:val="auto"/>
        </w:rPr>
      </w:pPr>
    </w:p>
    <w:p>
      <w:pPr>
        <w:ind w:left="-7" w:right="200" w:firstLine="444"/>
        <w:spacing w:after="0" w:line="268" w:lineRule="auto"/>
        <w:tabs>
          <w:tab w:leader="none" w:pos="791" w:val="left"/>
        </w:tabs>
        <w:numPr>
          <w:ilvl w:val="1"/>
          <w:numId w:val="14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Sanctions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directors, officers, or employees, nor, to the knowledge of the Company, after due inquiry,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agent, affiliate or other person acting on behalf of the Company is currently the subject or the target of any U.S. sanctions administered by the Office of Foreign Assets Control of the U.S. Department of the Treasury (“</w:t>
      </w:r>
      <w:r>
        <w:rPr>
          <w:rFonts w:ascii="Arial" w:cs="Arial" w:eastAsia="Arial" w:hAnsi="Arial"/>
          <w:sz w:val="17"/>
          <w:szCs w:val="17"/>
          <w:b w:val="1"/>
          <w:bCs w:val="1"/>
          <w:color w:val="auto"/>
        </w:rPr>
        <w:t>OFAC</w:t>
      </w:r>
      <w:r>
        <w:rPr>
          <w:rFonts w:ascii="Arial" w:cs="Arial" w:eastAsia="Arial" w:hAnsi="Arial"/>
          <w:sz w:val="17"/>
          <w:szCs w:val="17"/>
          <w:color w:val="auto"/>
        </w:rPr>
        <w:t>”) or the U.S. Department of State, the United Nations Security Council, the European Union, Her Majesty’s Treasury of the United Kingdom,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 is the Company located, organized or resident in a country or territory that is the subject or the target of Sanctions including, without limitation, Crimea, Cuba, Iran, North Korea, and Syria (collectively, “</w:t>
      </w:r>
      <w:r>
        <w:rPr>
          <w:rFonts w:ascii="Arial" w:cs="Arial" w:eastAsia="Arial" w:hAnsi="Arial"/>
          <w:sz w:val="17"/>
          <w:szCs w:val="17"/>
          <w:b w:val="1"/>
          <w:bCs w:val="1"/>
          <w:color w:val="auto"/>
        </w:rPr>
        <w:t>Sanctioned Countries</w:t>
      </w:r>
      <w:r>
        <w:rPr>
          <w:rFonts w:ascii="Arial" w:cs="Arial" w:eastAsia="Arial" w:hAnsi="Arial"/>
          <w:sz w:val="17"/>
          <w:szCs w:val="17"/>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is a Sanctioned</w:t>
      </w:r>
    </w:p>
    <w:p>
      <w:pPr>
        <w:spacing w:after="0" w:line="112"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93"/>
          </w:cols>
          <w:pgMar w:left="487" w:top="272" w:right="519" w:bottom="1440" w:gutter="0" w:footer="0" w:header="0"/>
        </w:sectPr>
      </w:pPr>
    </w:p>
    <w:bookmarkStart w:id="235" w:name="page236"/>
    <w:bookmarkEnd w:id="23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Country, respectively, or in any other manner that will result in a violation by any person (including any person participating in the transaction whether as underwriter, advisor, investor or otherwise) of applicable Sanctions. For the past five years, the Company has not knowingly engaged in and is not now knowingly engaged in any dealings or transactions with any person that at the time of the dealing or transaction is or was the subject or the target of Sanctions or with any Sanctioned Country.</w:t>
      </w:r>
    </w:p>
    <w:p>
      <w:pPr>
        <w:spacing w:after="0" w:line="79" w:lineRule="exact"/>
        <w:rPr>
          <w:sz w:val="20"/>
          <w:szCs w:val="20"/>
          <w:color w:val="auto"/>
        </w:rPr>
      </w:pPr>
    </w:p>
    <w:p>
      <w:pPr>
        <w:ind w:right="720" w:firstLine="444"/>
        <w:spacing w:after="0" w:line="306" w:lineRule="auto"/>
        <w:tabs>
          <w:tab w:leader="none" w:pos="699"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Brokers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pursuant to this Agreement, there is no broker, finder or other party that is entitled to receive from the Company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brokerage or finder’s fee or other fee or commission as a result of any transactions contemplated by this Agreement.</w:t>
      </w:r>
    </w:p>
    <w:p>
      <w:pPr>
        <w:spacing w:after="0" w:line="40" w:lineRule="exact"/>
        <w:rPr>
          <w:rFonts w:ascii="Arial" w:cs="Arial" w:eastAsia="Arial" w:hAnsi="Arial"/>
          <w:sz w:val="17"/>
          <w:szCs w:val="17"/>
          <w:b w:val="1"/>
          <w:bCs w:val="1"/>
          <w:color w:val="auto"/>
        </w:rPr>
      </w:pPr>
    </w:p>
    <w:p>
      <w:pPr>
        <w:ind w:right="20" w:firstLine="444"/>
        <w:spacing w:after="0" w:line="270" w:lineRule="auto"/>
        <w:tabs>
          <w:tab w:leader="none" w:pos="897"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Forward-Looking Statements. </w:t>
      </w:r>
      <w:r>
        <w:rPr>
          <w:rFonts w:ascii="Arial" w:cs="Arial" w:eastAsia="Arial" w:hAnsi="Arial"/>
          <w:sz w:val="17"/>
          <w:szCs w:val="17"/>
          <w:color w:val="auto"/>
        </w:rPr>
        <w:t>Each financial or operational projection or other “forward-looking statement” (as defined by Section 27A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71" w:lineRule="exact"/>
        <w:rPr>
          <w:rFonts w:ascii="Arial" w:cs="Arial" w:eastAsia="Arial" w:hAnsi="Arial"/>
          <w:sz w:val="17"/>
          <w:szCs w:val="17"/>
          <w:b w:val="1"/>
          <w:bCs w:val="1"/>
          <w:color w:val="auto"/>
        </w:rPr>
      </w:pPr>
    </w:p>
    <w:p>
      <w:pPr>
        <w:jc w:val="both"/>
        <w:ind w:right="340" w:firstLine="444"/>
        <w:spacing w:after="0" w:line="259" w:lineRule="auto"/>
        <w:tabs>
          <w:tab w:leader="none" w:pos="798"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Outstanding Loans or Other Extensions of Credit</w:t>
      </w:r>
      <w:r>
        <w:rPr>
          <w:rFonts w:ascii="Arial" w:cs="Arial" w:eastAsia="Arial" w:hAnsi="Arial"/>
          <w:sz w:val="18"/>
          <w:szCs w:val="18"/>
          <w:color w:val="auto"/>
        </w:rPr>
        <w:t>. The Company does not have any outstanding extension of credit, in the form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loan, to or for any director or executive officer (or equivalent thereof) of the Company except for such extensions of credit as are expressly permitted by Section 13(k) of the Exchange Act.</w:t>
      </w:r>
    </w:p>
    <w:p>
      <w:pPr>
        <w:spacing w:after="0" w:line="78" w:lineRule="exact"/>
        <w:rPr>
          <w:rFonts w:ascii="Arial" w:cs="Arial" w:eastAsia="Arial" w:hAnsi="Arial"/>
          <w:sz w:val="18"/>
          <w:szCs w:val="18"/>
          <w:b w:val="1"/>
          <w:bCs w:val="1"/>
          <w:color w:val="auto"/>
        </w:rPr>
      </w:pPr>
    </w:p>
    <w:p>
      <w:pPr>
        <w:ind w:firstLine="444"/>
        <w:spacing w:after="0" w:line="265" w:lineRule="auto"/>
        <w:tabs>
          <w:tab w:leader="none" w:pos="778"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Cybersecurity</w:t>
      </w:r>
      <w:r>
        <w:rPr>
          <w:rFonts w:ascii="Arial" w:cs="Arial" w:eastAsia="Arial" w:hAnsi="Arial"/>
          <w:sz w:val="17"/>
          <w:szCs w:val="17"/>
          <w:color w:val="auto"/>
        </w:rPr>
        <w:t>. The Company’s information technology assets and equipment, computers, systems, networks, hardware, software, websites,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applications, and databases (collectively, “</w:t>
      </w:r>
      <w:r>
        <w:rPr>
          <w:rFonts w:ascii="Arial" w:cs="Arial" w:eastAsia="Arial" w:hAnsi="Arial"/>
          <w:sz w:val="17"/>
          <w:szCs w:val="17"/>
          <w:b w:val="1"/>
          <w:bCs w:val="1"/>
          <w:color w:val="auto"/>
        </w:rPr>
        <w:t>IT Systems</w:t>
      </w:r>
      <w:r>
        <w:rPr>
          <w:rFonts w:ascii="Arial" w:cs="Arial" w:eastAsia="Arial" w:hAnsi="Arial"/>
          <w:sz w:val="17"/>
          <w:szCs w:val="17"/>
          <w:color w:val="auto"/>
        </w:rPr>
        <w:t>”) are materially adequate for, and operate and perform in all material respects as required in connection with the operation of the business of the Company as currently conducted. The IT Systems that are critical to the operation of the Company’s business contain no material bugs, errors, defects, Trojan horses, time bombs, malware and other corruptants. The Company has implemented and maintained commercially reasonable physical, technical and administrative controls reasonably designed to maintain and protect (a) its material confidential information (b) the integrity and security of all IT Systems and the continuous operation and redundancy of those IT Systems that are critical to the operation of the Company’s business; and (c) “Personal Data,” used in connection with its businesses. “</w:t>
      </w:r>
      <w:r>
        <w:rPr>
          <w:rFonts w:ascii="Arial" w:cs="Arial" w:eastAsia="Arial" w:hAnsi="Arial"/>
          <w:sz w:val="17"/>
          <w:szCs w:val="17"/>
          <w:b w:val="1"/>
          <w:bCs w:val="1"/>
          <w:color w:val="auto"/>
        </w:rPr>
        <w:t>Personal Data</w:t>
      </w:r>
      <w:r>
        <w:rPr>
          <w:rFonts w:ascii="Arial" w:cs="Arial" w:eastAsia="Arial" w:hAnsi="Arial"/>
          <w:sz w:val="17"/>
          <w:szCs w:val="17"/>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regulated under Section 5 of the Federal Trade Commission Act, as amended; (iii) “personal data” as defined by GDPR; and any other piece of information that allows the identification of such natural person. There have been no material breaches, outages or unauthorized uses of or accesses to the Company’s IT Systems and no material unauthorized uses or access to Personal Data, except for those that have been remedied without material cost or liability or the duty to notify any other person, nor any incidents under internal review or investigations relating to the same. To the Company’s knowledge, the Company is presently in material compliance with all applicable laws or statutes and all judgments and orders binding on the Company, applicable binding rules and regulations of any court or arbitrator or governmental or regulatory authority, and internal policies and contractual obligations, each relating to the privacy and security of IT Systems and Personal Data and to the protection of such IT Systems and Personal Data from unauthorized use, access, misappropriation or modification.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272" w:right="499" w:bottom="1440" w:gutter="0" w:footer="0" w:header="0"/>
        </w:sectPr>
      </w:pPr>
    </w:p>
    <w:bookmarkStart w:id="236" w:name="page237"/>
    <w:bookmarkEnd w:id="236"/>
    <w:p>
      <w:pPr>
        <w:ind w:left="-20" w:firstLine="444"/>
        <w:spacing w:after="0" w:line="266" w:lineRule="auto"/>
        <w:tabs>
          <w:tab w:leader="none" w:pos="778"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Compliance with Data Privacy Laws</w:t>
      </w:r>
      <w:r>
        <w:rPr>
          <w:rFonts w:ascii="Arial" w:cs="Arial" w:eastAsia="Arial" w:hAnsi="Arial"/>
          <w:sz w:val="17"/>
          <w:szCs w:val="17"/>
          <w:color w:val="auto"/>
        </w:rPr>
        <w:t>. The Company is in material compliance with all applicable state and federal data privacy and security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laws and regulations, including without limitation HIPAA, and since May 25, 2018, the Company has been and currently is in material compliance with, the European Union General Data Protection Regulation (“</w:t>
      </w:r>
      <w:r>
        <w:rPr>
          <w:rFonts w:ascii="Arial" w:cs="Arial" w:eastAsia="Arial" w:hAnsi="Arial"/>
          <w:sz w:val="17"/>
          <w:szCs w:val="17"/>
          <w:b w:val="1"/>
          <w:bCs w:val="1"/>
          <w:color w:val="auto"/>
        </w:rPr>
        <w:t>GDPR</w:t>
      </w:r>
      <w:r>
        <w:rPr>
          <w:rFonts w:ascii="Arial" w:cs="Arial" w:eastAsia="Arial" w:hAnsi="Arial"/>
          <w:sz w:val="17"/>
          <w:szCs w:val="17"/>
          <w:color w:val="auto"/>
        </w:rPr>
        <w:t>”) (EU 2016/679) and all applicable national data protection laws in effect in the United Kingdom and the member states of the European Union (collectively, the “</w:t>
      </w:r>
      <w:r>
        <w:rPr>
          <w:rFonts w:ascii="Arial" w:cs="Arial" w:eastAsia="Arial" w:hAnsi="Arial"/>
          <w:sz w:val="17"/>
          <w:szCs w:val="17"/>
          <w:b w:val="1"/>
          <w:bCs w:val="1"/>
          <w:color w:val="auto"/>
        </w:rPr>
        <w:t>Privacy Laws</w:t>
      </w:r>
      <w:r>
        <w:rPr>
          <w:rFonts w:ascii="Arial" w:cs="Arial" w:eastAsia="Arial" w:hAnsi="Arial"/>
          <w:sz w:val="17"/>
          <w:szCs w:val="17"/>
          <w:color w:val="auto"/>
        </w:rPr>
        <w:t>”). The Company has in place, materially complies with, and takes appropriate steps reasonably designed to ensure compliance in all material respects with its policies and procedures relating to data privacy and security and the collection, storage, use, disclosure, handling, and analysis of Personal Data (the “</w:t>
      </w:r>
      <w:r>
        <w:rPr>
          <w:rFonts w:ascii="Arial" w:cs="Arial" w:eastAsia="Arial" w:hAnsi="Arial"/>
          <w:sz w:val="17"/>
          <w:szCs w:val="17"/>
          <w:b w:val="1"/>
          <w:bCs w:val="1"/>
          <w:color w:val="auto"/>
        </w:rPr>
        <w:t>Policies</w:t>
      </w:r>
      <w:r>
        <w:rPr>
          <w:rFonts w:ascii="Arial" w:cs="Arial" w:eastAsia="Arial" w:hAnsi="Arial"/>
          <w:sz w:val="17"/>
          <w:szCs w:val="17"/>
          <w:color w:val="auto"/>
        </w:rPr>
        <w:t>”). The Company has at all times made all relevant disclosures to users or customers required by applicable laws and regulatory rules or requirements, and none of such disclosures made or contained in any Policy have been inaccurate or in violation of any applicable laws and regulatory rules or requirements in any material respect. The Company further represents that it: (i) has not received written notice of any actual or potential liability, or actual or potential violation of, any of the Privacy Laws; (ii) is not currently conducting or paying for, in whole or in part, any investigation, remediation, or other corrective action pursuant to any Privacy Law; or (iii) is not a party to any order, decree, or agreement with a governmental authority that imposes any obligation or liability under any Privacy Law.</w:t>
      </w:r>
    </w:p>
    <w:p>
      <w:pPr>
        <w:spacing w:after="0" w:line="74" w:lineRule="exact"/>
        <w:rPr>
          <w:rFonts w:ascii="Arial" w:cs="Arial" w:eastAsia="Arial" w:hAnsi="Arial"/>
          <w:sz w:val="17"/>
          <w:szCs w:val="17"/>
          <w:b w:val="1"/>
          <w:bCs w:val="1"/>
          <w:color w:val="auto"/>
        </w:rPr>
      </w:pPr>
    </w:p>
    <w:p>
      <w:pPr>
        <w:jc w:val="both"/>
        <w:ind w:left="-20" w:right="80" w:firstLine="444"/>
        <w:spacing w:after="0" w:line="255" w:lineRule="auto"/>
        <w:tabs>
          <w:tab w:leader="none" w:pos="778"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Emerging Growth Company Status</w:t>
      </w:r>
      <w:r>
        <w:rPr>
          <w:rFonts w:ascii="Arial" w:cs="Arial" w:eastAsia="Arial" w:hAnsi="Arial"/>
          <w:sz w:val="18"/>
          <w:szCs w:val="18"/>
          <w:color w:val="auto"/>
        </w:rPr>
        <w:t>. From the time of initial confidential submission of the Registration Statement to the Commission (or,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83" w:lineRule="exact"/>
        <w:rPr>
          <w:rFonts w:ascii="Arial" w:cs="Arial" w:eastAsia="Arial" w:hAnsi="Arial"/>
          <w:sz w:val="18"/>
          <w:szCs w:val="18"/>
          <w:b w:val="1"/>
          <w:bCs w:val="1"/>
          <w:color w:val="auto"/>
        </w:rPr>
      </w:pPr>
    </w:p>
    <w:p>
      <w:pPr>
        <w:ind w:left="-20" w:right="40" w:firstLine="444"/>
        <w:spacing w:after="0" w:line="285" w:lineRule="auto"/>
        <w:tabs>
          <w:tab w:leader="none" w:pos="738"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Communications</w:t>
      </w:r>
      <w:r>
        <w:rPr>
          <w:rFonts w:ascii="Arial" w:cs="Arial" w:eastAsia="Arial" w:hAnsi="Arial"/>
          <w:sz w:val="16"/>
          <w:szCs w:val="16"/>
          <w:color w:val="auto"/>
        </w:rPr>
        <w:t>. The Company (i) has not alone engaged in communications with potential investors in reliance on Section 5(d)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Act other than Permitted Section 5(d) Communications with the consent of the Representatives with entities that are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15 calendar days prior to any “road show” (as defined in Rule 433 under the Act), any confidentially submitted registration statement and registration statement amendments relating to the offer and sale of the Offered Shares.</w:t>
      </w:r>
    </w:p>
    <w:p>
      <w:pPr>
        <w:spacing w:after="0" w:line="61" w:lineRule="exact"/>
        <w:rPr>
          <w:rFonts w:ascii="Arial" w:cs="Arial" w:eastAsia="Arial" w:hAnsi="Arial"/>
          <w:sz w:val="16"/>
          <w:szCs w:val="16"/>
          <w:b w:val="1"/>
          <w:bCs w:val="1"/>
          <w:color w:val="auto"/>
        </w:rPr>
      </w:pPr>
    </w:p>
    <w:p>
      <w:pPr>
        <w:ind w:left="-20" w:right="20" w:firstLine="444"/>
        <w:spacing w:after="0" w:line="284" w:lineRule="auto"/>
        <w:tabs>
          <w:tab w:leader="none" w:pos="718"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Clinical Data and Regulatory Compliance. </w:t>
      </w:r>
      <w:r>
        <w:rPr>
          <w:rFonts w:ascii="Arial" w:cs="Arial" w:eastAsia="Arial" w:hAnsi="Arial"/>
          <w:sz w:val="16"/>
          <w:szCs w:val="16"/>
          <w:color w:val="auto"/>
        </w:rPr>
        <w:t>The preclinical tests and clinical trials, and other studies (collectively, “studies”)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or the results of which are referred to in, the Registration Statement, the Time of Sale Prospectus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has no knowledge of any other studies the results of which are inconsistent with, or otherwise call into question, the results described or referred to in the Registration Statement, the Time of Sale Prospectuses or the Prospectus; the Company has made all such filings and obtained all such approvals as may be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Arial" w:cs="Arial" w:eastAsia="Arial" w:hAnsi="Arial"/>
          <w:sz w:val="16"/>
          <w:szCs w:val="16"/>
          <w:b w:val="1"/>
          <w:bCs w:val="1"/>
          <w:color w:val="auto"/>
        </w:rPr>
        <w:t>Regulatory Agencies</w:t>
      </w:r>
      <w:r>
        <w:rPr>
          <w:rFonts w:ascii="Arial" w:cs="Arial" w:eastAsia="Arial" w:hAnsi="Arial"/>
          <w:sz w:val="16"/>
          <w:szCs w:val="16"/>
          <w:color w:val="auto"/>
        </w:rPr>
        <w:t>”); the Company has not received any notice of, or correspondence from, any Regulatory Agency requiring the termination, suspension or modification of any clinical trials that are described or referred to in the Registration Statement, the Time of Sale Prospectus or the Prospectus; and the Company has operated and is currently in compliance in all material respects with all applicable rules, regulations and policies of the Regulatory Agencies.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500" w:top="273" w:right="499" w:bottom="1440" w:gutter="0" w:footer="0" w:header="0"/>
        </w:sectPr>
      </w:pPr>
    </w:p>
    <w:bookmarkStart w:id="237" w:name="page238"/>
    <w:bookmarkEnd w:id="237"/>
    <w:p>
      <w:pPr>
        <w:ind w:right="20" w:firstLine="444"/>
        <w:spacing w:after="0" w:line="281" w:lineRule="auto"/>
        <w:tabs>
          <w:tab w:leader="none" w:pos="718"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Compliance with Health Care Laws</w:t>
      </w:r>
      <w:r>
        <w:rPr>
          <w:rFonts w:ascii="Arial" w:cs="Arial" w:eastAsia="Arial" w:hAnsi="Arial"/>
          <w:sz w:val="16"/>
          <w:szCs w:val="16"/>
          <w:color w:val="auto"/>
        </w:rPr>
        <w:t>. The Company is, and at all times has been, in compliance with all Health Care Laws in all material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respects. For purposes of this Agreement, “Health Care Laws”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 Section 1320d et seq.), , the civil monetary penalties law (42 U.S.C. Section 1320a-7a), the exclusion law (42 U.S.C. Section 1320a-7), the Stark Law (42 U.S.C.</w:t>
      </w:r>
    </w:p>
    <w:p>
      <w:pPr>
        <w:spacing w:after="0" w:line="2" w:lineRule="exact"/>
        <w:rPr>
          <w:rFonts w:ascii="Arial" w:cs="Arial" w:eastAsia="Arial" w:hAnsi="Arial"/>
          <w:sz w:val="16"/>
          <w:szCs w:val="16"/>
          <w:b w:val="1"/>
          <w:bCs w:val="1"/>
          <w:color w:val="auto"/>
        </w:rPr>
      </w:pPr>
    </w:p>
    <w:p>
      <w:pPr>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Section 1395nn),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(vi) all other local, state, federal, national, supranational and foreign laws, relating to the regulation of the Company, and (vii) the directives and regulations promulgated pursuant to such statutes and any state or non-U.S. counterpart thereof. The Company has not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has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The Company is not a party to any corporate integrity agreements, monitoring agreements, consent decrees, settlement orders, or similar agreements with or imposed by any governmental or regulatory authority. Additionally, neither the Company, any of its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71" w:lineRule="exact"/>
        <w:rPr>
          <w:rFonts w:ascii="Arial" w:cs="Arial" w:eastAsia="Arial" w:hAnsi="Arial"/>
          <w:sz w:val="16"/>
          <w:szCs w:val="16"/>
          <w:b w:val="1"/>
          <w:bCs w:val="1"/>
          <w:color w:val="auto"/>
        </w:rPr>
      </w:pPr>
    </w:p>
    <w:p>
      <w:pPr>
        <w:jc w:val="both"/>
        <w:ind w:right="80" w:firstLine="444"/>
        <w:spacing w:after="0" w:line="281" w:lineRule="auto"/>
        <w:tabs>
          <w:tab w:leader="none" w:pos="798"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 Rights to Purchase Preferred Stock. </w:t>
      </w:r>
      <w:r>
        <w:rPr>
          <w:rFonts w:ascii="Arial" w:cs="Arial" w:eastAsia="Arial" w:hAnsi="Arial"/>
          <w:sz w:val="17"/>
          <w:szCs w:val="17"/>
          <w:color w:val="auto"/>
        </w:rPr>
        <w:t>The issuance and sale of the Shares as contemplated hereby will not cause any holder of any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capital stock, securities convertible into or exchangeable or exercisable for capital stock or options, warrants or other rights to purchase capital stock or any other securities of the Company to have any right to acquire any shares of preferred stock of the Company.</w:t>
      </w:r>
    </w:p>
    <w:p>
      <w:pPr>
        <w:spacing w:after="0" w:line="62" w:lineRule="exact"/>
        <w:rPr>
          <w:rFonts w:ascii="Arial" w:cs="Arial" w:eastAsia="Arial" w:hAnsi="Arial"/>
          <w:sz w:val="17"/>
          <w:szCs w:val="17"/>
          <w:b w:val="1"/>
          <w:bCs w:val="1"/>
          <w:color w:val="auto"/>
        </w:rPr>
      </w:pPr>
    </w:p>
    <w:p>
      <w:pPr>
        <w:ind w:right="20" w:firstLine="444"/>
        <w:spacing w:after="0" w:line="253" w:lineRule="auto"/>
        <w:tabs>
          <w:tab w:leader="none" w:pos="778"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Contract Terminations. </w:t>
      </w:r>
      <w:r>
        <w:rPr>
          <w:rFonts w:ascii="Arial" w:cs="Arial" w:eastAsia="Arial" w:hAnsi="Arial"/>
          <w:sz w:val="18"/>
          <w:szCs w:val="18"/>
          <w:color w:val="auto"/>
        </w:rPr>
        <w:t>The Company has not sent or received any communication regarding termination of, or intent not to renew,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contracts or agreements referred to or described in any preliminary prospectus, the Prospectus or any free writing prospectus, or referred to or described in, or filed as an exhibit to, the Registration Statement, and no such termination or non-renewal has been threatened by the Company or, to the Company’s knowledge, any other party to any such contract or agreement, which threat of termination or non-renewal has not been rescinded as of the date hereof.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80" w:top="272" w:right="519" w:bottom="1440" w:gutter="0" w:footer="0" w:header="0"/>
        </w:sectPr>
      </w:pPr>
    </w:p>
    <w:bookmarkStart w:id="238" w:name="page239"/>
    <w:bookmarkEnd w:id="238"/>
    <w:p>
      <w:pPr>
        <w:jc w:val="both"/>
        <w:ind w:right="140" w:firstLine="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certificate signed by any officer of the Company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86" w:lineRule="exact"/>
        <w:rPr>
          <w:sz w:val="20"/>
          <w:szCs w:val="20"/>
          <w:color w:val="auto"/>
        </w:rPr>
      </w:pPr>
    </w:p>
    <w:p>
      <w:pPr>
        <w:ind w:right="220" w:firstLine="436"/>
        <w:spacing w:after="0" w:line="281" w:lineRule="auto"/>
        <w:rPr>
          <w:sz w:val="20"/>
          <w:szCs w:val="20"/>
          <w:color w:val="auto"/>
        </w:rPr>
      </w:pPr>
      <w:r>
        <w:rPr>
          <w:rFonts w:ascii="Arial" w:cs="Arial" w:eastAsia="Arial" w:hAnsi="Arial"/>
          <w:sz w:val="17"/>
          <w:szCs w:val="17"/>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2. Purchase, Sale and Delivery of the Offered Shares</w:t>
      </w:r>
      <w:r>
        <w:rPr>
          <w:rFonts w:ascii="Arial" w:cs="Arial" w:eastAsia="Arial" w:hAnsi="Arial"/>
          <w:sz w:val="18"/>
          <w:szCs w:val="18"/>
          <w:color w:val="auto"/>
        </w:rPr>
        <w:t>.</w:t>
      </w:r>
    </w:p>
    <w:p>
      <w:pPr>
        <w:spacing w:after="0" w:line="114" w:lineRule="exact"/>
        <w:rPr>
          <w:sz w:val="20"/>
          <w:szCs w:val="20"/>
          <w:color w:val="auto"/>
        </w:rPr>
      </w:pPr>
    </w:p>
    <w:p>
      <w:pPr>
        <w:ind w:right="180" w:firstLine="444"/>
        <w:spacing w:after="0" w:line="299" w:lineRule="auto"/>
        <w:tabs>
          <w:tab w:leader="none" w:pos="689"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Firm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terms herein set forth, the Company agrees to issue and sell to the several Underwriters an aggregate of [•] Firm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The purchase price per Firm Share to be paid by the several Underwriters to the Company shall be $[•] per share.</w:t>
      </w:r>
    </w:p>
    <w:p>
      <w:pPr>
        <w:spacing w:after="0" w:line="46" w:lineRule="exact"/>
        <w:rPr>
          <w:rFonts w:ascii="Arial" w:cs="Arial" w:eastAsia="Arial" w:hAnsi="Arial"/>
          <w:sz w:val="16"/>
          <w:szCs w:val="16"/>
          <w:b w:val="1"/>
          <w:bCs w:val="1"/>
          <w:color w:val="auto"/>
        </w:rPr>
      </w:pPr>
    </w:p>
    <w:p>
      <w:pPr>
        <w:ind w:right="40" w:firstLine="444"/>
        <w:spacing w:after="0" w:line="269" w:lineRule="auto"/>
        <w:tabs>
          <w:tab w:leader="none" w:pos="699"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First Closing Date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Delivery of certificates for the Firm Shares to be purchased by the Underwriters and payment therefor shall be made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the offices of Goodwin Procter LLP (or such other place as may be agreed to by the Company and the Representatives) at 9:00 a.m. New York City time, on [•], 2021, or such other time and date not later than 1:30 p.m. New York City time, on [•], 2021 as the Representatives shall designate by notice to the Company (the time and date of such closing are called the “</w:t>
      </w:r>
      <w:r>
        <w:rPr>
          <w:rFonts w:ascii="Arial" w:cs="Arial" w:eastAsia="Arial" w:hAnsi="Arial"/>
          <w:sz w:val="17"/>
          <w:szCs w:val="17"/>
          <w:b w:val="1"/>
          <w:bCs w:val="1"/>
          <w:color w:val="auto"/>
        </w:rPr>
        <w:t>First Closing Date</w:t>
      </w:r>
      <w:r>
        <w:rPr>
          <w:rFonts w:ascii="Arial" w:cs="Arial" w:eastAsia="Arial" w:hAnsi="Arial"/>
          <w:sz w:val="17"/>
          <w:szCs w:val="17"/>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71" w:lineRule="exact"/>
        <w:rPr>
          <w:rFonts w:ascii="Arial" w:cs="Arial" w:eastAsia="Arial" w:hAnsi="Arial"/>
          <w:sz w:val="17"/>
          <w:szCs w:val="17"/>
          <w:b w:val="1"/>
          <w:bCs w:val="1"/>
          <w:color w:val="auto"/>
        </w:rPr>
      </w:pPr>
    </w:p>
    <w:p>
      <w:pPr>
        <w:ind w:firstLine="444"/>
        <w:spacing w:after="0" w:line="283" w:lineRule="auto"/>
        <w:tabs>
          <w:tab w:leader="none" w:pos="679"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Optional Shares; Option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on the basis of the representations, warranties and agreements herein contained,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terms but subject to the conditions herein set forth, the Company hereby grants an option to the several Underwriters to purchase, severally and not jointly, up to an aggregate of [•] Optional Shares from the Company at the purchase price per share to be paid by the Underwriters for the Firm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certificates for the Optional Shares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6"/>
          <w:szCs w:val="16"/>
          <w:b w:val="1"/>
          <w:bCs w:val="1"/>
          <w:color w:val="auto"/>
        </w:rPr>
        <w:t>First Closing Date</w:t>
      </w:r>
      <w:r>
        <w:rPr>
          <w:rFonts w:ascii="Arial" w:cs="Arial" w:eastAsia="Arial" w:hAnsi="Arial"/>
          <w:sz w:val="16"/>
          <w:szCs w:val="16"/>
          <w:color w:val="auto"/>
        </w:rPr>
        <w:t>” shall refer to the time and date of delivery of certificates for the Firm Shares and such Optional Shares). Any such time and date of delivery, if subsequent to the First Closing Date, is called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xml:space="preserve">,” and shall be determined by the Representatives and shall not be earlier than two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opposite the name of such Underwriter bears to the total number of Firm Shares. The Representatives may cancel the option at any time prior to its expiration by giving written notice of such cancellation to the Company.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480" w:top="272" w:right="519" w:bottom="1440" w:gutter="0" w:footer="0" w:header="0"/>
        </w:sectPr>
      </w:pPr>
    </w:p>
    <w:bookmarkStart w:id="239" w:name="page240"/>
    <w:bookmarkEnd w:id="239"/>
    <w:p>
      <w:pPr>
        <w:ind w:left="-20" w:right="240" w:firstLine="444"/>
        <w:spacing w:after="0" w:line="257" w:lineRule="auto"/>
        <w:tabs>
          <w:tab w:leader="none" w:pos="679"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Public Offering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Representatives hereby advise the Company that the Underwriters intend to offer for sale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initially on the terms set forth in the Registration Statement, the Time of Sale Prospectus and the Prospectus, their respective portions of the Offered Shares as soon after this Agreement has been executed and the Registration Statement has been declared effective as the Representatives, in their sole judgment, have determined is advisable and practicable.</w:t>
      </w:r>
    </w:p>
    <w:p>
      <w:pPr>
        <w:spacing w:after="0" w:line="76" w:lineRule="exact"/>
        <w:rPr>
          <w:rFonts w:ascii="Arial" w:cs="Arial" w:eastAsia="Arial" w:hAnsi="Arial"/>
          <w:sz w:val="18"/>
          <w:szCs w:val="18"/>
          <w:b w:val="1"/>
          <w:bCs w:val="1"/>
          <w:color w:val="auto"/>
        </w:rPr>
      </w:pPr>
    </w:p>
    <w:p>
      <w:pPr>
        <w:ind w:left="-20" w:right="60" w:firstLine="444"/>
        <w:spacing w:after="0" w:line="275" w:lineRule="auto"/>
        <w:tabs>
          <w:tab w:leader="none" w:pos="659"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for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 Payment for the Offered Shares shall be made at the First Closing Date (and, if applicable, at each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Date) by wire transfer of immediately available funds to the order of the Company.</w:t>
      </w:r>
    </w:p>
    <w:p>
      <w:pPr>
        <w:spacing w:after="0" w:line="64" w:lineRule="exact"/>
        <w:rPr>
          <w:rFonts w:ascii="Arial" w:cs="Arial" w:eastAsia="Arial" w:hAnsi="Arial"/>
          <w:sz w:val="18"/>
          <w:szCs w:val="18"/>
          <w:b w:val="1"/>
          <w:bCs w:val="1"/>
          <w:color w:val="auto"/>
        </w:rPr>
      </w:pPr>
    </w:p>
    <w:p>
      <w:pPr>
        <w:ind w:left="-20" w:firstLine="990"/>
        <w:spacing w:after="0" w:line="270" w:lineRule="auto"/>
        <w:tabs>
          <w:tab w:leader="none" w:pos="1225" w:val="left"/>
        </w:tabs>
        <w:numPr>
          <w:ilvl w:val="1"/>
          <w:numId w:val="147"/>
        </w:numPr>
        <w:rPr>
          <w:rFonts w:ascii="Arial" w:cs="Arial" w:eastAsia="Arial" w:hAnsi="Arial"/>
          <w:sz w:val="17"/>
          <w:szCs w:val="17"/>
          <w:color w:val="auto"/>
        </w:rPr>
      </w:pPr>
      <w:r>
        <w:rPr>
          <w:rFonts w:ascii="Arial" w:cs="Arial" w:eastAsia="Arial" w:hAnsi="Arial"/>
          <w:sz w:val="17"/>
          <w:szCs w:val="17"/>
          <w:color w:val="auto"/>
        </w:rPr>
        <w:t>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Jefferies, Cowen and Evercore,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67" w:lineRule="exact"/>
        <w:rPr>
          <w:rFonts w:ascii="Arial" w:cs="Arial" w:eastAsia="Arial" w:hAnsi="Arial"/>
          <w:sz w:val="17"/>
          <w:szCs w:val="17"/>
          <w:color w:val="auto"/>
        </w:rPr>
      </w:pPr>
    </w:p>
    <w:p>
      <w:pPr>
        <w:ind w:left="-20" w:right="20" w:firstLine="444"/>
        <w:spacing w:after="0" w:line="285" w:lineRule="auto"/>
        <w:tabs>
          <w:tab w:leader="none" w:pos="639"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Delivery of the Offered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deliver, or cause to be delivered to the Representatives for the accounts of the several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Underwriters certificates for the Firm Shares at the First Closing Date, against release of a wire transfer of immediately available funds for the amount of the purchase price therefor. The Company shall also deliver, or cause to be delivered to the Representatives for the accounts of the several Underwriters, certificates for the Optional Shares the Underwriters have agreed to purchase at the First Closing Date or the applicable Option Closing Date, as the case may be, against the release of a wire transfer of immediately available funds for the amount of the purchase price therefor. If Jefferies so elects, delivery of the Offered Shares may be made by credit to the accounts designated by Jefferies through The Depository Trust Company’s full fast transfer or DWAC programs. If Jefferies so elects, the certificates for the Offered Shares shall be in definitive form and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 xml:space="preserve">Section 3. Additional Covenants. </w:t>
      </w:r>
      <w:r>
        <w:rPr>
          <w:rFonts w:ascii="Arial" w:cs="Arial" w:eastAsia="Arial" w:hAnsi="Arial"/>
          <w:sz w:val="18"/>
          <w:szCs w:val="18"/>
          <w:color w:val="auto"/>
        </w:rPr>
        <w:t>The Company further covenants and agrees with each Underwriter as follows:</w:t>
      </w:r>
    </w:p>
    <w:p>
      <w:pPr>
        <w:spacing w:after="0" w:line="118" w:lineRule="exact"/>
        <w:rPr>
          <w:sz w:val="20"/>
          <w:szCs w:val="20"/>
          <w:color w:val="auto"/>
        </w:rPr>
      </w:pPr>
    </w:p>
    <w:p>
      <w:pPr>
        <w:ind w:left="-20" w:right="20" w:firstLine="444"/>
        <w:spacing w:after="0" w:line="272" w:lineRule="auto"/>
        <w:tabs>
          <w:tab w:leader="none" w:pos="669"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Delivery of Registration Statement, Time of Sale Prospectus and Prospectus. </w:t>
      </w:r>
      <w:r>
        <w:rPr>
          <w:rFonts w:ascii="Arial" w:cs="Arial" w:eastAsia="Arial" w:hAnsi="Arial"/>
          <w:sz w:val="17"/>
          <w:szCs w:val="17"/>
          <w:color w:val="auto"/>
        </w:rPr>
        <w:t>The Company shall furnish to you in New York City,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charge, prior to 10:00 a.m. New York City time on the business day next succeeding the date of this Agreement and during the period when a prospectus relating to the Offered Shares is required by the Securities Act to be delivered (in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spacing w:after="0" w:line="69" w:lineRule="exact"/>
        <w:rPr>
          <w:rFonts w:ascii="Arial" w:cs="Arial" w:eastAsia="Arial" w:hAnsi="Arial"/>
          <w:sz w:val="17"/>
          <w:szCs w:val="17"/>
          <w:b w:val="1"/>
          <w:bCs w:val="1"/>
          <w:color w:val="auto"/>
        </w:rPr>
      </w:pPr>
    </w:p>
    <w:p>
      <w:pPr>
        <w:ind w:left="-20" w:right="20" w:firstLine="444"/>
        <w:spacing w:after="0" w:line="281" w:lineRule="auto"/>
        <w:tabs>
          <w:tab w:leader="none" w:pos="679"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Representatives’ Review of Proposed Amendments and Supplements. </w:t>
      </w:r>
      <w:r>
        <w:rPr>
          <w:rFonts w:ascii="Arial" w:cs="Arial" w:eastAsia="Arial" w:hAnsi="Arial"/>
          <w:sz w:val="17"/>
          <w:szCs w:val="17"/>
          <w:color w:val="auto"/>
        </w:rPr>
        <w:t>During the period when a prospectus relating to the Offered Shares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the Securities Act to be delivered (in compliance with Rule 172 under the Securities Act or any similar rule), the Company (i) will furnish to the Representatives for review, a reasonable period of time prior to the proposed time of filing of any proposed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500" w:top="268" w:right="499" w:bottom="1440" w:gutter="0" w:footer="0" w:header="0"/>
        </w:sectPr>
      </w:pPr>
    </w:p>
    <w:bookmarkStart w:id="240" w:name="page241"/>
    <w:bookmarkEnd w:id="240"/>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amendment or supplement to the Registration Statement, a copy of each such amendment or supplement and (ii) will not amend or supplement the Registration Statement without the Representatives’ prior written consent, which will not be unreasonably withheld, conditioned or delayed.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will not be unreasonably withheld, conditioned or delayed. The Company shall file with the Commission within the applicable period specified in Rule 424(b) under the Securities Act any prospectus required to be filed pursuant to such Rule.</w:t>
      </w:r>
    </w:p>
    <w:p>
      <w:pPr>
        <w:spacing w:after="0" w:line="59" w:lineRule="exact"/>
        <w:rPr>
          <w:sz w:val="20"/>
          <w:szCs w:val="20"/>
          <w:color w:val="auto"/>
        </w:rPr>
      </w:pPr>
    </w:p>
    <w:p>
      <w:pPr>
        <w:ind w:right="20" w:firstLine="444"/>
        <w:spacing w:after="0" w:line="282" w:lineRule="auto"/>
        <w:tabs>
          <w:tab w:leader="none" w:pos="679"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Writing Prospectuses. </w:t>
      </w:r>
      <w:r>
        <w:rPr>
          <w:rFonts w:ascii="Arial" w:cs="Arial" w:eastAsia="Arial" w:hAnsi="Arial"/>
          <w:sz w:val="16"/>
          <w:szCs w:val="16"/>
          <w:color w:val="auto"/>
        </w:rPr>
        <w:t>The Company shall furnish to the Representatives for review, a reasonable amount of time prior to the proposed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will not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(in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will not be unreasonably withheld, conditioned or delayed.</w:t>
      </w:r>
    </w:p>
    <w:p>
      <w:pPr>
        <w:spacing w:after="0" w:line="69" w:lineRule="exact"/>
        <w:rPr>
          <w:rFonts w:ascii="Arial" w:cs="Arial" w:eastAsia="Arial" w:hAnsi="Arial"/>
          <w:sz w:val="16"/>
          <w:szCs w:val="16"/>
          <w:b w:val="1"/>
          <w:bCs w:val="1"/>
          <w:color w:val="auto"/>
        </w:rPr>
      </w:pPr>
    </w:p>
    <w:p>
      <w:pPr>
        <w:ind w:firstLine="444"/>
        <w:spacing w:after="0" w:line="259" w:lineRule="auto"/>
        <w:tabs>
          <w:tab w:leader="none" w:pos="699"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Filing of Underwriter Free Writing Prospectuses. </w:t>
      </w:r>
      <w:r>
        <w:rPr>
          <w:rFonts w:ascii="Arial" w:cs="Arial" w:eastAsia="Arial" w:hAnsi="Arial"/>
          <w:sz w:val="18"/>
          <w:szCs w:val="18"/>
          <w:color w:val="auto"/>
        </w:rPr>
        <w:t>The Company shall not take any action that would result in an Underwriter or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required to file with the Commission pursuant to Rule 433(d) under the Securities Act a free writing prospectus prepared by or on behalf of such Underwriter that such Underwriter otherwise would not have been required to file thereunder.</w:t>
      </w:r>
    </w:p>
    <w:p>
      <w:pPr>
        <w:spacing w:after="0" w:line="78" w:lineRule="exact"/>
        <w:rPr>
          <w:rFonts w:ascii="Arial" w:cs="Arial" w:eastAsia="Arial" w:hAnsi="Arial"/>
          <w:sz w:val="18"/>
          <w:szCs w:val="18"/>
          <w:b w:val="1"/>
          <w:bCs w:val="1"/>
          <w:color w:val="auto"/>
        </w:rPr>
      </w:pPr>
    </w:p>
    <w:p>
      <w:pPr>
        <w:ind w:right="100" w:firstLine="444"/>
        <w:spacing w:after="0" w:line="269" w:lineRule="auto"/>
        <w:tabs>
          <w:tab w:leader="none" w:pos="679"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Amendments and Supplements to Time of Sale Prospectus. </w:t>
      </w:r>
      <w:r>
        <w:rPr>
          <w:rFonts w:ascii="Arial" w:cs="Arial" w:eastAsia="Arial" w:hAnsi="Arial"/>
          <w:sz w:val="17"/>
          <w:szCs w:val="17"/>
          <w:color w:val="auto"/>
        </w:rPr>
        <w:t>If the Time of Sale Prospectus is being used to solicit offers to buy the Offered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480" w:top="272" w:right="499" w:bottom="1440" w:gutter="0" w:footer="0" w:header="0"/>
        </w:sectPr>
      </w:pPr>
    </w:p>
    <w:bookmarkStart w:id="241" w:name="page242"/>
    <w:bookmarkEnd w:id="241"/>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67" w:lineRule="exact"/>
        <w:rPr>
          <w:sz w:val="20"/>
          <w:szCs w:val="20"/>
          <w:color w:val="auto"/>
        </w:rPr>
      </w:pPr>
    </w:p>
    <w:p>
      <w:pPr>
        <w:ind w:right="20" w:firstLine="444"/>
        <w:spacing w:after="0" w:line="266" w:lineRule="auto"/>
        <w:tabs>
          <w:tab w:leader="none" w:pos="659"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Certain Notifications and Required Actions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After the date of this Agreement, the Company shall promptly advise the Representatives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promptly as possible.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76" w:lineRule="exact"/>
        <w:rPr>
          <w:rFonts w:ascii="Arial" w:cs="Arial" w:eastAsia="Arial" w:hAnsi="Arial"/>
          <w:sz w:val="17"/>
          <w:szCs w:val="17"/>
          <w:b w:val="1"/>
          <w:bCs w:val="1"/>
          <w:color w:val="auto"/>
        </w:rPr>
      </w:pPr>
    </w:p>
    <w:p>
      <w:pPr>
        <w:ind w:firstLine="444"/>
        <w:spacing w:after="0" w:line="284" w:lineRule="auto"/>
        <w:tabs>
          <w:tab w:leader="none" w:pos="689"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the Prospectus and Other Securities Act Matters. </w:t>
      </w:r>
      <w:r>
        <w:rPr>
          <w:rFonts w:ascii="Arial" w:cs="Arial" w:eastAsia="Arial" w:hAnsi="Arial"/>
          <w:sz w:val="16"/>
          <w:szCs w:val="16"/>
          <w:color w:val="auto"/>
        </w:rPr>
        <w:t>If any event shall occur or condition exist as a result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(in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(in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61" w:lineRule="exact"/>
        <w:rPr>
          <w:rFonts w:ascii="Arial" w:cs="Arial" w:eastAsia="Arial" w:hAnsi="Arial"/>
          <w:sz w:val="16"/>
          <w:szCs w:val="16"/>
          <w:b w:val="1"/>
          <w:bCs w:val="1"/>
          <w:color w:val="auto"/>
        </w:rPr>
      </w:pPr>
    </w:p>
    <w:p>
      <w:pPr>
        <w:ind w:right="140" w:firstLine="444"/>
        <w:spacing w:after="0" w:line="257" w:lineRule="auto"/>
        <w:tabs>
          <w:tab w:leader="none" w:pos="699"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Blue Sky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cooperate with the Representatives and counsel for the Underwriters to qualify or register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Shares for sale under (or obtain exemptions from the application of) the state securities or blue sky laws or Canadian provincial securities laws (or other foreign laws) of those jurisdictions designated by the Representatives, shall comply with such laws and shall continue such qualifications, registrations and exemptions in effect so long as required for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80" w:top="272" w:right="499" w:bottom="1440" w:gutter="0" w:footer="0" w:header="0"/>
        </w:sectPr>
      </w:pPr>
    </w:p>
    <w:bookmarkStart w:id="242" w:name="page243"/>
    <w:bookmarkEnd w:id="242"/>
    <w:p>
      <w:pPr>
        <w:ind w:right="6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promptly as possible.</w:t>
      </w:r>
    </w:p>
    <w:p>
      <w:pPr>
        <w:spacing w:after="0" w:line="83" w:lineRule="exact"/>
        <w:rPr>
          <w:sz w:val="20"/>
          <w:szCs w:val="20"/>
          <w:color w:val="auto"/>
        </w:rPr>
      </w:pPr>
    </w:p>
    <w:p>
      <w:pPr>
        <w:ind w:firstLine="444"/>
        <w:spacing w:after="0" w:line="275" w:lineRule="auto"/>
        <w:tabs>
          <w:tab w:leader="none" w:pos="649"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Proceeds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apply the net proceeds from the sale of the Offered Shares sold by it substantially in the manner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caption “Use of Proceeds” in the Registration Statement, the Time of Sale Prospectus and the Prospectus.</w:t>
      </w:r>
    </w:p>
    <w:p>
      <w:pPr>
        <w:spacing w:after="0" w:line="60" w:lineRule="exact"/>
        <w:rPr>
          <w:rFonts w:ascii="Arial" w:cs="Arial" w:eastAsia="Arial" w:hAnsi="Arial"/>
          <w:sz w:val="18"/>
          <w:szCs w:val="18"/>
          <w:b w:val="1"/>
          <w:bCs w:val="1"/>
          <w:color w:val="auto"/>
        </w:rPr>
      </w:pPr>
    </w:p>
    <w:p>
      <w:pPr>
        <w:ind w:left="660" w:hanging="216"/>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 Agent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engage and maintain, at its expense, a registrar and transfer agent for the Shares.</w:t>
      </w:r>
    </w:p>
    <w:p>
      <w:pPr>
        <w:spacing w:after="0" w:line="113" w:lineRule="exact"/>
        <w:rPr>
          <w:rFonts w:ascii="Arial" w:cs="Arial" w:eastAsia="Arial" w:hAnsi="Arial"/>
          <w:sz w:val="18"/>
          <w:szCs w:val="18"/>
          <w:b w:val="1"/>
          <w:bCs w:val="1"/>
          <w:color w:val="auto"/>
        </w:rPr>
      </w:pPr>
    </w:p>
    <w:p>
      <w:pPr>
        <w:ind w:right="200" w:firstLine="444"/>
        <w:spacing w:after="0" w:line="257" w:lineRule="auto"/>
        <w:tabs>
          <w:tab w:leader="none" w:pos="699"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generally available to its security holders and to the Representatives as soon as practicable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76" w:lineRule="exact"/>
        <w:rPr>
          <w:rFonts w:ascii="Arial" w:cs="Arial" w:eastAsia="Arial" w:hAnsi="Arial"/>
          <w:sz w:val="18"/>
          <w:szCs w:val="18"/>
          <w:b w:val="1"/>
          <w:bCs w:val="1"/>
          <w:color w:val="auto"/>
        </w:rPr>
      </w:pPr>
    </w:p>
    <w:p>
      <w:pPr>
        <w:ind w:right="40" w:firstLine="444"/>
        <w:spacing w:after="0" w:line="291" w:lineRule="auto"/>
        <w:tabs>
          <w:tab w:leader="none" w:pos="649"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Continued Compliance with Securities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comply with the Securities Act and the Exchange Act so as to permit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completion of the distribution of the Offered Shares as contemplated by 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Registration Statement, the Time of Sale Prospectus and the Prospectus. Without limiting the generality of the foregoing, the Company will, during the period when a prospectus relating to the Offered Shares is required by the Securities Act to be delivered (in compliance with Rule 172 under the Securities Act or any similar rule), file on a timely basis with the Commission and the Nasdaq all reports and documents required to be filed under the Exchange Act. Additionally, the Company shall report the use of proceeds from the issuance of the Offered Shares as may be required under Rule 463 under the Securities Act.</w:t>
      </w:r>
    </w:p>
    <w:p>
      <w:pPr>
        <w:spacing w:after="0" w:line="52" w:lineRule="exact"/>
        <w:rPr>
          <w:rFonts w:ascii="Arial" w:cs="Arial" w:eastAsia="Arial" w:hAnsi="Arial"/>
          <w:sz w:val="16"/>
          <w:szCs w:val="16"/>
          <w:b w:val="1"/>
          <w:bCs w:val="1"/>
          <w:color w:val="auto"/>
        </w:rPr>
      </w:pPr>
    </w:p>
    <w:p>
      <w:pPr>
        <w:ind w:right="40" w:firstLine="444"/>
        <w:spacing w:after="0" w:line="271" w:lineRule="auto"/>
        <w:tabs>
          <w:tab w:leader="none" w:pos="748"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Directed Share Program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connection with the Directed Share Program, the Company will ensure that the Directed Shares will be restricted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extent required by FINRA or its rules from sale, transfer, assignment, pledge or hypothecation for a period of three months following the date of the effectiveness of the Registration Statement. Jefferies will notify the Company as to which Participants will need to be so restricted. The Company will direct the transfer agent to place stop transfer restrictions upon such securities for such period of time. Should the Company release, or seek to release, from such restrictions any of the Directed Shares, the Company agrees to reimburse the Underwriters for any reasonable expenses (including, without limitation, legal expenses) they incur in connection with such release.</w:t>
      </w:r>
    </w:p>
    <w:p>
      <w:pPr>
        <w:spacing w:after="0" w:line="66" w:lineRule="exact"/>
        <w:rPr>
          <w:rFonts w:ascii="Arial" w:cs="Arial" w:eastAsia="Arial" w:hAnsi="Arial"/>
          <w:sz w:val="17"/>
          <w:szCs w:val="17"/>
          <w:b w:val="1"/>
          <w:bCs w:val="1"/>
          <w:color w:val="auto"/>
        </w:rPr>
      </w:pPr>
    </w:p>
    <w:p>
      <w:pPr>
        <w:ind w:left="700" w:hanging="256"/>
        <w:spacing w:after="0"/>
        <w:tabs>
          <w:tab w:leader="none" w:pos="7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use its best efforts to list, subject to notice of issuance, the Offered Shares on the Nasdaq.</w:t>
      </w:r>
    </w:p>
    <w:p>
      <w:pPr>
        <w:spacing w:after="0" w:line="113" w:lineRule="exact"/>
        <w:rPr>
          <w:rFonts w:ascii="Arial" w:cs="Arial" w:eastAsia="Arial" w:hAnsi="Arial"/>
          <w:sz w:val="18"/>
          <w:szCs w:val="18"/>
          <w:b w:val="1"/>
          <w:bCs w:val="1"/>
          <w:color w:val="auto"/>
        </w:rPr>
      </w:pPr>
    </w:p>
    <w:p>
      <w:pPr>
        <w:ind w:right="180" w:firstLine="444"/>
        <w:spacing w:after="0" w:line="255" w:lineRule="auto"/>
        <w:tabs>
          <w:tab w:leader="none" w:pos="689"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Provide Copy of the Prospectus in Form That May be Downloaded from the Internet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requested by the Representatives,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shall cause to be prepared and delivered, at its expense, within two business days from the effective date of this Agreement, to the Representatives an “</w:t>
      </w:r>
      <w:r>
        <w:rPr>
          <w:rFonts w:ascii="Arial" w:cs="Arial" w:eastAsia="Arial" w:hAnsi="Arial"/>
          <w:sz w:val="18"/>
          <w:szCs w:val="18"/>
          <w:b w:val="1"/>
          <w:bCs w:val="1"/>
          <w:color w:val="auto"/>
        </w:rPr>
        <w:t>electronic Prospectus</w:t>
      </w:r>
      <w:r>
        <w:rPr>
          <w:rFonts w:ascii="Arial" w:cs="Arial" w:eastAsia="Arial" w:hAnsi="Arial"/>
          <w:sz w:val="18"/>
          <w:szCs w:val="18"/>
          <w:color w:val="auto"/>
        </w:rPr>
        <w:t>” to be used by the Underwriters in connection with the offering and sale of the Offered Shares. As used herein, the term “</w:t>
      </w:r>
      <w:r>
        <w:rPr>
          <w:rFonts w:ascii="Arial" w:cs="Arial" w:eastAsia="Arial" w:hAnsi="Arial"/>
          <w:sz w:val="18"/>
          <w:szCs w:val="18"/>
          <w:b w:val="1"/>
          <w:bCs w:val="1"/>
          <w:color w:val="auto"/>
        </w:rPr>
        <w:t>electronic Prospectus</w:t>
      </w:r>
      <w:r>
        <w:rPr>
          <w:rFonts w:ascii="Arial" w:cs="Arial" w:eastAsia="Arial" w:hAnsi="Arial"/>
          <w:sz w:val="18"/>
          <w:szCs w:val="18"/>
          <w:color w:val="auto"/>
        </w:rPr>
        <w:t>” means a form of Prospectus, and any amendment or supplement thereto, that meets each of the following conditions: (i) it shall be encoded in 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80" w:top="272" w:right="499" w:bottom="1440" w:gutter="0" w:footer="0" w:header="0"/>
        </w:sectPr>
      </w:pPr>
    </w:p>
    <w:bookmarkStart w:id="243" w:name="page244"/>
    <w:bookmarkEnd w:id="24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electronic format, satisfactory to the Representatives, that may be transmitted electronically by the Representatives and the other Underwriters to offerees and purchasers of the Offered Shares;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Prospectus at any future time, without charge to investors (other than any fee charged for subscription to the Internet as a whole and for on-line time).</w:t>
      </w:r>
    </w:p>
    <w:p>
      <w:pPr>
        <w:spacing w:after="0" w:line="53" w:lineRule="exact"/>
        <w:rPr>
          <w:sz w:val="20"/>
          <w:szCs w:val="20"/>
          <w:color w:val="auto"/>
        </w:rPr>
      </w:pPr>
    </w:p>
    <w:p>
      <w:pPr>
        <w:ind w:right="80" w:firstLine="444"/>
        <w:spacing w:after="0" w:line="281" w:lineRule="auto"/>
        <w:tabs>
          <w:tab w:leader="none" w:pos="699"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Offer or Sell Additional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period commencing on and including the date hereof and continuing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including the 180th day following the date of the Prospectus (such period, as extended as described below, being referred to herein as the “</w:t>
      </w:r>
      <w:r>
        <w:rPr>
          <w:rFonts w:ascii="Arial" w:cs="Arial" w:eastAsia="Arial" w:hAnsi="Arial"/>
          <w:sz w:val="16"/>
          <w:szCs w:val="16"/>
          <w:b w:val="1"/>
          <w:b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the Company will not, without the prior written consent of Jefferies, Cowen and Evercore (which consent may be withheld in their sole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submit or file any registration statement under the Securities Act in respect of any Shares or Related Securities (other than as contemplated by this Agreement with respect to the Offered Shares); (viii) effect a reverse stock split, recapitalization, share consolidation, reclassification or similar transaction affecting the outstanding Shares; or (ix) publicly announce the intention to do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(A) effect the transactions contemplated hereby, (B) issue Shares or options to purchase Shares, or issue Shares upon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exercise of options, pursuant to any stock option, stock bonus or other stock plan or arrangement described in the Registration Statement, the Time of Sale Prospectus and the Prospectus, but only if the holders of such Shares or options agree in writing with the Underwriters not to sell, offer, dispose of or otherwise transfer any such Shares or options during such Lock-up Period without the prior written consent of Jefferies, Cowen and Evercore (which consent may be withheld in their sole discretion), (C) file one or more registration statements on Form S-8 with respect to any Shares or Related Securities issued or issuable pursuant to any stock option, stock bonus, or other stock plan or arrangement described in the Registration Statement, the Time of Sale Prospectus or the Prospectus, (D) issue Shares in connection with the acquisition or license by the Company of the securities, business, property or other assets of another person or business entity or pursuant to any employee benefit plan assumed by the Company in connection with any such merger or acquisition or (E) issue Shares or Related Securities in connection with any merger, joint venture, commercial relationship or other strategic or collaborative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immediately preceding clauses (D) and (E), (x) the aggregate number of Shares issued or underlying such Related Securities issued in connection with all such acquisitions and other transactions does not exceed 5% of the aggregate number of Shares outstanding immediately following the consummation of the offering of the Offered Shares pursuant to this Agreement and (y) the recipients of the Shares or Related Securities agree in writing to be bound by the same terms described in the agreement attached hereto as Exhibit A. For purposes of the foregoing, “</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80" w:top="272" w:right="499" w:bottom="1440" w:gutter="0" w:footer="0" w:header="0"/>
        </w:sectPr>
      </w:pPr>
    </w:p>
    <w:bookmarkStart w:id="244" w:name="page245"/>
    <w:bookmarkEnd w:id="244"/>
    <w:p>
      <w:pPr>
        <w:ind w:right="20" w:firstLine="444"/>
        <w:spacing w:after="0" w:line="285" w:lineRule="auto"/>
        <w:tabs>
          <w:tab w:leader="none" w:pos="699"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Future Reports to the Representatives. </w:t>
      </w:r>
      <w:r>
        <w:rPr>
          <w:rFonts w:ascii="Arial" w:cs="Arial" w:eastAsia="Arial" w:hAnsi="Arial"/>
          <w:sz w:val="16"/>
          <w:szCs w:val="16"/>
          <w:color w:val="auto"/>
        </w:rPr>
        <w:t>During the period of five years hereafter, the Company will furnish to the Representatives, c/o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Jefferies, at 520 Madison Avenue, New York, New York 10022, Attention: Global Head of Syndicate, c/o Cowen, at 599 Lexington Avenue, New York, New York 10012, Attention: Head of Equity Capital Markets, and c/o Evercore, at 55 east 52</w:t>
      </w:r>
      <w:r>
        <w:rPr>
          <w:rFonts w:ascii="Arial" w:cs="Arial" w:eastAsia="Arial" w:hAnsi="Arial"/>
          <w:sz w:val="13"/>
          <w:szCs w:val="13"/>
          <w:color w:val="auto"/>
        </w:rPr>
        <w:t>nd</w:t>
      </w:r>
      <w:r>
        <w:rPr>
          <w:rFonts w:ascii="Arial" w:cs="Arial" w:eastAsia="Arial" w:hAnsi="Arial"/>
          <w:sz w:val="16"/>
          <w:szCs w:val="16"/>
          <w:color w:val="auto"/>
        </w:rPr>
        <w:t xml:space="preserve"> Street, Suite 35, New York, New York, 10055, Attention: Head of Syndicate: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requirements of this Section 3(q) shall be satisfied to the extent that such reports, statement, communications, financial statements or other documents are available on EDGAR.</w:t>
      </w:r>
    </w:p>
    <w:p>
      <w:pPr>
        <w:spacing w:after="0" w:line="57" w:lineRule="exact"/>
        <w:rPr>
          <w:rFonts w:ascii="Arial" w:cs="Arial" w:eastAsia="Arial" w:hAnsi="Arial"/>
          <w:sz w:val="16"/>
          <w:szCs w:val="16"/>
          <w:b w:val="1"/>
          <w:bCs w:val="1"/>
          <w:color w:val="auto"/>
        </w:rPr>
      </w:pPr>
    </w:p>
    <w:p>
      <w:pPr>
        <w:ind w:right="380" w:firstLine="444"/>
        <w:spacing w:after="0" w:line="306" w:lineRule="auto"/>
        <w:tabs>
          <w:tab w:leader="none" w:pos="679"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Investment Limitation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not invest or otherwise use the proceeds received by the Company from its sale of the Offered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in such a manner as would require the Company to register as an investment company under the Investment Company Act.</w:t>
      </w:r>
    </w:p>
    <w:p>
      <w:pPr>
        <w:spacing w:after="0" w:line="36" w:lineRule="exact"/>
        <w:rPr>
          <w:rFonts w:ascii="Arial" w:cs="Arial" w:eastAsia="Arial" w:hAnsi="Arial"/>
          <w:sz w:val="17"/>
          <w:szCs w:val="17"/>
          <w:b w:val="1"/>
          <w:bCs w:val="1"/>
          <w:color w:val="auto"/>
        </w:rPr>
      </w:pPr>
    </w:p>
    <w:p>
      <w:pPr>
        <w:ind w:firstLine="444"/>
        <w:spacing w:after="0" w:line="257" w:lineRule="auto"/>
        <w:tabs>
          <w:tab w:leader="none" w:pos="669"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Stabilization or Manipulation; Compliance with Regulation 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not take, and will ensure that no affiliate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will take, directly or indirectly, any action designed to or that might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w:t>
      </w:r>
    </w:p>
    <w:p>
      <w:pPr>
        <w:spacing w:after="0" w:line="76" w:lineRule="exact"/>
        <w:rPr>
          <w:rFonts w:ascii="Arial" w:cs="Arial" w:eastAsia="Arial" w:hAnsi="Arial"/>
          <w:sz w:val="18"/>
          <w:szCs w:val="18"/>
          <w:b w:val="1"/>
          <w:bCs w:val="1"/>
          <w:color w:val="auto"/>
        </w:rPr>
      </w:pPr>
    </w:p>
    <w:p>
      <w:pPr>
        <w:ind w:right="100" w:firstLine="444"/>
        <w:spacing w:after="0" w:line="253" w:lineRule="auto"/>
        <w:tabs>
          <w:tab w:leader="none" w:pos="659"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Enforce Lock-Up Agreements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Lock-up Period, the Company will enforce all agreements between the Company and any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directors and securityholders pursuant to Section 6(l) hereof.</w:t>
      </w:r>
    </w:p>
    <w:p>
      <w:pPr>
        <w:spacing w:after="0" w:line="81" w:lineRule="exact"/>
        <w:rPr>
          <w:rFonts w:ascii="Arial" w:cs="Arial" w:eastAsia="Arial" w:hAnsi="Arial"/>
          <w:sz w:val="18"/>
          <w:szCs w:val="18"/>
          <w:b w:val="1"/>
          <w:bCs w:val="1"/>
          <w:color w:val="auto"/>
        </w:rPr>
      </w:pPr>
    </w:p>
    <w:p>
      <w:pPr>
        <w:ind w:right="240" w:firstLine="444"/>
        <w:spacing w:after="0" w:line="255" w:lineRule="auto"/>
        <w:tabs>
          <w:tab w:leader="none" w:pos="699"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Provide Interim Financial Statements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First Closing Date and each applicable Option Closing Date,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furnish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 provided that the requirements of this Section 3(u) shall be deemed satisfied to the extent such financial statements are available on EDGAR.</w:t>
      </w:r>
    </w:p>
    <w:p>
      <w:pPr>
        <w:spacing w:after="0" w:line="81" w:lineRule="exact"/>
        <w:rPr>
          <w:rFonts w:ascii="Arial" w:cs="Arial" w:eastAsia="Arial" w:hAnsi="Arial"/>
          <w:sz w:val="18"/>
          <w:szCs w:val="18"/>
          <w:b w:val="1"/>
          <w:bCs w:val="1"/>
          <w:color w:val="auto"/>
        </w:rPr>
      </w:pPr>
    </w:p>
    <w:p>
      <w:pPr>
        <w:ind w:left="700" w:hanging="256"/>
        <w:spacing w:after="0"/>
        <w:tabs>
          <w:tab w:leader="none" w:pos="700"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Amendments and Supplements to Permitted Section 5(d) Communications</w:t>
      </w:r>
      <w:r>
        <w:rPr>
          <w:rFonts w:ascii="Arial" w:cs="Arial" w:eastAsia="Arial" w:hAnsi="Arial"/>
          <w:sz w:val="16"/>
          <w:szCs w:val="16"/>
          <w:color w:val="auto"/>
        </w:rPr>
        <w:t>. If at any time following the distribution of any Permitted</w:t>
      </w:r>
    </w:p>
    <w:p>
      <w:pPr>
        <w:spacing w:after="0" w:line="43" w:lineRule="exact"/>
        <w:rPr>
          <w:sz w:val="20"/>
          <w:szCs w:val="20"/>
          <w:color w:val="auto"/>
        </w:rPr>
      </w:pPr>
    </w:p>
    <w:p>
      <w:pPr>
        <w:ind w:right="580"/>
        <w:spacing w:after="0" w:line="268" w:lineRule="auto"/>
        <w:rPr>
          <w:sz w:val="20"/>
          <w:szCs w:val="20"/>
          <w:color w:val="auto"/>
        </w:rPr>
      </w:pPr>
      <w:r>
        <w:rPr>
          <w:rFonts w:ascii="Arial" w:cs="Arial" w:eastAsia="Arial" w:hAnsi="Arial"/>
          <w:sz w:val="17"/>
          <w:szCs w:val="17"/>
          <w:color w:val="auto"/>
        </w:rPr>
        <w:t>Section 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upon the reasonable request of the Representatives, will promptly amend or supplement, at its own expense, such Permitted Section 5(d) Communication to eliminate or correct such untrue statement or omission.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480" w:top="272" w:right="499" w:bottom="1440" w:gutter="0" w:footer="0" w:header="0"/>
        </w:sectPr>
      </w:pPr>
    </w:p>
    <w:bookmarkStart w:id="245" w:name="page246"/>
    <w:bookmarkEnd w:id="245"/>
    <w:p>
      <w:pPr>
        <w:ind w:right="60" w:firstLine="444"/>
        <w:spacing w:after="0" w:line="307" w:lineRule="auto"/>
        <w:tabs>
          <w:tab w:leader="none" w:pos="728"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Emerging Growth Company Status</w:t>
      </w:r>
      <w:r>
        <w:rPr>
          <w:rFonts w:ascii="Arial" w:cs="Arial" w:eastAsia="Arial" w:hAnsi="Arial"/>
          <w:sz w:val="16"/>
          <w:szCs w:val="16"/>
          <w:color w:val="auto"/>
        </w:rPr>
        <w:t>. The Company will promptly notify the Representatives if the Company ceases to be an Emerging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Growth Company at any time prior to the later of (i) the time when a prospectus relating to the Offered Shares is not required by the Securities Act to be delivered (in compliance with Rule 172 under the Securities Act or any similar rule) and (ii) the expiration of the Lock-Up Period (as defined herein).</w:t>
      </w:r>
    </w:p>
    <w:p>
      <w:pPr>
        <w:spacing w:after="0" w:line="38" w:lineRule="exact"/>
        <w:rPr>
          <w:rFonts w:ascii="Arial" w:cs="Arial" w:eastAsia="Arial" w:hAnsi="Arial"/>
          <w:sz w:val="16"/>
          <w:szCs w:val="16"/>
          <w:b w:val="1"/>
          <w:bCs w:val="1"/>
          <w:color w:val="auto"/>
        </w:rPr>
      </w:pPr>
    </w:p>
    <w:p>
      <w:pPr>
        <w:ind w:firstLine="444"/>
        <w:spacing w:after="0" w:line="286" w:lineRule="auto"/>
        <w:tabs>
          <w:tab w:leader="none" w:pos="689"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Announcement Regarding Lock-ups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announce the Underwriters’ intention to release any director or “officer” (within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meaning of Rule 16a-1(f) under the Exchange Act) of the Company from any of the restrictions imposed by any Lock-Up Agreement, by issuing, through a major news service, a press release in form and substance satisfactory to the Representatives or, if consented to by the Representatives, in a registration statement that is publicly filed in connection with a secondary offering of the Company’s shares promptly following the Company’s receipt of any notification from the Representatives in which such intention is indicated, but in any case not later than the close of the third business day prior to the date on which such release or waiver is to become effective;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nothing shall prevent the Representatives, on behalf of the Underwriters, from announcing the same through a major news service, irrespective of whether the Company has made the required announcement;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no such announcement shall be made of any release or waiver granted solely to permit a transfer of securities that is not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 and where the transferee has agreed in writing to be bound by the terms of a Lock-Up Agreement in the form set forth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17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Representatives, on behalf of the several Underwriters, may, in their sole discretion, waive in writing the performance by the Company of any one or more of the foregoing covenants or extend the time for their performance.</w:t>
      </w:r>
    </w:p>
    <w:p>
      <w:pPr>
        <w:spacing w:after="0" w:line="171" w:lineRule="exact"/>
        <w:rPr>
          <w:sz w:val="20"/>
          <w:szCs w:val="20"/>
          <w:color w:val="auto"/>
        </w:rPr>
      </w:pPr>
    </w:p>
    <w:p>
      <w:pPr>
        <w:ind w:right="60" w:firstLine="982"/>
        <w:spacing w:after="0" w:line="284" w:lineRule="auto"/>
        <w:rPr>
          <w:sz w:val="20"/>
          <w:szCs w:val="20"/>
          <w:color w:val="auto"/>
        </w:rPr>
      </w:pPr>
      <w:r>
        <w:rPr>
          <w:rFonts w:ascii="Arial" w:cs="Arial" w:eastAsia="Arial" w:hAnsi="Arial"/>
          <w:sz w:val="16"/>
          <w:szCs w:val="16"/>
          <w:b w:val="1"/>
          <w:bCs w:val="1"/>
          <w:color w:val="auto"/>
        </w:rPr>
        <w:t xml:space="preserve">Section 4. Payment of Expenses. </w:t>
      </w:r>
      <w:r>
        <w:rPr>
          <w:rFonts w:ascii="Arial" w:cs="Arial" w:eastAsia="Arial" w:hAnsi="Arial"/>
          <w:sz w:val="16"/>
          <w:szCs w:val="16"/>
          <w:color w:val="auto"/>
        </w:rPr>
        <w:t>The Company agrees to pay all costs, fees and expenses incurred in connection with the performance of</w:t>
      </w:r>
      <w:r>
        <w:rPr>
          <w:rFonts w:ascii="Arial" w:cs="Arial" w:eastAsia="Arial" w:hAnsi="Arial"/>
          <w:sz w:val="16"/>
          <w:szCs w:val="16"/>
          <w:b w:val="1"/>
          <w:bCs w:val="1"/>
          <w:color w:val="auto"/>
        </w:rPr>
        <w:t xml:space="preserve"> </w:t>
      </w:r>
      <w:r>
        <w:rPr>
          <w:rFonts w:ascii="Arial" w:cs="Arial" w:eastAsia="Arial" w:hAnsi="Arial"/>
          <w:sz w:val="16"/>
          <w:szCs w:val="16"/>
          <w:color w:val="auto"/>
        </w:rPr>
        <w:t>its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 (iii) all necessary issue, transfer and other stamp taxes in connection with the issuance and sale of the Offered Shares to the Underwriters,</w:t>
      </w:r>
    </w:p>
    <w:p>
      <w:pPr>
        <w:spacing w:after="0" w:line="2" w:lineRule="exact"/>
        <w:rPr>
          <w:sz w:val="20"/>
          <w:szCs w:val="20"/>
          <w:color w:val="auto"/>
        </w:rPr>
      </w:pPr>
    </w:p>
    <w:p>
      <w:pPr>
        <w:ind w:right="120" w:firstLine="7"/>
        <w:spacing w:after="0" w:line="282" w:lineRule="auto"/>
        <w:tabs>
          <w:tab w:leader="none" w:pos="30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Section 5(d) Communication, and all amendments and supplements thereto, and this Agreement, (vi) all filing fees, reasonable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(viii) the costs and expenses of the Company relating to investor presentations on any “road show”, any Permitted Section 5(d) Communication or any Section 5(d) Oral Communication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80" w:top="272" w:right="499" w:bottom="1440" w:gutter="0" w:footer="0" w:header="0"/>
        </w:sectPr>
      </w:pPr>
    </w:p>
    <w:bookmarkStart w:id="246" w:name="page247"/>
    <w:bookmarkEnd w:id="246"/>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show presentations with the prior approval of the Company, travel and lodging expenses of the representatives, employees and officers of the Company and any such consultants, and the cost of any aircraft chartered in connection with the road show, provided that the cost of any such chartered aircraft shall be borne 50% by the Company and 50% by the Underwriters, (ix) the fees and expenses associated with listing the Offered Shares on the Nasdaq, and (x) all other fees, costs and expenses of the nature referred to in Item 13 of Part II of the Registration Statement and (xi) all costs and expenses of the Underwriters, including the fees and disbursements of counsel for the Underwriters, in connection with matters related to the Directed Shares which are designated by the Company for sale to Participants; provided, that, the fees and expenses of counsel with respect to clauses (vi) and (vii) shall not exceed $40,000 in the aggregate. Except as provided in this Section 4 or in Section 7, Section 9 or Section 10 hereof, the Underwriters shall pay their own expenses, including the fees and disbursements of their counsel.</w:t>
      </w:r>
    </w:p>
    <w:p>
      <w:pPr>
        <w:spacing w:after="0" w:line="162" w:lineRule="exact"/>
        <w:rPr>
          <w:sz w:val="20"/>
          <w:szCs w:val="20"/>
          <w:color w:val="auto"/>
        </w:rPr>
      </w:pPr>
    </w:p>
    <w:p>
      <w:pPr>
        <w:jc w:val="both"/>
        <w:ind w:firstLine="982"/>
        <w:spacing w:after="0" w:line="309" w:lineRule="auto"/>
        <w:rPr>
          <w:sz w:val="20"/>
          <w:szCs w:val="20"/>
          <w:color w:val="auto"/>
        </w:rPr>
      </w:pPr>
      <w:r>
        <w:rPr>
          <w:rFonts w:ascii="Arial" w:cs="Arial" w:eastAsia="Arial" w:hAnsi="Arial"/>
          <w:sz w:val="16"/>
          <w:szCs w:val="16"/>
          <w:b w:val="1"/>
          <w:bCs w:val="1"/>
          <w:color w:val="auto"/>
        </w:rPr>
        <w:t xml:space="preserve">Section 5. Covenant of the Underwriters. </w:t>
      </w:r>
      <w:r>
        <w:rPr>
          <w:rFonts w:ascii="Arial" w:cs="Arial" w:eastAsia="Arial" w:hAnsi="Arial"/>
          <w:sz w:val="16"/>
          <w:szCs w:val="16"/>
          <w:color w:val="auto"/>
        </w:rPr>
        <w:t>Each Underwriter severally and not jointly covenants with the Company not to take any action</w:t>
      </w:r>
      <w:r>
        <w:rPr>
          <w:rFonts w:ascii="Arial" w:cs="Arial" w:eastAsia="Arial" w:hAnsi="Arial"/>
          <w:sz w:val="16"/>
          <w:szCs w:val="16"/>
          <w:b w:val="1"/>
          <w:bCs w:val="1"/>
          <w:color w:val="auto"/>
        </w:rPr>
        <w:t xml:space="preserve"> </w:t>
      </w:r>
      <w:r>
        <w:rPr>
          <w:rFonts w:ascii="Arial" w:cs="Arial" w:eastAsia="Arial" w:hAnsi="Arial"/>
          <w:sz w:val="16"/>
          <w:szCs w:val="16"/>
          <w:color w:val="auto"/>
        </w:rPr>
        <w:t>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45" w:lineRule="exact"/>
        <w:rPr>
          <w:sz w:val="20"/>
          <w:szCs w:val="20"/>
          <w:color w:val="auto"/>
        </w:rPr>
      </w:pPr>
    </w:p>
    <w:p>
      <w:pPr>
        <w:ind w:right="40" w:firstLine="982"/>
        <w:spacing w:after="0" w:line="294" w:lineRule="auto"/>
        <w:rPr>
          <w:sz w:val="20"/>
          <w:szCs w:val="20"/>
          <w:color w:val="auto"/>
        </w:rPr>
      </w:pPr>
      <w:r>
        <w:rPr>
          <w:rFonts w:ascii="Arial" w:cs="Arial" w:eastAsia="Arial" w:hAnsi="Arial"/>
          <w:sz w:val="16"/>
          <w:szCs w:val="16"/>
          <w:b w:val="1"/>
          <w:bCs w:val="1"/>
          <w:color w:val="auto"/>
        </w:rPr>
        <w:t xml:space="preserve">Section 6. Conditions of the Obligations of the Underwriters. </w:t>
      </w:r>
      <w:r>
        <w:rPr>
          <w:rFonts w:ascii="Arial" w:cs="Arial" w:eastAsia="Arial" w:hAnsi="Arial"/>
          <w:sz w:val="16"/>
          <w:szCs w:val="16"/>
          <w:color w:val="auto"/>
        </w:rPr>
        <w:t>The respective obligations of the several Underwriters hereunder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50" w:lineRule="exact"/>
        <w:rPr>
          <w:sz w:val="20"/>
          <w:szCs w:val="20"/>
          <w:color w:val="auto"/>
        </w:rPr>
      </w:pPr>
    </w:p>
    <w:p>
      <w:pPr>
        <w:ind w:right="160" w:firstLine="444"/>
        <w:spacing w:after="0" w:line="294" w:lineRule="auto"/>
        <w:tabs>
          <w:tab w:leader="none" w:pos="689" w:val="left"/>
        </w:tabs>
        <w:numPr>
          <w:ilvl w:val="0"/>
          <w:numId w:val="15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Comfort Letter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date hereof, the Representatives shall have received from KPMG LLP, independent registered public accountants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53" w:lineRule="exact"/>
        <w:rPr>
          <w:rFonts w:ascii="Arial" w:cs="Arial" w:eastAsia="Arial" w:hAnsi="Arial"/>
          <w:sz w:val="16"/>
          <w:szCs w:val="16"/>
          <w:b w:val="1"/>
          <w:bCs w:val="1"/>
          <w:color w:val="auto"/>
        </w:rPr>
      </w:pPr>
    </w:p>
    <w:p>
      <w:pPr>
        <w:jc w:val="both"/>
        <w:ind w:right="400" w:firstLine="444"/>
        <w:spacing w:after="0" w:line="259" w:lineRule="auto"/>
        <w:tabs>
          <w:tab w:leader="none" w:pos="699"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Registration Requirements; No Stop Order; No Objection from FINRA. </w:t>
      </w:r>
      <w:r>
        <w:rPr>
          <w:rFonts w:ascii="Arial" w:cs="Arial" w:eastAsia="Arial" w:hAnsi="Arial"/>
          <w:sz w:val="18"/>
          <w:szCs w:val="18"/>
          <w:color w:val="auto"/>
        </w:rPr>
        <w:t>For the period from and after the date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and through and including the First Closing Date and, with respect to any Optional Shares purchased after the First Closing Date, each Option Closing Date:</w:t>
      </w:r>
    </w:p>
    <w:p>
      <w:pPr>
        <w:spacing w:after="0" w:line="78" w:lineRule="exact"/>
        <w:rPr>
          <w:rFonts w:ascii="Arial" w:cs="Arial" w:eastAsia="Arial" w:hAnsi="Arial"/>
          <w:sz w:val="18"/>
          <w:szCs w:val="18"/>
          <w:b w:val="1"/>
          <w:bCs w:val="1"/>
          <w:color w:val="auto"/>
        </w:rPr>
      </w:pPr>
    </w:p>
    <w:p>
      <w:pPr>
        <w:ind w:right="260" w:firstLine="990"/>
        <w:spacing w:after="0" w:line="255" w:lineRule="auto"/>
        <w:tabs>
          <w:tab w:leader="none" w:pos="119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w:t>
      </w:r>
    </w:p>
    <w:p>
      <w:pPr>
        <w:spacing w:after="0" w:line="83" w:lineRule="exact"/>
        <w:rPr>
          <w:rFonts w:ascii="Arial" w:cs="Arial" w:eastAsia="Arial" w:hAnsi="Arial"/>
          <w:sz w:val="18"/>
          <w:szCs w:val="18"/>
          <w:color w:val="auto"/>
        </w:rPr>
      </w:pPr>
    </w:p>
    <w:p>
      <w:pPr>
        <w:ind w:right="380" w:firstLine="990"/>
        <w:spacing w:after="0" w:line="259" w:lineRule="auto"/>
        <w:tabs>
          <w:tab w:leader="none" w:pos="124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post-effective amendment to the Registration Statement shall be in effect, and no proceedings for such purpose shall have been instituted or, to the knowledge of the Company, threatened by the Commission.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80"/>
          </w:cols>
          <w:pgMar w:left="480" w:top="272" w:right="539" w:bottom="1440" w:gutter="0" w:footer="0" w:header="0"/>
        </w:sectPr>
      </w:pPr>
    </w:p>
    <w:bookmarkStart w:id="247" w:name="page248"/>
    <w:bookmarkEnd w:id="247"/>
    <w:p>
      <w:pPr>
        <w:ind w:left="1300" w:hanging="310"/>
        <w:spacing w:after="0"/>
        <w:tabs>
          <w:tab w:leader="none" w:pos="13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FINRA shall have raised no objection to the fairness and reasonableness of the underwriting terms and arrangements.</w:t>
      </w:r>
    </w:p>
    <w:p>
      <w:pPr>
        <w:spacing w:after="0" w:line="109" w:lineRule="exact"/>
        <w:rPr>
          <w:rFonts w:ascii="Arial" w:cs="Arial" w:eastAsia="Arial" w:hAnsi="Arial"/>
          <w:sz w:val="18"/>
          <w:szCs w:val="18"/>
          <w:color w:val="auto"/>
        </w:rPr>
      </w:pPr>
    </w:p>
    <w:p>
      <w:pPr>
        <w:ind w:right="60" w:firstLine="444"/>
        <w:spacing w:after="0" w:line="306" w:lineRule="auto"/>
        <w:tabs>
          <w:tab w:leader="none" w:pos="679"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Material Adverse Change or Ratings Agency Change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period from and after the date of this Agreement and through and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First Closing Date and, with respect to any Optional Shares purchased after the First Closing Date, each Option Closing Date:</w:t>
      </w:r>
    </w:p>
    <w:p>
      <w:pPr>
        <w:spacing w:after="0" w:line="40" w:lineRule="exact"/>
        <w:rPr>
          <w:rFonts w:ascii="Arial" w:cs="Arial" w:eastAsia="Arial" w:hAnsi="Arial"/>
          <w:sz w:val="17"/>
          <w:szCs w:val="17"/>
          <w:b w:val="1"/>
          <w:bCs w:val="1"/>
          <w:color w:val="auto"/>
        </w:rPr>
      </w:pPr>
    </w:p>
    <w:p>
      <w:pPr>
        <w:ind w:left="1200" w:hanging="210"/>
        <w:spacing w:after="0"/>
        <w:tabs>
          <w:tab w:leader="none" w:pos="12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the judgment of the Representatives there shall not have occurred any Material Adverse Change; and</w:t>
      </w:r>
    </w:p>
    <w:p>
      <w:pPr>
        <w:spacing w:after="0" w:line="114" w:lineRule="exact"/>
        <w:rPr>
          <w:sz w:val="20"/>
          <w:szCs w:val="20"/>
          <w:color w:val="auto"/>
        </w:rPr>
      </w:pPr>
    </w:p>
    <w:p>
      <w:pPr>
        <w:ind w:right="60" w:firstLine="990"/>
        <w:spacing w:after="0" w:line="281" w:lineRule="auto"/>
        <w:tabs>
          <w:tab w:leader="none" w:pos="1245" w:val="left"/>
        </w:tabs>
        <w:numPr>
          <w:ilvl w:val="1"/>
          <w:numId w:val="159"/>
        </w:numPr>
        <w:rPr>
          <w:rFonts w:ascii="Arial" w:cs="Arial" w:eastAsia="Arial" w:hAnsi="Arial"/>
          <w:sz w:val="17"/>
          <w:szCs w:val="17"/>
          <w:color w:val="auto"/>
        </w:rPr>
      </w:pPr>
      <w:r>
        <w:rPr>
          <w:rFonts w:ascii="Arial" w:cs="Arial" w:eastAsia="Arial" w:hAnsi="Arial"/>
          <w:sz w:val="17"/>
          <w:szCs w:val="17"/>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that term is used in Rule 15c3-1(c)(2)(vi)(F) under the Exchange Act.</w:t>
      </w:r>
    </w:p>
    <w:p>
      <w:pPr>
        <w:spacing w:after="0" w:line="58" w:lineRule="exact"/>
        <w:rPr>
          <w:rFonts w:ascii="Arial" w:cs="Arial" w:eastAsia="Arial" w:hAnsi="Arial"/>
          <w:sz w:val="17"/>
          <w:szCs w:val="17"/>
          <w:color w:val="auto"/>
        </w:rPr>
      </w:pPr>
    </w:p>
    <w:p>
      <w:pPr>
        <w:ind w:right="20" w:firstLine="444"/>
        <w:spacing w:after="0" w:line="261" w:lineRule="auto"/>
        <w:tabs>
          <w:tab w:leader="none" w:pos="699"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Counsel for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and negative assurance letter of Cooley LLP, counsel for the Company, dated as of such date, in the form and substance satisfactory to the Underwriters.</w:t>
      </w:r>
    </w:p>
    <w:p>
      <w:pPr>
        <w:spacing w:after="0" w:line="74" w:lineRule="exact"/>
        <w:rPr>
          <w:sz w:val="20"/>
          <w:szCs w:val="20"/>
          <w:color w:val="auto"/>
        </w:rPr>
      </w:pPr>
    </w:p>
    <w:p>
      <w:pPr>
        <w:ind w:firstLine="436"/>
        <w:spacing w:after="0" w:line="261"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b w:val="1"/>
          <w:bCs w:val="1"/>
          <w:i w:val="1"/>
          <w:iCs w:val="1"/>
          <w:color w:val="auto"/>
        </w:rPr>
        <w:t>Opinion of Intellectual Property Counsel for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On each of the First Closing Date and each Option Closing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shall have received the opinion of Cooley LLP, counsel for the Company with respect to certain intellectual property matters, dated as of such date, in form and substance satisfactory to the Underwriters.]</w:t>
      </w:r>
    </w:p>
    <w:p>
      <w:pPr>
        <w:spacing w:after="0" w:line="74" w:lineRule="exact"/>
        <w:rPr>
          <w:sz w:val="20"/>
          <w:szCs w:val="20"/>
          <w:color w:val="auto"/>
        </w:rPr>
      </w:pPr>
    </w:p>
    <w:p>
      <w:pPr>
        <w:jc w:val="both"/>
        <w:ind w:right="320" w:firstLine="444"/>
        <w:spacing w:after="0" w:line="284" w:lineRule="auto"/>
        <w:tabs>
          <w:tab w:leader="none" w:pos="659"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Opinion of Counsel for the Underwriters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each of the First Closing Date and each Option Closing Date the Representatives shall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received the opinion and negative assurance letter of Goodwin Procter LLP, counsel for the Underwriters in connection with the offer and sale of the Offered Shares, in form and substance satisfactory to the Underwriters, dated as of such date.</w:t>
      </w:r>
    </w:p>
    <w:p>
      <w:pPr>
        <w:spacing w:after="0" w:line="55" w:lineRule="exact"/>
        <w:rPr>
          <w:rFonts w:ascii="Arial" w:cs="Arial" w:eastAsia="Arial" w:hAnsi="Arial"/>
          <w:sz w:val="17"/>
          <w:szCs w:val="17"/>
          <w:b w:val="1"/>
          <w:bCs w:val="1"/>
          <w:color w:val="auto"/>
        </w:rPr>
      </w:pPr>
    </w:p>
    <w:p>
      <w:pPr>
        <w:ind w:right="300" w:firstLine="444"/>
        <w:spacing w:after="0" w:line="261" w:lineRule="auto"/>
        <w:tabs>
          <w:tab w:leader="none" w:pos="689"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Officers’ Certificate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 received a certificate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by the Chief Executive Officer or President of the Company and the Chief Financial Officer of the Company, dated as of such date, to the effect set forth in Section 6(b)(ii) and further to the effect that:</w:t>
      </w:r>
    </w:p>
    <w:p>
      <w:pPr>
        <w:spacing w:after="0" w:line="77" w:lineRule="exact"/>
        <w:rPr>
          <w:rFonts w:ascii="Arial" w:cs="Arial" w:eastAsia="Arial" w:hAnsi="Arial"/>
          <w:sz w:val="18"/>
          <w:szCs w:val="18"/>
          <w:b w:val="1"/>
          <w:bCs w:val="1"/>
          <w:color w:val="auto"/>
        </w:rPr>
      </w:pPr>
    </w:p>
    <w:p>
      <w:pPr>
        <w:ind w:right="460" w:firstLine="990"/>
        <w:spacing w:after="0" w:line="271" w:lineRule="auto"/>
        <w:tabs>
          <w:tab w:leader="none" w:pos="119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for the period from and including the date of this Agreement through and including such date, there has not occurred any Material Adverse Change;</w:t>
      </w:r>
    </w:p>
    <w:p>
      <w:pPr>
        <w:spacing w:after="0" w:line="67" w:lineRule="exact"/>
        <w:rPr>
          <w:rFonts w:ascii="Arial" w:cs="Arial" w:eastAsia="Arial" w:hAnsi="Arial"/>
          <w:sz w:val="18"/>
          <w:szCs w:val="18"/>
          <w:color w:val="auto"/>
        </w:rPr>
      </w:pPr>
    </w:p>
    <w:p>
      <w:pPr>
        <w:ind w:right="340" w:firstLine="990"/>
        <w:spacing w:after="0" w:line="271" w:lineRule="auto"/>
        <w:tabs>
          <w:tab w:leader="none" w:pos="124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67" w:lineRule="exact"/>
        <w:rPr>
          <w:rFonts w:ascii="Arial" w:cs="Arial" w:eastAsia="Arial" w:hAnsi="Arial"/>
          <w:sz w:val="18"/>
          <w:szCs w:val="18"/>
          <w:color w:val="auto"/>
        </w:rPr>
      </w:pPr>
    </w:p>
    <w:p>
      <w:pPr>
        <w:ind w:right="220" w:firstLine="990"/>
        <w:spacing w:after="0" w:line="271" w:lineRule="auto"/>
        <w:tabs>
          <w:tab w:leader="none" w:pos="129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63" w:lineRule="exact"/>
        <w:rPr>
          <w:rFonts w:ascii="Arial" w:cs="Arial" w:eastAsia="Arial" w:hAnsi="Arial"/>
          <w:sz w:val="18"/>
          <w:szCs w:val="18"/>
          <w:color w:val="auto"/>
        </w:rPr>
      </w:pPr>
    </w:p>
    <w:p>
      <w:pPr>
        <w:ind w:right="280" w:firstLine="444"/>
        <w:spacing w:after="0" w:line="294" w:lineRule="auto"/>
        <w:tabs>
          <w:tab w:leader="none" w:pos="699"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Bring-down Comfort Letter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each of the First Closing Date and each Option Closing Date the Representatives shall have received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KPMG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480" w:top="272" w:right="499" w:bottom="1440" w:gutter="0" w:footer="0" w:header="0"/>
        </w:sectPr>
      </w:pPr>
    </w:p>
    <w:bookmarkStart w:id="248" w:name="page249"/>
    <w:bookmarkEnd w:id="248"/>
    <w:p>
      <w:pPr>
        <w:ind w:right="220" w:firstLine="444"/>
        <w:spacing w:after="0" w:line="259" w:lineRule="auto"/>
        <w:tabs>
          <w:tab w:leader="none" w:pos="649"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Lock-Up Agreements. </w:t>
      </w:r>
      <w:r>
        <w:rPr>
          <w:rFonts w:ascii="Arial" w:cs="Arial" w:eastAsia="Arial" w:hAnsi="Arial"/>
          <w:sz w:val="18"/>
          <w:szCs w:val="18"/>
          <w:color w:val="auto"/>
        </w:rPr>
        <w:t>On or prior to the date hereof, the Company shall have furnished to the Representatives an agreement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from each director, officer and from substantially all of the securityholders of the Company, and each such agreement shall be in full force and effect on each of the First Closing Date and each Option Closing Date.</w:t>
      </w:r>
    </w:p>
    <w:p>
      <w:pPr>
        <w:spacing w:after="0" w:line="74" w:lineRule="exact"/>
        <w:rPr>
          <w:rFonts w:ascii="Arial" w:cs="Arial" w:eastAsia="Arial" w:hAnsi="Arial"/>
          <w:sz w:val="18"/>
          <w:szCs w:val="18"/>
          <w:b w:val="1"/>
          <w:bCs w:val="1"/>
          <w:color w:val="auto"/>
        </w:rPr>
      </w:pPr>
    </w:p>
    <w:p>
      <w:pPr>
        <w:ind w:right="40" w:firstLine="444"/>
        <w:spacing w:after="0" w:line="261" w:lineRule="auto"/>
        <w:tabs>
          <w:tab w:leader="none" w:pos="659"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a Rule 462(b) Registration Statement is filed in connection with the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77" w:lineRule="exact"/>
        <w:rPr>
          <w:rFonts w:ascii="Arial" w:cs="Arial" w:eastAsia="Arial" w:hAnsi="Arial"/>
          <w:sz w:val="18"/>
          <w:szCs w:val="18"/>
          <w:b w:val="1"/>
          <w:bCs w:val="1"/>
          <w:color w:val="auto"/>
        </w:rPr>
      </w:pPr>
    </w:p>
    <w:p>
      <w:pPr>
        <w:ind w:right="460" w:firstLine="444"/>
        <w:spacing w:after="0" w:line="271" w:lineRule="auto"/>
        <w:tabs>
          <w:tab w:leader="none" w:pos="699"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Approval of Listing</w:t>
      </w:r>
      <w:r>
        <w:rPr>
          <w:rFonts w:ascii="Arial" w:cs="Arial" w:eastAsia="Arial" w:hAnsi="Arial"/>
          <w:sz w:val="18"/>
          <w:szCs w:val="18"/>
          <w:color w:val="auto"/>
        </w:rPr>
        <w:t>. At the First Closing Date, the Offered Shares shall have been approved for listing on the NASDAQ, subject only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official notice of issuance.</w:t>
      </w:r>
    </w:p>
    <w:p>
      <w:pPr>
        <w:spacing w:after="0" w:line="67" w:lineRule="exact"/>
        <w:rPr>
          <w:rFonts w:ascii="Arial" w:cs="Arial" w:eastAsia="Arial" w:hAnsi="Arial"/>
          <w:sz w:val="18"/>
          <w:szCs w:val="18"/>
          <w:b w:val="1"/>
          <w:bCs w:val="1"/>
          <w:color w:val="auto"/>
        </w:rPr>
      </w:pPr>
    </w:p>
    <w:p>
      <w:pPr>
        <w:ind w:firstLine="444"/>
        <w:spacing w:after="0" w:line="275" w:lineRule="auto"/>
        <w:tabs>
          <w:tab w:leader="none" w:pos="649"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CFO Certificate</w:t>
      </w:r>
      <w:r>
        <w:rPr>
          <w:rFonts w:ascii="Arial" w:cs="Arial" w:eastAsia="Arial" w:hAnsi="Arial"/>
          <w:sz w:val="17"/>
          <w:szCs w:val="17"/>
          <w:color w:val="auto"/>
        </w:rPr>
        <w:t>. On the date of this Agreement and on the First Closing Date or the applicable Option Closing Date, as the case may be,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shall have furnished to the Representatives a certificate, dated the respective dates of delivery thereof and addressed to the Underwriters, of its chief financial officer with respect to certain financial data contained in the Time of Sale Prospectus and the Prospectus, providing “management comfort” with respect to such information, in form and substance reasonably satisfactory to the Representatives.</w:t>
      </w:r>
    </w:p>
    <w:p>
      <w:pPr>
        <w:spacing w:after="0" w:line="66" w:lineRule="exact"/>
        <w:rPr>
          <w:rFonts w:ascii="Arial" w:cs="Arial" w:eastAsia="Arial" w:hAnsi="Arial"/>
          <w:sz w:val="17"/>
          <w:szCs w:val="17"/>
          <w:b w:val="1"/>
          <w:bCs w:val="1"/>
          <w:color w:val="auto"/>
        </w:rPr>
      </w:pPr>
    </w:p>
    <w:p>
      <w:pPr>
        <w:ind w:right="160" w:firstLine="444"/>
        <w:spacing w:after="0" w:line="290" w:lineRule="auto"/>
        <w:tabs>
          <w:tab w:leader="none" w:pos="748"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Additional Documents</w:t>
      </w:r>
      <w:r>
        <w:rPr>
          <w:rFonts w:ascii="Arial" w:cs="Arial" w:eastAsia="Arial" w:hAnsi="Arial"/>
          <w:sz w:val="16"/>
          <w:szCs w:val="16"/>
          <w:color w:val="auto"/>
        </w:rPr>
        <w:t>. On or before each of the First Closing Date and each Option Closing Date, the Representatives and counsel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64" w:lineRule="exact"/>
        <w:rPr>
          <w:sz w:val="20"/>
          <w:szCs w:val="20"/>
          <w:color w:val="auto"/>
        </w:rPr>
      </w:pPr>
    </w:p>
    <w:p>
      <w:pPr>
        <w:ind w:firstLine="436"/>
        <w:spacing w:after="0" w:line="297" w:lineRule="auto"/>
        <w:rPr>
          <w:sz w:val="20"/>
          <w:szCs w:val="20"/>
          <w:color w:val="auto"/>
        </w:rPr>
      </w:pPr>
      <w:r>
        <w:rPr>
          <w:rFonts w:ascii="Arial" w:cs="Arial" w:eastAsia="Arial" w:hAnsi="Arial"/>
          <w:sz w:val="16"/>
          <w:szCs w:val="16"/>
          <w:color w:val="auto"/>
        </w:rPr>
        <w:t>If any condition specified in this Section 6 is not satisfied when and as required to be satisfied (unless waived by the Representatives), this Agreement may be terminated by the Representatives by notice from Jefferies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55" w:lineRule="exact"/>
        <w:rPr>
          <w:sz w:val="20"/>
          <w:szCs w:val="20"/>
          <w:color w:val="auto"/>
        </w:rPr>
      </w:pPr>
    </w:p>
    <w:p>
      <w:pPr>
        <w:ind w:firstLine="982"/>
        <w:spacing w:after="0" w:line="269" w:lineRule="auto"/>
        <w:rPr>
          <w:sz w:val="20"/>
          <w:szCs w:val="20"/>
          <w:color w:val="auto"/>
        </w:rPr>
      </w:pPr>
      <w:r>
        <w:rPr>
          <w:rFonts w:ascii="Arial" w:cs="Arial" w:eastAsia="Arial" w:hAnsi="Arial"/>
          <w:sz w:val="17"/>
          <w:szCs w:val="17"/>
          <w:b w:val="1"/>
          <w:bCs w:val="1"/>
          <w:color w:val="auto"/>
        </w:rPr>
        <w:t>Section 7. Reimbursement of Underwriters’ Expenses</w:t>
      </w:r>
      <w:r>
        <w:rPr>
          <w:rFonts w:ascii="Arial" w:cs="Arial" w:eastAsia="Arial" w:hAnsi="Arial"/>
          <w:sz w:val="17"/>
          <w:szCs w:val="17"/>
          <w:color w:val="auto"/>
        </w:rPr>
        <w:t>. If this Agreement is terminated by the Representatives pursuant to Section 6,</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11 or Section 12,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documented out-of-pocket expenses that shall have been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480" w:top="272" w:right="519" w:bottom="1440" w:gutter="0" w:footer="0" w:header="0"/>
        </w:sectPr>
      </w:pPr>
    </w:p>
    <w:bookmarkStart w:id="249" w:name="page250"/>
    <w:bookmarkEnd w:id="249"/>
    <w:p>
      <w:pPr>
        <w:ind w:left="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8. Effectiveness of this Agreement</w:t>
      </w:r>
      <w:r>
        <w:rPr>
          <w:rFonts w:ascii="Arial" w:cs="Arial" w:eastAsia="Arial" w:hAnsi="Arial"/>
          <w:sz w:val="16"/>
          <w:szCs w:val="16"/>
          <w:color w:val="auto"/>
        </w:rPr>
        <w:t>. This Agreement shall become effective upon the execution and delivery hereof by the parties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9. Indemnification</w:t>
      </w:r>
      <w:r>
        <w:rPr>
          <w:rFonts w:ascii="Arial" w:cs="Arial" w:eastAsia="Arial" w:hAnsi="Arial"/>
          <w:sz w:val="18"/>
          <w:szCs w:val="18"/>
          <w:color w:val="auto"/>
        </w:rPr>
        <w:t>.</w:t>
      </w:r>
    </w:p>
    <w:p>
      <w:pPr>
        <w:spacing w:after="0" w:line="114" w:lineRule="exact"/>
        <w:rPr>
          <w:sz w:val="20"/>
          <w:szCs w:val="20"/>
          <w:color w:val="auto"/>
        </w:rPr>
      </w:pPr>
    </w:p>
    <w:p>
      <w:pPr>
        <w:ind w:firstLine="444"/>
        <w:spacing w:after="0" w:line="281" w:lineRule="auto"/>
        <w:tabs>
          <w:tab w:leader="none" w:pos="689"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indemnify and hold harmless each Underwriter, its affiliates,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(A)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any prospectus wrapper material distributed in connection with the reservation and sale of Directed Shares to the Participants,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any matter covered by clause (i) or (ii) above, or (B) the violation of any laws or regulations of foreign jurisdictions where Offered Shares have been offered or sold; and to reimburse each Underwriter and each such affiliate, director, officer, employee, agent and controlling person for any and all reasonable expenses (including the reasonable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73" w:lineRule="exact"/>
        <w:rPr>
          <w:rFonts w:ascii="Arial" w:cs="Arial" w:eastAsia="Arial" w:hAnsi="Arial"/>
          <w:sz w:val="16"/>
          <w:szCs w:val="16"/>
          <w:b w:val="1"/>
          <w:bCs w:val="1"/>
          <w:color w:val="auto"/>
        </w:rPr>
      </w:pPr>
    </w:p>
    <w:p>
      <w:pPr>
        <w:ind w:right="120" w:firstLine="444"/>
        <w:spacing w:after="0" w:line="293" w:lineRule="auto"/>
        <w:tabs>
          <w:tab w:leader="none" w:pos="699"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Company, its Directors and Officers</w:t>
      </w:r>
      <w:r>
        <w:rPr>
          <w:rFonts w:ascii="Arial" w:cs="Arial" w:eastAsia="Arial" w:hAnsi="Arial"/>
          <w:sz w:val="16"/>
          <w:szCs w:val="16"/>
          <w:color w:val="auto"/>
        </w:rPr>
        <w:t>. Each Underwriter agrees, severally and not jointly, to indemnify and hold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480" w:top="268" w:right="519" w:bottom="1440" w:gutter="0" w:footer="0" w:header="0"/>
        </w:sectPr>
      </w:pPr>
    </w:p>
    <w:bookmarkStart w:id="250" w:name="page251"/>
    <w:bookmarkEnd w:id="250"/>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the first sentence of the third paragraph, the concession and reallowance figures in the first and second sentences of the fifth paragraph, the first sentence of the sixteenth paragraph and the first sentence of the twenty-first paragraph under the caption “Underwriting” in the Preliminary Prospectus and the Prospectus. The indemnity agreement set forth in this Section 9(b) shall be in addition to any liabilities that each Underwriter may otherwise have.</w:t>
      </w:r>
    </w:p>
    <w:p>
      <w:pPr>
        <w:spacing w:after="0" w:line="59" w:lineRule="exact"/>
        <w:rPr>
          <w:sz w:val="20"/>
          <w:szCs w:val="20"/>
          <w:color w:val="auto"/>
        </w:rPr>
      </w:pPr>
    </w:p>
    <w:p>
      <w:pPr>
        <w:ind w:firstLine="444"/>
        <w:spacing w:after="0" w:line="283" w:lineRule="auto"/>
        <w:tabs>
          <w:tab w:leader="none" w:pos="679"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Notifications and Other Indemnification Procedures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Promptly after receipt by an indemnified party under this Section 9 of notice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0"/>
          </w:cols>
          <w:pgMar w:left="480" w:top="272" w:right="519" w:bottom="1440" w:gutter="0" w:footer="0" w:header="0"/>
        </w:sectPr>
      </w:pPr>
    </w:p>
    <w:bookmarkStart w:id="251" w:name="page252"/>
    <w:bookmarkEnd w:id="251"/>
    <w:p>
      <w:pPr>
        <w:ind w:right="140"/>
        <w:spacing w:after="0" w:line="32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Jefferies (in the case of counsel for the indemnified parties referred to in Section 9(a) above) or by the Company (in the case of counsel for the indemnified parties referred to in Section 9(b) above)) or</w:t>
      </w:r>
    </w:p>
    <w:p>
      <w:pPr>
        <w:spacing w:after="0" w:line="1" w:lineRule="exact"/>
        <w:rPr>
          <w:sz w:val="20"/>
          <w:szCs w:val="20"/>
          <w:color w:val="auto"/>
        </w:rPr>
      </w:pPr>
    </w:p>
    <w:p>
      <w:pPr>
        <w:jc w:val="both"/>
        <w:ind w:right="120" w:firstLine="7"/>
        <w:spacing w:after="0" w:line="250" w:lineRule="auto"/>
        <w:tabs>
          <w:tab w:leader="none" w:pos="26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83" w:lineRule="exact"/>
        <w:rPr>
          <w:rFonts w:ascii="Arial" w:cs="Arial" w:eastAsia="Arial" w:hAnsi="Arial"/>
          <w:sz w:val="18"/>
          <w:szCs w:val="18"/>
          <w:color w:val="auto"/>
        </w:rPr>
      </w:pPr>
    </w:p>
    <w:p>
      <w:pPr>
        <w:ind w:firstLine="444"/>
        <w:spacing w:after="0" w:line="266" w:lineRule="auto"/>
        <w:tabs>
          <w:tab w:leader="none" w:pos="699" w:val="left"/>
        </w:tabs>
        <w:numPr>
          <w:ilvl w:val="1"/>
          <w:numId w:val="16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Settlements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indemnifying party under this Section 9 shall not be liable for any settlement of any proceeding effected without its written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75" w:lineRule="exact"/>
        <w:rPr>
          <w:sz w:val="20"/>
          <w:szCs w:val="20"/>
          <w:color w:val="auto"/>
        </w:rPr>
      </w:pPr>
    </w:p>
    <w:p>
      <w:pPr>
        <w:ind w:right="80" w:firstLine="436"/>
        <w:spacing w:after="0" w:line="281" w:lineRule="auto"/>
        <w:rPr>
          <w:sz w:val="20"/>
          <w:szCs w:val="20"/>
          <w:color w:val="auto"/>
        </w:rPr>
      </w:pPr>
      <w:r>
        <w:rPr>
          <w:rFonts w:ascii="Arial" w:cs="Arial" w:eastAsia="Arial" w:hAnsi="Arial"/>
          <w:sz w:val="16"/>
          <w:szCs w:val="16"/>
          <w:b w:val="1"/>
          <w:bCs w:val="1"/>
          <w:color w:val="auto"/>
        </w:rPr>
        <w:t xml:space="preserve">[(e) </w:t>
      </w:r>
      <w:r>
        <w:rPr>
          <w:rFonts w:ascii="Arial" w:cs="Arial" w:eastAsia="Arial" w:hAnsi="Arial"/>
          <w:sz w:val="16"/>
          <w:szCs w:val="16"/>
          <w:b w:val="1"/>
          <w:bCs w:val="1"/>
          <w:i w:val="1"/>
          <w:iCs w:val="1"/>
          <w:color w:val="auto"/>
        </w:rPr>
        <w:t>Indemnification for Directed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offer and sale of the Directed Shares, the Company agrees, promptly upon a</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in writing, to indemnify and hold harmless the Underwriters from and against any and all losses, liabilities, claims, damages and expenses incurred by any of them as a result of the failure of the Participants to pay for and accept delivery of Directed Shares which, by the end of the first business day following the date of this Agreement, were subject to a properly confirmed agreement to purchase. The Company agrees to indemnify and hold harmless the Underwriters and their respective affiliates, directors, officers, employees and agents, and each person, if any, who controls any of the Underwriters within the meaning of the Securities Act or the Exchange Act against any loss, claim, damage, liability or expense, as incurred, to which the Underwriters or such controlling person may become subject, which is (i) caused by any untrue statement or alleged untrue statement of a material fact contained in any material prepared by or with the consent of the Company for distribution to Participants in connection with the Directed Share Program (including any prospectus wrapper material distributed in connection with the reservation and sale of Directed Shares) or caused by any omission or alleged omission to state therein a material fact required to be stated therein or necessary to make the statements therein not misleading;</w:t>
      </w:r>
    </w:p>
    <w:p>
      <w:pPr>
        <w:spacing w:after="0" w:line="3" w:lineRule="exact"/>
        <w:rPr>
          <w:sz w:val="20"/>
          <w:szCs w:val="20"/>
          <w:color w:val="auto"/>
        </w:rPr>
      </w:pPr>
    </w:p>
    <w:p>
      <w:pPr>
        <w:ind w:right="120" w:firstLine="7"/>
        <w:spacing w:after="0" w:line="252" w:lineRule="auto"/>
        <w:tabs>
          <w:tab w:leader="none" w:pos="26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caused by the failure of any Participant to pay for and accept delivery of Directed Shares that such Participant agreed to purchase; or (iii) related to, arising out of, or in connection with the Directed Share Program. The indemnity agreement set forth in this paragraph shall be in addition to any liabilities that the Company may otherwise have.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80" w:top="272" w:right="499" w:bottom="1440" w:gutter="0" w:footer="0" w:header="0"/>
        </w:sectPr>
      </w:pPr>
    </w:p>
    <w:bookmarkStart w:id="252" w:name="page253"/>
    <w:bookmarkEnd w:id="252"/>
    <w:p>
      <w:pPr>
        <w:ind w:firstLine="982"/>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10. Contribution</w:t>
      </w:r>
      <w:r>
        <w:rPr>
          <w:rFonts w:ascii="Arial" w:cs="Arial" w:eastAsia="Arial" w:hAnsi="Arial"/>
          <w:sz w:val="16"/>
          <w:szCs w:val="16"/>
          <w:color w:val="auto"/>
        </w:rPr>
        <w:t>. If the indemnification provided for in Section 9 is for any reason held to be unavailable to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70"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Section 9(c) for purposes of indemnification.</w:t>
      </w:r>
    </w:p>
    <w:p>
      <w:pPr>
        <w:spacing w:after="0" w:line="176" w:lineRule="exact"/>
        <w:rPr>
          <w:sz w:val="20"/>
          <w:szCs w:val="20"/>
          <w:color w:val="auto"/>
        </w:rPr>
      </w:pPr>
    </w:p>
    <w:p>
      <w:pPr>
        <w:ind w:right="280" w:firstLine="436"/>
        <w:spacing w:after="0" w:line="259"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86"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480" w:top="268" w:right="499" w:bottom="1440" w:gutter="0" w:footer="0" w:header="0"/>
        </w:sectPr>
      </w:pPr>
    </w:p>
    <w:bookmarkStart w:id="253" w:name="page254"/>
    <w:bookmarkEnd w:id="253"/>
    <w:p>
      <w:pPr>
        <w:ind w:firstLine="982"/>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11. Default of One or More of the Several Underwriters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on the First Closing Date or any Option Closing Date any one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66" w:lineRule="exact"/>
        <w:rPr>
          <w:sz w:val="20"/>
          <w:szCs w:val="20"/>
          <w:color w:val="auto"/>
        </w:rPr>
      </w:pPr>
    </w:p>
    <w:p>
      <w:pPr>
        <w:ind w:right="320" w:firstLine="436"/>
        <w:spacing w:after="0" w:line="261"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81" w:lineRule="exact"/>
        <w:rPr>
          <w:sz w:val="20"/>
          <w:szCs w:val="20"/>
          <w:color w:val="auto"/>
        </w:rPr>
      </w:pPr>
    </w:p>
    <w:p>
      <w:pPr>
        <w:ind w:firstLine="982"/>
        <w:spacing w:after="0" w:line="283" w:lineRule="auto"/>
        <w:rPr>
          <w:sz w:val="20"/>
          <w:szCs w:val="20"/>
          <w:color w:val="auto"/>
        </w:rPr>
      </w:pPr>
      <w:r>
        <w:rPr>
          <w:rFonts w:ascii="Arial" w:cs="Arial" w:eastAsia="Arial" w:hAnsi="Arial"/>
          <w:sz w:val="16"/>
          <w:szCs w:val="16"/>
          <w:b w:val="1"/>
          <w:bCs w:val="1"/>
          <w:color w:val="auto"/>
        </w:rPr>
        <w:t>Section 12. Termination of this Agreement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purchase of the Firm Shares by the Underwriters on the First Closing Date,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may be terminated by Jefferies by notice given to the Company if at any time: (i) trading or quotation in any of the Company’s securities shall have been suspended or limited by the Commission or by the NASDAQ, or trading in securities generally on either the NASDAQ or the NYSE shall have been suspended or limited, or minimum or maximum prices shall have been generally established on any of such stock exchanges; (ii) a general banking moratorium shall have been declared by any of federal, New York, or California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Jefferies is material and adverse and makes it impracticable to market the Offered Shares in the manner and on the terms described in the Time of Sale Prospectus or the Prospectus or to enforce contracts for the sale of securities; (iv) in the judgment of Jefferies there shall have occurred any Material Adverse Change; or (v) the Company shall have sustained a loss by strike, fire, flood, earthquake, accident or other calamity of such character as in the judgment of Jefferies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provisions of Section 9 and Section 10 shall at all times be effective and shall survive such termination.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00"/>
          </w:cols>
          <w:pgMar w:left="480" w:top="268" w:right="519" w:bottom="1440" w:gutter="0" w:footer="0" w:header="0"/>
        </w:sectPr>
      </w:pPr>
    </w:p>
    <w:bookmarkStart w:id="254" w:name="page255"/>
    <w:bookmarkEnd w:id="254"/>
    <w:p>
      <w:pPr>
        <w:ind w:firstLine="982"/>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13. No Advisory or Fiduciary Relationship. </w:t>
      </w:r>
      <w:r>
        <w:rPr>
          <w:rFonts w:ascii="Arial" w:cs="Arial" w:eastAsia="Arial" w:hAnsi="Arial"/>
          <w:sz w:val="16"/>
          <w:szCs w:val="16"/>
          <w:color w:val="auto"/>
        </w:rPr>
        <w:t>The Company acknowledges and agrees that (a) the purchase and sale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its stockholders or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64" w:lineRule="exact"/>
        <w:rPr>
          <w:sz w:val="20"/>
          <w:szCs w:val="20"/>
          <w:color w:val="auto"/>
        </w:rPr>
      </w:pPr>
    </w:p>
    <w:p>
      <w:pPr>
        <w:ind w:right="80" w:firstLine="982"/>
        <w:spacing w:after="0" w:line="273" w:lineRule="auto"/>
        <w:rPr>
          <w:sz w:val="20"/>
          <w:szCs w:val="20"/>
          <w:color w:val="auto"/>
        </w:rPr>
      </w:pPr>
      <w:r>
        <w:rPr>
          <w:rFonts w:ascii="Arial" w:cs="Arial" w:eastAsia="Arial" w:hAnsi="Arial"/>
          <w:sz w:val="17"/>
          <w:szCs w:val="17"/>
          <w:b w:val="1"/>
          <w:bCs w:val="1"/>
          <w:color w:val="auto"/>
        </w:rPr>
        <w:t>Section 14. Representations and Indemnities to Survive Delivery</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respective indemnities, agreements, representations,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172" w:lineRule="exact"/>
        <w:rPr>
          <w:sz w:val="20"/>
          <w:szCs w:val="20"/>
          <w:color w:val="auto"/>
        </w:rPr>
      </w:pPr>
    </w:p>
    <w:p>
      <w:pPr>
        <w:ind w:right="20" w:firstLine="982"/>
        <w:spacing w:after="0" w:line="275" w:lineRule="auto"/>
        <w:rPr>
          <w:sz w:val="20"/>
          <w:szCs w:val="20"/>
          <w:color w:val="auto"/>
        </w:rPr>
      </w:pPr>
      <w:r>
        <w:rPr>
          <w:rFonts w:ascii="Arial" w:cs="Arial" w:eastAsia="Arial" w:hAnsi="Arial"/>
          <w:sz w:val="18"/>
          <w:szCs w:val="18"/>
          <w:b w:val="1"/>
          <w:bCs w:val="1"/>
          <w:color w:val="auto"/>
        </w:rPr>
        <w:t>Section 15. Notices</w:t>
      </w:r>
      <w:r>
        <w:rPr>
          <w:rFonts w:ascii="Arial" w:cs="Arial" w:eastAsia="Arial" w:hAnsi="Arial"/>
          <w:sz w:val="18"/>
          <w:szCs w:val="18"/>
          <w:color w:val="auto"/>
        </w:rPr>
        <w:t>. All communications hereunder shall be in writing and shall be mailed, hand delivered or telecopied and confirmed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as follows:</w:t>
      </w:r>
    </w:p>
    <w:p>
      <w:pPr>
        <w:sectPr>
          <w:pgSz w:w="11900" w:h="16838" w:orient="portrait"/>
          <w:cols w:equalWidth="0" w:num="1">
            <w:col w:w="10860"/>
          </w:cols>
          <w:pgMar w:left="480" w:top="268" w:right="559" w:bottom="1440" w:gutter="0" w:footer="0" w:header="0"/>
        </w:sectPr>
      </w:pP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If to the Representatives: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Facsimile: (646) 619-4437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w:t>
      </w:r>
    </w:p>
    <w:p>
      <w:pPr>
        <w:spacing w:after="0" w:line="124" w:lineRule="exact"/>
        <w:rPr>
          <w:sz w:val="20"/>
          <w:szCs w:val="20"/>
          <w:color w:val="auto"/>
        </w:rPr>
      </w:pPr>
    </w:p>
    <w:p>
      <w:pPr>
        <w:sectPr>
          <w:pgSz w:w="11900" w:h="16838" w:orient="portrait"/>
          <w:cols w:equalWidth="0" w:num="2">
            <w:col w:w="3440" w:space="720"/>
            <w:col w:w="6700"/>
          </w:cols>
          <w:pgMar w:left="480" w:top="268" w:right="559" w:bottom="1440" w:gutter="0" w:footer="0" w:header="0"/>
          <w:type w:val="continuous"/>
        </w:sectPr>
      </w:pPr>
    </w:p>
    <w:p>
      <w:pPr>
        <w:ind w:left="416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599 Lexington Avenue</w:t>
      </w:r>
    </w:p>
    <w:p>
      <w:pPr>
        <w:spacing w:after="0" w:line="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New York, New York 10012</w:t>
      </w:r>
    </w:p>
    <w:p>
      <w:pPr>
        <w:spacing w:after="0" w:line="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Attention: Head of Equity Capital Markets,</w:t>
      </w:r>
    </w:p>
    <w:p>
      <w:pPr>
        <w:spacing w:after="0" w:line="7"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with a copy to the General Counsel, Investment Banking</w:t>
      </w:r>
    </w:p>
    <w:p>
      <w:pPr>
        <w:spacing w:after="0" w:line="124"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Evercore Group L.L.C.</w:t>
      </w:r>
    </w:p>
    <w:p>
      <w:pPr>
        <w:spacing w:after="0" w:line="2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55 Est 52nd Street, Ste 35</w:t>
      </w:r>
    </w:p>
    <w:p>
      <w:pPr>
        <w:spacing w:after="0" w:line="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New York, New York 10055</w:t>
      </w:r>
    </w:p>
    <w:p>
      <w:pPr>
        <w:spacing w:after="0" w:line="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Attention: General Counsel</w:t>
      </w:r>
    </w:p>
    <w:p>
      <w:pPr>
        <w:sectPr>
          <w:pgSz w:w="11900" w:h="16838" w:orient="portrait"/>
          <w:cols w:equalWidth="0" w:num="1">
            <w:col w:w="10860"/>
          </w:cols>
          <w:pgMar w:left="480" w:top="268" w:right="559" w:bottom="1440" w:gutter="0" w:footer="0" w:header="0"/>
          <w:type w:val="continuous"/>
        </w:sectPr>
      </w:pPr>
    </w:p>
    <w:p>
      <w:pPr>
        <w:spacing w:after="0" w:line="10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601 Marshall Street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Redwood City, California 94063</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Attention: Heidi Mayon</w:t>
      </w:r>
    </w:p>
    <w:p>
      <w:pPr>
        <w:spacing w:after="0" w:line="141" w:lineRule="exact"/>
        <w:rPr>
          <w:sz w:val="20"/>
          <w:szCs w:val="20"/>
          <w:color w:val="auto"/>
        </w:rPr>
      </w:pPr>
    </w:p>
    <w:p>
      <w:pPr>
        <w:sectPr>
          <w:pgSz w:w="11900" w:h="16838" w:orient="portrait"/>
          <w:cols w:equalWidth="0" w:num="2">
            <w:col w:w="3440" w:space="720"/>
            <w:col w:w="6700"/>
          </w:cols>
          <w:pgMar w:left="480" w:top="268" w:right="55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860"/>
          </w:cols>
          <w:pgMar w:left="480" w:top="268" w:right="559" w:bottom="1440" w:gutter="0" w:footer="0" w:header="0"/>
          <w:type w:val="continuous"/>
        </w:sectPr>
      </w:pPr>
    </w:p>
    <w:bookmarkStart w:id="255" w:name="page256"/>
    <w:bookmarkEnd w:id="255"/>
    <w:p>
      <w:pPr>
        <w:ind w:left="78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Vera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-215265</wp:posOffset>
            </wp:positionV>
            <wp:extent cx="717613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170 Harbor Way, 3rd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Attention: Marshall Fordyce, Chief Executive Officer</w:t>
      </w:r>
    </w:p>
    <w:p>
      <w:pPr>
        <w:spacing w:after="0" w:line="124" w:lineRule="exact"/>
        <w:rPr>
          <w:sz w:val="20"/>
          <w:szCs w:val="20"/>
          <w:color w:val="auto"/>
        </w:rPr>
      </w:pPr>
    </w:p>
    <w:p>
      <w:pPr>
        <w:sectPr>
          <w:pgSz w:w="11900" w:h="16838" w:orient="portrait"/>
          <w:cols w:equalWidth="0" w:num="2">
            <w:col w:w="3220" w:space="720"/>
            <w:col w:w="6960"/>
          </w:cols>
          <w:pgMar w:left="480" w:top="272" w:right="519" w:bottom="1440" w:gutter="0" w:footer="0" w:header="0"/>
        </w:sectPr>
      </w:pPr>
    </w:p>
    <w:p>
      <w:pPr>
        <w:ind w:left="78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Cooley LLP</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101 California Street, 5th Floor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 94111</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Attention: Jodie Bourdet</w:t>
      </w:r>
    </w:p>
    <w:p>
      <w:pPr>
        <w:spacing w:after="0" w:line="200" w:lineRule="exact"/>
        <w:rPr>
          <w:sz w:val="20"/>
          <w:szCs w:val="20"/>
          <w:color w:val="auto"/>
        </w:rPr>
      </w:pPr>
    </w:p>
    <w:p>
      <w:pPr>
        <w:sectPr>
          <w:pgSz w:w="11900" w:h="16838" w:orient="portrait"/>
          <w:cols w:equalWidth="0" w:num="2">
            <w:col w:w="3220" w:space="720"/>
            <w:col w:w="6960"/>
          </w:cols>
          <w:pgMar w:left="480" w:top="272" w:right="51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17" w:lineRule="exact"/>
        <w:rPr>
          <w:sz w:val="20"/>
          <w:szCs w:val="20"/>
          <w:color w:val="auto"/>
        </w:rPr>
      </w:pPr>
    </w:p>
    <w:p>
      <w:pPr>
        <w:ind w:right="120" w:firstLine="982"/>
        <w:spacing w:after="0" w:line="299" w:lineRule="auto"/>
        <w:rPr>
          <w:sz w:val="20"/>
          <w:szCs w:val="20"/>
          <w:color w:val="auto"/>
        </w:rPr>
      </w:pPr>
      <w:r>
        <w:rPr>
          <w:rFonts w:ascii="Arial" w:cs="Arial" w:eastAsia="Arial" w:hAnsi="Arial"/>
          <w:sz w:val="16"/>
          <w:szCs w:val="16"/>
          <w:b w:val="1"/>
          <w:bCs w:val="1"/>
          <w:color w:val="auto"/>
        </w:rPr>
        <w:t>Section 16. Successors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will inure to the benefit of and be binding upon the parties hereto, including any substitute</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Underwriters pursuant to Section 11 hereof, and to the benefit of the affiliates, directors, officers, employees, agents and controlling persons referred to in Section 9 and Section 10, and in each case their respective successors, and no other person will have any right or obligation hereunder. The term “</w:t>
      </w:r>
      <w:r>
        <w:rPr>
          <w:rFonts w:ascii="Arial" w:cs="Arial" w:eastAsia="Arial" w:hAnsi="Arial"/>
          <w:sz w:val="16"/>
          <w:szCs w:val="16"/>
          <w:b w:val="1"/>
          <w:bCs w:val="1"/>
          <w:color w:val="auto"/>
        </w:rPr>
        <w:t>successors</w:t>
      </w:r>
      <w:r>
        <w:rPr>
          <w:rFonts w:ascii="Arial" w:cs="Arial" w:eastAsia="Arial" w:hAnsi="Arial"/>
          <w:sz w:val="16"/>
          <w:szCs w:val="16"/>
          <w:color w:val="auto"/>
        </w:rPr>
        <w:t>” shall not include any purchaser of the Offered Shares as such from any of the Underwriters merely by reason of such purchase.</w:t>
      </w:r>
    </w:p>
    <w:p>
      <w:pPr>
        <w:spacing w:after="0" w:line="153" w:lineRule="exact"/>
        <w:rPr>
          <w:sz w:val="20"/>
          <w:szCs w:val="20"/>
          <w:color w:val="auto"/>
        </w:rPr>
      </w:pPr>
    </w:p>
    <w:p>
      <w:pPr>
        <w:jc w:val="both"/>
        <w:ind w:right="200" w:firstLine="982"/>
        <w:spacing w:after="0" w:line="257" w:lineRule="auto"/>
        <w:rPr>
          <w:sz w:val="20"/>
          <w:szCs w:val="20"/>
          <w:color w:val="auto"/>
        </w:rPr>
      </w:pPr>
      <w:r>
        <w:rPr>
          <w:rFonts w:ascii="Arial" w:cs="Arial" w:eastAsia="Arial" w:hAnsi="Arial"/>
          <w:sz w:val="18"/>
          <w:szCs w:val="18"/>
          <w:b w:val="1"/>
          <w:bCs w:val="1"/>
          <w:color w:val="auto"/>
        </w:rPr>
        <w:t>Section 17. Partial Unenforceability</w:t>
      </w:r>
      <w:r>
        <w:rPr>
          <w:rFonts w:ascii="Arial" w:cs="Arial" w:eastAsia="Arial" w:hAnsi="Arial"/>
          <w:sz w:val="18"/>
          <w:szCs w:val="18"/>
          <w:color w:val="auto"/>
        </w:rPr>
        <w:t>. The invalidity or unenforceability of any section, paragraph or provision of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18. Recognition of the U.S. Special Resolution Regimes.</w:t>
      </w:r>
    </w:p>
    <w:p>
      <w:pPr>
        <w:spacing w:after="0" w:line="118" w:lineRule="exact"/>
        <w:rPr>
          <w:sz w:val="20"/>
          <w:szCs w:val="20"/>
          <w:color w:val="auto"/>
        </w:rPr>
      </w:pPr>
    </w:p>
    <w:p>
      <w:pPr>
        <w:ind w:right="60" w:firstLine="444"/>
        <w:spacing w:after="0" w:line="255" w:lineRule="auto"/>
        <w:tabs>
          <w:tab w:leader="none" w:pos="67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83" w:lineRule="exact"/>
        <w:rPr>
          <w:rFonts w:ascii="Arial" w:cs="Arial" w:eastAsia="Arial" w:hAnsi="Arial"/>
          <w:sz w:val="18"/>
          <w:szCs w:val="18"/>
          <w:color w:val="auto"/>
        </w:rPr>
      </w:pPr>
    </w:p>
    <w:p>
      <w:pPr>
        <w:ind w:right="20" w:firstLine="444"/>
        <w:spacing w:after="0" w:line="255" w:lineRule="auto"/>
        <w:tabs>
          <w:tab w:leader="none" w:pos="68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sz w:val="20"/>
          <w:szCs w:val="20"/>
          <w:color w:val="auto"/>
        </w:rPr>
      </w:pPr>
    </w:p>
    <w:p>
      <w:pPr>
        <w:ind w:firstLine="436"/>
        <w:spacing w:after="0" w:line="269" w:lineRule="auto"/>
        <w:rPr>
          <w:sz w:val="20"/>
          <w:szCs w:val="20"/>
          <w:color w:val="auto"/>
        </w:rPr>
      </w:pPr>
      <w:r>
        <w:rPr>
          <w:rFonts w:ascii="Arial" w:cs="Arial" w:eastAsia="Arial" w:hAnsi="Arial"/>
          <w:sz w:val="17"/>
          <w:szCs w:val="17"/>
          <w:color w:val="auto"/>
        </w:rPr>
        <w:t>For purposes of this Agreement,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(B)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and (D) “U</w:t>
      </w:r>
      <w:r>
        <w:rPr>
          <w:rFonts w:ascii="Arial" w:cs="Arial" w:eastAsia="Arial" w:hAnsi="Arial"/>
          <w:sz w:val="17"/>
          <w:szCs w:val="17"/>
          <w:b w:val="1"/>
          <w:bCs w:val="1"/>
          <w:color w:val="auto"/>
        </w:rPr>
        <w:t>.S. Special</w:t>
      </w:r>
      <w:r>
        <w:rPr>
          <w:rFonts w:ascii="Arial" w:cs="Arial" w:eastAsia="Arial" w:hAnsi="Arial"/>
          <w:sz w:val="17"/>
          <w:szCs w:val="17"/>
          <w:color w:val="auto"/>
        </w:rPr>
        <w:t xml:space="preserve"> </w:t>
      </w:r>
      <w:r>
        <w:rPr>
          <w:rFonts w:ascii="Arial" w:cs="Arial" w:eastAsia="Arial" w:hAnsi="Arial"/>
          <w:sz w:val="17"/>
          <w:szCs w:val="17"/>
          <w:b w:val="1"/>
          <w:bCs w:val="1"/>
          <w:color w:val="auto"/>
        </w:rPr>
        <w:t>Resolution Regime</w:t>
      </w:r>
      <w:r>
        <w:rPr>
          <w:rFonts w:ascii="Arial" w:cs="Arial" w:eastAsia="Arial" w:hAnsi="Arial"/>
          <w:sz w:val="17"/>
          <w:szCs w:val="17"/>
          <w:color w:val="auto"/>
        </w:rPr>
        <w:t>” means each of (i) the Federal Deposit Insurance Act and the regulations promulgated thereunder and (ii) Title II of the Dodd-Frank</w:t>
      </w:r>
      <w:r>
        <w:rPr>
          <w:rFonts w:ascii="Arial" w:cs="Arial" w:eastAsia="Arial" w:hAnsi="Arial"/>
          <w:sz w:val="17"/>
          <w:szCs w:val="17"/>
          <w:b w:val="1"/>
          <w:bCs w:val="1"/>
          <w:color w:val="auto"/>
        </w:rPr>
        <w:t xml:space="preserve"> </w:t>
      </w:r>
      <w:r>
        <w:rPr>
          <w:rFonts w:ascii="Arial" w:cs="Arial" w:eastAsia="Arial" w:hAnsi="Arial"/>
          <w:sz w:val="17"/>
          <w:szCs w:val="17"/>
          <w:color w:val="auto"/>
        </w:rPr>
        <w:t>Wall Street Reform and Consumer Protection Act and the regulations promulgated thereunder.</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00"/>
          </w:cols>
          <w:pgMar w:left="480" w:top="272" w:right="519" w:bottom="1440" w:gutter="0" w:footer="0" w:header="0"/>
          <w:type w:val="continuous"/>
        </w:sectPr>
      </w:pPr>
    </w:p>
    <w:bookmarkStart w:id="256" w:name="page257"/>
    <w:bookmarkEnd w:id="256"/>
    <w:p>
      <w:pPr>
        <w:ind w:right="20" w:firstLine="982"/>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19. Governing Law Provisions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 accordance with the internal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6"/>
          <w:szCs w:val="16"/>
          <w:b w:val="1"/>
          <w:bCs w:val="1"/>
          <w:color w:val="auto"/>
        </w:rPr>
        <w:t>Related Proceedings</w:t>
      </w:r>
      <w:r>
        <w:rPr>
          <w:rFonts w:ascii="Arial" w:cs="Arial" w:eastAsia="Arial" w:hAnsi="Arial"/>
          <w:sz w:val="16"/>
          <w:szCs w:val="16"/>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 the exclusive jurisdiction (except for proceedings instituted in regard to the enforcement of a judgment of any such court (a “</w:t>
      </w:r>
      <w:r>
        <w:rPr>
          <w:rFonts w:ascii="Arial" w:cs="Arial" w:eastAsia="Arial" w:hAnsi="Arial"/>
          <w:sz w:val="16"/>
          <w:szCs w:val="16"/>
          <w:b w:val="1"/>
          <w:bCs w:val="1"/>
          <w:color w:val="auto"/>
        </w:rPr>
        <w:t>Related Judgment</w:t>
      </w:r>
      <w:r>
        <w:rPr>
          <w:rFonts w:ascii="Arial" w:cs="Arial" w:eastAsia="Arial" w:hAnsi="Arial"/>
          <w:sz w:val="16"/>
          <w:szCs w:val="16"/>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9" w:lineRule="exact"/>
        <w:rPr>
          <w:sz w:val="20"/>
          <w:szCs w:val="20"/>
          <w:color w:val="auto"/>
        </w:rPr>
      </w:pPr>
    </w:p>
    <w:p>
      <w:pPr>
        <w:ind w:firstLine="982"/>
        <w:spacing w:after="0" w:line="271" w:lineRule="auto"/>
        <w:rPr>
          <w:sz w:val="20"/>
          <w:szCs w:val="20"/>
          <w:color w:val="auto"/>
        </w:rPr>
      </w:pPr>
      <w:r>
        <w:rPr>
          <w:rFonts w:ascii="Arial" w:cs="Arial" w:eastAsia="Arial" w:hAnsi="Arial"/>
          <w:sz w:val="17"/>
          <w:szCs w:val="17"/>
          <w:b w:val="1"/>
          <w:bCs w:val="1"/>
          <w:color w:val="auto"/>
        </w:rPr>
        <w:t xml:space="preserve">Section 20. General Provisions. </w:t>
      </w:r>
      <w:r>
        <w:rPr>
          <w:rFonts w:ascii="Arial" w:cs="Arial" w:eastAsia="Arial" w:hAnsi="Arial"/>
          <w:sz w:val="17"/>
          <w:szCs w:val="17"/>
          <w:color w:val="auto"/>
        </w:rPr>
        <w:t>This Agreement constitutes the entire agreement of the parties to this Agreement and supersedes all prior</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8" w:lineRule="exact"/>
        <w:rPr>
          <w:sz w:val="20"/>
          <w:szCs w:val="20"/>
          <w:color w:val="auto"/>
        </w:rPr>
      </w:pPr>
    </w:p>
    <w:p>
      <w:pPr>
        <w:ind w:right="60" w:firstLine="436"/>
        <w:spacing w:after="0" w:line="290" w:lineRule="auto"/>
        <w:rPr>
          <w:sz w:val="20"/>
          <w:szCs w:val="20"/>
          <w:color w:val="auto"/>
        </w:rPr>
      </w:pPr>
      <w:r>
        <w:rPr>
          <w:rFonts w:ascii="Arial" w:cs="Arial" w:eastAsia="Arial" w:hAnsi="Arial"/>
          <w:sz w:val="16"/>
          <w:szCs w:val="16"/>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20"/>
          </w:cols>
          <w:pgMar w:left="480" w:top="268" w:right="499" w:bottom="1440" w:gutter="0" w:footer="0" w:header="0"/>
        </w:sectPr>
      </w:pPr>
    </w:p>
    <w:bookmarkStart w:id="257" w:name="page258"/>
    <w:bookmarkEnd w:id="257"/>
    <w:p>
      <w:pPr>
        <w:ind w:right="80" w:firstLine="436"/>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VERA THERAPEUTICS, INC.</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6">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ind w:firstLine="982"/>
        <w:spacing w:after="0" w:line="271" w:lineRule="auto"/>
        <w:rPr>
          <w:sz w:val="20"/>
          <w:szCs w:val="20"/>
          <w:color w:val="auto"/>
        </w:rPr>
      </w:pPr>
      <w:r>
        <w:rPr>
          <w:rFonts w:ascii="Arial" w:cs="Arial" w:eastAsia="Arial" w:hAnsi="Arial"/>
          <w:sz w:val="18"/>
          <w:szCs w:val="18"/>
          <w:color w:val="auto"/>
        </w:rPr>
        <w:t>The foregoing Underwriting Agreement is hereby confirmed and accepted by the Representatives in New York, New York as of the date first above written.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COWEN AND COMPANY,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EVERCORE GROUP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Representatives of the several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Underwriters named in the attached </w:t>
      </w:r>
      <w:r>
        <w:rPr>
          <w:rFonts w:ascii="Arial" w:cs="Arial" w:eastAsia="Arial" w:hAnsi="Arial"/>
          <w:sz w:val="18"/>
          <w:szCs w:val="18"/>
          <w:u w:val="single" w:color="auto"/>
          <w:color w:val="auto"/>
        </w:rPr>
        <w:t>Schedule 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13335</wp:posOffset>
            </wp:positionV>
            <wp:extent cx="25393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7">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COWEN AND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13335</wp:posOffset>
            </wp:positionV>
            <wp:extent cx="253936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8">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EVERCORE GROUP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13335</wp:posOffset>
            </wp:positionV>
            <wp:extent cx="253936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9">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700"/>
          </w:cols>
          <w:pgMar w:left="480" w:top="272" w:right="71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31"/>
        </w:trPr>
        <w:tc>
          <w:tcPr>
            <w:tcW w:w="99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w w:val="87"/>
              </w:rPr>
              <w:t>Schedule A</w:t>
            </w:r>
          </w:p>
        </w:tc>
      </w:tr>
      <w:tr>
        <w:trPr>
          <w:trHeight w:val="367"/>
        </w:trPr>
        <w:tc>
          <w:tcPr>
            <w:tcW w:w="9940" w:type="dxa"/>
            <w:vAlign w:val="bottom"/>
          </w:tcPr>
          <w:p>
            <w:pPr>
              <w:spacing w:after="0"/>
              <w:rPr>
                <w:sz w:val="24"/>
                <w:szCs w:val="24"/>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Number of</w:t>
            </w:r>
          </w:p>
        </w:tc>
      </w:tr>
      <w:tr>
        <w:trPr>
          <w:trHeight w:val="147"/>
        </w:trPr>
        <w:tc>
          <w:tcPr>
            <w:tcW w:w="9940" w:type="dxa"/>
            <w:vAlign w:val="bottom"/>
          </w:tcPr>
          <w:p>
            <w:pPr>
              <w:spacing w:after="0"/>
              <w:rPr>
                <w:sz w:val="12"/>
                <w:szCs w:val="12"/>
                <w:color w:val="auto"/>
              </w:rPr>
            </w:pPr>
          </w:p>
        </w:tc>
        <w:tc>
          <w:tcPr>
            <w:tcW w:w="100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1"/>
              </w:rPr>
              <w:t>Firm Shares</w:t>
            </w:r>
          </w:p>
        </w:tc>
      </w:tr>
      <w:tr>
        <w:trPr>
          <w:trHeight w:val="183"/>
        </w:trPr>
        <w:tc>
          <w:tcPr>
            <w:tcW w:w="9940" w:type="dxa"/>
            <w:vAlign w:val="bottom"/>
          </w:tcPr>
          <w:p>
            <w:pPr>
              <w:spacing w:after="0"/>
              <w:rPr>
                <w:sz w:val="20"/>
                <w:szCs w:val="20"/>
                <w:color w:val="auto"/>
              </w:rPr>
            </w:pPr>
            <w:r>
              <w:rPr>
                <w:rFonts w:ascii="Arial" w:cs="Arial" w:eastAsia="Arial" w:hAnsi="Arial"/>
                <w:sz w:val="14"/>
                <w:szCs w:val="14"/>
                <w:b w:val="1"/>
                <w:bCs w:val="1"/>
                <w:color w:val="auto"/>
              </w:rPr>
              <w:t>Underwriters</w:t>
            </w: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to be Purchased</w:t>
            </w:r>
          </w:p>
        </w:tc>
      </w:tr>
      <w:tr>
        <w:trPr>
          <w:trHeight w:val="214"/>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Jefferies LLC</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4"/>
        </w:trPr>
        <w:tc>
          <w:tcPr>
            <w:tcW w:w="9940" w:type="dxa"/>
            <w:vAlign w:val="bottom"/>
          </w:tcPr>
          <w:p>
            <w:pPr>
              <w:spacing w:after="0"/>
              <w:rPr>
                <w:sz w:val="20"/>
                <w:szCs w:val="20"/>
                <w:color w:val="auto"/>
              </w:rPr>
            </w:pPr>
            <w:r>
              <w:rPr>
                <w:rFonts w:ascii="Arial" w:cs="Arial" w:eastAsia="Arial" w:hAnsi="Arial"/>
                <w:sz w:val="18"/>
                <w:szCs w:val="18"/>
                <w:color w:val="auto"/>
              </w:rPr>
              <w:t>Cowen and Company, LLC</w:t>
            </w:r>
          </w:p>
        </w:tc>
        <w:tc>
          <w:tcPr>
            <w:tcW w:w="98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4"/>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Evercore Group L.L.C.</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0"/>
        </w:trPr>
        <w:tc>
          <w:tcPr>
            <w:tcW w:w="9940" w:type="dxa"/>
            <w:vAlign w:val="bottom"/>
          </w:tcPr>
          <w:p>
            <w:pPr>
              <w:ind w:left="3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
        </w:trPr>
        <w:tc>
          <w:tcPr>
            <w:tcW w:w="9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20"/>
          </w:cols>
          <w:pgMar w:left="480" w:top="268"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B</w:t>
      </w:r>
    </w:p>
    <w:p>
      <w:pPr>
        <w:spacing w:after="0" w:line="200" w:lineRule="exact"/>
        <w:rPr>
          <w:sz w:val="20"/>
          <w:szCs w:val="20"/>
          <w:color w:val="auto"/>
        </w:rPr>
      </w:pPr>
    </w:p>
    <w:p>
      <w:pPr>
        <w:spacing w:after="0" w:line="235" w:lineRule="exact"/>
        <w:rPr>
          <w:sz w:val="20"/>
          <w:szCs w:val="20"/>
          <w:color w:val="auto"/>
        </w:rPr>
      </w:pPr>
    </w:p>
    <w:p>
      <w:pPr>
        <w:ind w:left="1960"/>
        <w:spacing w:after="0"/>
        <w:rPr>
          <w:sz w:val="20"/>
          <w:szCs w:val="20"/>
          <w:color w:val="auto"/>
        </w:rPr>
      </w:pPr>
      <w:r>
        <w:rPr>
          <w:rFonts w:ascii="Arial" w:cs="Arial" w:eastAsia="Arial" w:hAnsi="Arial"/>
          <w:sz w:val="18"/>
          <w:szCs w:val="18"/>
          <w:b w:val="1"/>
          <w:bCs w:val="1"/>
          <w:u w:val="single" w:color="auto"/>
          <w:color w:val="auto"/>
        </w:rPr>
        <w:t>Free Writing Prospectuses Included in the Time of Sale Prospectus</w:t>
      </w:r>
    </w:p>
    <w:p>
      <w:pPr>
        <w:sectPr>
          <w:pgSz w:w="11900" w:h="16838" w:orient="portrait"/>
          <w:cols w:equalWidth="0" w:num="1">
            <w:col w:w="9960"/>
          </w:cols>
          <w:pgMar w:left="1440" w:top="268" w:right="49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C]</w:t>
      </w:r>
    </w:p>
    <w:p>
      <w:pPr>
        <w:spacing w:after="0" w:line="200" w:lineRule="exact"/>
        <w:rPr>
          <w:sz w:val="20"/>
          <w:szCs w:val="20"/>
          <w:color w:val="auto"/>
        </w:rPr>
      </w:pPr>
    </w:p>
    <w:p>
      <w:pPr>
        <w:spacing w:after="0" w:line="235" w:lineRule="exact"/>
        <w:rPr>
          <w:sz w:val="20"/>
          <w:szCs w:val="20"/>
          <w:color w:val="auto"/>
        </w:rPr>
      </w:pPr>
    </w:p>
    <w:p>
      <w:pPr>
        <w:ind w:left="2920"/>
        <w:spacing w:after="0"/>
        <w:rPr>
          <w:sz w:val="20"/>
          <w:szCs w:val="20"/>
          <w:color w:val="auto"/>
        </w:rPr>
      </w:pPr>
      <w:r>
        <w:rPr>
          <w:rFonts w:ascii="Arial" w:cs="Arial" w:eastAsia="Arial" w:hAnsi="Arial"/>
          <w:sz w:val="18"/>
          <w:szCs w:val="18"/>
          <w:b w:val="1"/>
          <w:bCs w:val="1"/>
          <w:u w:val="single" w:color="auto"/>
          <w:color w:val="auto"/>
        </w:rPr>
        <w:t>[Permitted Section 5(d) Communications]</w:t>
      </w:r>
    </w:p>
    <w:p>
      <w:pPr>
        <w:sectPr>
          <w:pgSz w:w="11900" w:h="16838" w:orient="portrait"/>
          <w:cols w:equalWidth="0" w:num="1">
            <w:col w:w="9960"/>
          </w:cols>
          <w:pgMar w:left="1440" w:top="268" w:right="49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 2021</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Evercore Group L.L.C.</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of the Several Underwriters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c/o Evercore Group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55 East 52nd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10055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RE: Vera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is an owner of shares of common stock, par value $0.001 per share, of the Company (collectively, the “</w:t>
      </w:r>
      <w:r>
        <w:rPr>
          <w:rFonts w:ascii="Arial" w:cs="Arial" w:eastAsia="Arial" w:hAnsi="Arial"/>
          <w:sz w:val="17"/>
          <w:szCs w:val="17"/>
          <w:b w:val="1"/>
          <w:bCs w:val="1"/>
          <w:color w:val="auto"/>
        </w:rPr>
        <w:t>Shares</w:t>
      </w:r>
      <w:r>
        <w:rPr>
          <w:rFonts w:ascii="Arial" w:cs="Arial" w:eastAsia="Arial" w:hAnsi="Arial"/>
          <w:sz w:val="17"/>
          <w:szCs w:val="17"/>
          <w:color w:val="auto"/>
        </w:rPr>
        <w:t>”) or of securities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convertible into or exchangeable or exercisable for Shares (including, for the avoidance of doubt, shares of Class A common stock, par value $0.001 per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share, and/or shares of Class B common stock, par value $0.001 per share). The Company proposes to conduct a public offering of Shares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Offering</w:t>
      </w:r>
      <w:r>
        <w:rPr>
          <w:rFonts w:ascii="Arial" w:cs="Arial" w:eastAsia="Arial" w:hAnsi="Arial"/>
          <w:sz w:val="17"/>
          <w:szCs w:val="17"/>
          <w:color w:val="auto"/>
        </w:rPr>
        <w:t>”) for which Jefferies LLC (“</w:t>
      </w:r>
      <w:r>
        <w:rPr>
          <w:rFonts w:ascii="Arial" w:cs="Arial" w:eastAsia="Arial" w:hAnsi="Arial"/>
          <w:sz w:val="17"/>
          <w:szCs w:val="17"/>
          <w:b w:val="1"/>
          <w:bCs w:val="1"/>
          <w:color w:val="auto"/>
        </w:rPr>
        <w:t>Jefferies</w:t>
      </w:r>
      <w:r>
        <w:rPr>
          <w:rFonts w:ascii="Arial" w:cs="Arial" w:eastAsia="Arial" w:hAnsi="Arial"/>
          <w:sz w:val="17"/>
          <w:szCs w:val="17"/>
          <w:color w:val="auto"/>
        </w:rPr>
        <w:t>”), Cowen and Company, LLC (“</w:t>
      </w:r>
      <w:r>
        <w:rPr>
          <w:rFonts w:ascii="Arial" w:cs="Arial" w:eastAsia="Arial" w:hAnsi="Arial"/>
          <w:sz w:val="17"/>
          <w:szCs w:val="17"/>
          <w:b w:val="1"/>
          <w:bCs w:val="1"/>
          <w:color w:val="auto"/>
        </w:rPr>
        <w:t>Cowen</w:t>
      </w:r>
      <w:r>
        <w:rPr>
          <w:rFonts w:ascii="Arial" w:cs="Arial" w:eastAsia="Arial" w:hAnsi="Arial"/>
          <w:sz w:val="17"/>
          <w:szCs w:val="17"/>
          <w:color w:val="auto"/>
        </w:rPr>
        <w:t>”) and Evercore Group L.L.C. (“</w:t>
      </w:r>
      <w:r>
        <w:rPr>
          <w:rFonts w:ascii="Arial" w:cs="Arial" w:eastAsia="Arial" w:hAnsi="Arial"/>
          <w:sz w:val="17"/>
          <w:szCs w:val="17"/>
          <w:b w:val="1"/>
          <w:bCs w:val="1"/>
          <w:color w:val="auto"/>
        </w:rPr>
        <w:t>Evercore</w:t>
      </w:r>
      <w:r>
        <w:rPr>
          <w:rFonts w:ascii="Arial" w:cs="Arial" w:eastAsia="Arial" w:hAnsi="Arial"/>
          <w:sz w:val="17"/>
          <w:szCs w:val="17"/>
          <w:color w:val="auto"/>
        </w:rPr>
        <w:t>”) will act as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 (the “</w:t>
      </w:r>
      <w:r>
        <w:rPr>
          <w:rFonts w:ascii="Arial" w:cs="Arial" w:eastAsia="Arial" w:hAnsi="Arial"/>
          <w:sz w:val="16"/>
          <w:szCs w:val="16"/>
          <w:b w:val="1"/>
          <w:bCs w:val="1"/>
          <w:color w:val="auto"/>
        </w:rPr>
        <w:t>Representatives</w:t>
      </w:r>
      <w:r>
        <w:rPr>
          <w:rFonts w:ascii="Arial" w:cs="Arial" w:eastAsia="Arial" w:hAnsi="Arial"/>
          <w:sz w:val="16"/>
          <w:szCs w:val="16"/>
          <w:color w:val="auto"/>
        </w:rPr>
        <w:t>”) of the several underwriters for the proposed Offering (the “</w:t>
      </w:r>
      <w:r>
        <w:rPr>
          <w:rFonts w:ascii="Arial" w:cs="Arial" w:eastAsia="Arial" w:hAnsi="Arial"/>
          <w:sz w:val="16"/>
          <w:szCs w:val="16"/>
          <w:b w:val="1"/>
          <w:bCs w:val="1"/>
          <w:color w:val="auto"/>
        </w:rPr>
        <w:t>Underwriters</w:t>
      </w:r>
      <w:r>
        <w:rPr>
          <w:rFonts w:ascii="Arial" w:cs="Arial" w:eastAsia="Arial" w:hAnsi="Arial"/>
          <w:sz w:val="16"/>
          <w:szCs w:val="16"/>
          <w:color w:val="auto"/>
        </w:rPr>
        <w:t>”). The undersigned recognizes that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Offering will benefit each of the Company and the undersigned. The undersigned acknowledges that the Underwriters are relying on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representations and agreements of the undersigned contained in this letter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in conducting the Offering and, at a subsequent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date, in entering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and other underwriting arrangements with the Company with respect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 the Offering.</w:t>
      </w:r>
    </w:p>
    <w:p>
      <w:pPr>
        <w:spacing w:after="0" w:line="20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Annex A sets forth definitions for capitalized terms used in this Agreement that are not defined in the body of this Agreement. Those definitions are a part of this Agreement.</w:t>
      </w:r>
    </w:p>
    <w:p>
      <w:pPr>
        <w:spacing w:after="0" w:line="175"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subject to the exceptions set forth in this Agreement, without the prior written consent of the Representatives, which may withhold their consent in their sole discretion:</w:t>
      </w:r>
    </w:p>
    <w:p>
      <w:pPr>
        <w:sectPr>
          <w:pgSz w:w="11900" w:h="16838" w:orient="portrait"/>
          <w:cols w:equalWidth="0" w:num="1">
            <w:col w:w="10920"/>
          </w:cols>
          <w:pgMar w:left="480" w:top="268" w:right="499" w:bottom="1440" w:gutter="0" w:footer="0" w:header="0"/>
        </w:sectPr>
      </w:pPr>
    </w:p>
    <w:bookmarkStart w:id="262" w:name="page263"/>
    <w:bookmarkEnd w:id="262"/>
    <w:p>
      <w:pPr>
        <w:ind w:left="980" w:hanging="438"/>
        <w:spacing w:after="0" w:line="271" w:lineRule="auto"/>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Sell or Offer to Sell any Shares or Related Securities currently or hereafter owned either of record or beneficially (as defined in Rule 13d-3 under the Exchange Act) by the undersigned or such Family Member,</w:t>
      </w:r>
    </w:p>
    <w:p>
      <w:pPr>
        <w:spacing w:after="0" w:line="80" w:lineRule="exact"/>
        <w:rPr>
          <w:rFonts w:ascii="Arial" w:cs="Arial" w:eastAsia="Arial" w:hAnsi="Arial"/>
          <w:sz w:val="18"/>
          <w:szCs w:val="18"/>
          <w:color w:val="auto"/>
        </w:rPr>
      </w:pPr>
    </w:p>
    <w:p>
      <w:pPr>
        <w:ind w:left="980" w:hanging="438"/>
        <w:spacing w:after="0"/>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127" w:lineRule="exact"/>
        <w:rPr>
          <w:rFonts w:ascii="Arial" w:cs="Arial" w:eastAsia="Arial" w:hAnsi="Arial"/>
          <w:sz w:val="18"/>
          <w:szCs w:val="18"/>
          <w:color w:val="auto"/>
        </w:rPr>
      </w:pPr>
    </w:p>
    <w:p>
      <w:pPr>
        <w:ind w:left="980" w:right="120" w:hanging="438"/>
        <w:spacing w:after="0" w:line="259" w:lineRule="auto"/>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92" w:lineRule="exact"/>
        <w:rPr>
          <w:rFonts w:ascii="Arial" w:cs="Arial" w:eastAsia="Arial" w:hAnsi="Arial"/>
          <w:sz w:val="18"/>
          <w:szCs w:val="18"/>
          <w:color w:val="auto"/>
        </w:rPr>
      </w:pPr>
    </w:p>
    <w:p>
      <w:pPr>
        <w:ind w:left="980" w:hanging="438"/>
        <w:spacing w:after="0"/>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221" w:lineRule="exact"/>
        <w:rPr>
          <w:sz w:val="20"/>
          <w:szCs w:val="20"/>
          <w:color w:val="auto"/>
        </w:rPr>
      </w:pPr>
    </w:p>
    <w:p>
      <w:pPr>
        <w:jc w:val="both"/>
        <w:ind w:right="260"/>
        <w:spacing w:after="0" w:line="335" w:lineRule="auto"/>
        <w:rPr>
          <w:sz w:val="20"/>
          <w:szCs w:val="20"/>
          <w:color w:val="auto"/>
        </w:rPr>
      </w:pPr>
      <w:r>
        <w:rPr>
          <w:rFonts w:ascii="Arial" w:cs="Arial" w:eastAsia="Arial" w:hAnsi="Arial"/>
          <w:sz w:val="16"/>
          <w:szCs w:val="16"/>
          <w:color w:val="auto"/>
        </w:rPr>
        <w:t>The foregoing restrictions will not apply to the registration of the offer and sale of the Shares, and the sale of the Shares to the Underwriters, in each case as contemplated by the Underwriting Agreement with respect to the proposed Offering. In addition, the foregoing restrictions shall not apply to:</w:t>
      </w:r>
    </w:p>
    <w:p>
      <w:pPr>
        <w:spacing w:after="0" w:line="35" w:lineRule="exact"/>
        <w:rPr>
          <w:sz w:val="20"/>
          <w:szCs w:val="20"/>
          <w:color w:val="auto"/>
        </w:rPr>
      </w:pPr>
    </w:p>
    <w:p>
      <w:pPr>
        <w:ind w:left="980" w:right="80" w:hanging="545"/>
        <w:spacing w:after="0" w:line="275" w:lineRule="auto"/>
        <w:tabs>
          <w:tab w:leader="none" w:pos="9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transactions relating to Shares or Related Securities acquired in the Offering or in open market transactions after the completion of the Offering,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filing under the Exchange Act or other public disclosure shall be required or shall be voluntarily made during the Lock-up Period in connection with subsequent sales of Shares or other securities acquired in such open market transactions during the Lock-up Period, other than any required filing under Section 13 of the Exchange Act;</w:t>
      </w:r>
    </w:p>
    <w:p>
      <w:pPr>
        <w:spacing w:after="0" w:line="80" w:lineRule="exact"/>
        <w:rPr>
          <w:rFonts w:ascii="Arial" w:cs="Arial" w:eastAsia="Arial" w:hAnsi="Arial"/>
          <w:sz w:val="17"/>
          <w:szCs w:val="17"/>
          <w:color w:val="auto"/>
        </w:rPr>
      </w:pPr>
    </w:p>
    <w:p>
      <w:pPr>
        <w:ind w:left="980" w:right="440" w:hanging="545"/>
        <w:spacing w:after="0" w:line="255" w:lineRule="auto"/>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transfers of Shares or Related Securities by gift, including, without limitation, to a charitable organization, or by will or intestate succession to the legal representative, heir or beneficiary of the undersigned or any Family Member, or to a trust whose beneficiaries consist exclusively of one or more of the undersigned and/or a Family Member;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transfer is not for consideration;</w:t>
      </w:r>
    </w:p>
    <w:p>
      <w:pPr>
        <w:spacing w:after="0" w:line="96" w:lineRule="exact"/>
        <w:rPr>
          <w:rFonts w:ascii="Arial" w:cs="Arial" w:eastAsia="Arial" w:hAnsi="Arial"/>
          <w:sz w:val="18"/>
          <w:szCs w:val="18"/>
          <w:color w:val="auto"/>
        </w:rPr>
      </w:pPr>
    </w:p>
    <w:p>
      <w:pPr>
        <w:ind w:left="980" w:right="240" w:hanging="545"/>
        <w:spacing w:after="0" w:line="301" w:lineRule="auto"/>
        <w:tabs>
          <w:tab w:leader="none" w:pos="9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transfers or dispositions of Shares or Related Securities to a corporation, partnership, limited liability company or other entity, all of the beneficial ownership interests of which, in each case, are held by the undersigned or any Family Member;</w:t>
      </w:r>
    </w:p>
    <w:p>
      <w:pPr>
        <w:spacing w:after="0" w:line="58" w:lineRule="exact"/>
        <w:rPr>
          <w:rFonts w:ascii="Arial" w:cs="Arial" w:eastAsia="Arial" w:hAnsi="Arial"/>
          <w:sz w:val="17"/>
          <w:szCs w:val="17"/>
          <w:color w:val="auto"/>
        </w:rPr>
      </w:pPr>
    </w:p>
    <w:p>
      <w:pPr>
        <w:ind w:left="980" w:right="220" w:hanging="545"/>
        <w:spacing w:after="0" w:line="271" w:lineRule="auto"/>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transfers of Shares or Related Securities by operation of law pursuant to a qualified domestic order or other court order or in connection with a divorce settlement;</w:t>
      </w:r>
    </w:p>
    <w:p>
      <w:pPr>
        <w:spacing w:after="0" w:line="80" w:lineRule="exact"/>
        <w:rPr>
          <w:rFonts w:ascii="Arial" w:cs="Arial" w:eastAsia="Arial" w:hAnsi="Arial"/>
          <w:sz w:val="18"/>
          <w:szCs w:val="18"/>
          <w:color w:val="auto"/>
        </w:rPr>
      </w:pPr>
    </w:p>
    <w:p>
      <w:pPr>
        <w:ind w:left="980" w:right="60" w:hanging="545"/>
        <w:spacing w:after="0" w:line="288" w:lineRule="auto"/>
        <w:tabs>
          <w:tab w:leader="none" w:pos="9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trust or other business entity, distributions or transfers of Shares or Related Securities to (x) another corporation, partnership, limited liability company, trust or other business entity that is a direct or indirect affiliate (as defined in Rule 405 promulgated under the Securities Act) of the undersigned, (y)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(z) limited partners, general partners, members, managers, managing members, stockholders or other equity holders of the undersigned or of the entities described in the preceding clauses (x) and (y);</w:t>
      </w:r>
    </w:p>
    <w:p>
      <w:pPr>
        <w:spacing w:after="0" w:line="72" w:lineRule="exact"/>
        <w:rPr>
          <w:rFonts w:ascii="Arial" w:cs="Arial" w:eastAsia="Arial" w:hAnsi="Arial"/>
          <w:sz w:val="16"/>
          <w:szCs w:val="16"/>
          <w:color w:val="auto"/>
        </w:rPr>
      </w:pPr>
    </w:p>
    <w:p>
      <w:pPr>
        <w:ind w:left="980" w:right="440" w:hanging="545"/>
        <w:spacing w:after="0" w:line="287" w:lineRule="auto"/>
        <w:tabs>
          <w:tab w:leader="none" w:pos="9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transfers or dispositions of Shares to the Company as forfeitures (x) to satisfy tax withholding and remittance obligations of the undersigned in connection with the vesting or exercise of equity awards granted pursuant to the Company’s equity incentive plans or</w:t>
      </w:r>
    </w:p>
    <w:p>
      <w:pPr>
        <w:ind w:left="980" w:right="16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(y) pursuant to a net exercise or cashless exercise by the stockholder of outstanding equity awards pursuant to the Company’s equity incentive plans;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each case, any such equity incentive plans exist as of the date of the Underwriting Agreement and are described in the prospectus relating to the Offering (the “</w:t>
      </w:r>
      <w:r>
        <w:rPr>
          <w:rFonts w:ascii="Arial" w:cs="Arial" w:eastAsia="Arial" w:hAnsi="Arial"/>
          <w:sz w:val="18"/>
          <w:szCs w:val="18"/>
          <w:b w:val="1"/>
          <w:bCs w:val="1"/>
          <w:color w:val="auto"/>
        </w:rPr>
        <w:t>Prospectus</w:t>
      </w:r>
      <w:r>
        <w:rPr>
          <w:rFonts w:ascii="Arial" w:cs="Arial" w:eastAsia="Arial" w:hAnsi="Arial"/>
          <w:sz w:val="18"/>
          <w:szCs w:val="18"/>
          <w:color w:val="auto"/>
        </w:rPr>
        <w:t>”);</w:t>
      </w:r>
    </w:p>
    <w:p>
      <w:pPr>
        <w:sectPr>
          <w:pgSz w:w="11900" w:h="16838" w:orient="portrait"/>
          <w:cols w:equalWidth="0" w:num="1">
            <w:col w:w="10880"/>
          </w:cols>
          <w:pgMar w:left="480" w:top="272" w:right="539" w:bottom="1440" w:gutter="0" w:footer="0" w:header="0"/>
        </w:sectPr>
      </w:pPr>
    </w:p>
    <w:bookmarkStart w:id="263" w:name="page264"/>
    <w:bookmarkEnd w:id="263"/>
    <w:p>
      <w:pPr>
        <w:ind w:left="980" w:right="200" w:hanging="545"/>
        <w:spacing w:after="0" w:line="290" w:lineRule="auto"/>
        <w:tabs>
          <w:tab w:leader="none" w:pos="9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transfers of Shares or Related Securities pursuant to a change of control of the Company (meaning the consummation of any bona fide third party tender offer, merger, consolidation or other similar transaction made to all holders of Shares the result of which is that any “person” (as defined in Section 13(d)(3) of the Exchange Act), or group of persons, becomes the beneficial owner (as defined in Rules 13d-3 and 13d-5 of the Exchange Act) of more than 50% of the voting capital stock of the Company) after the Offering that has been approved by the independent members of the Company’s board of directors, provided, that in the event that such change of control is not completed, the Shares or Related Securities owned by the undersigned shall remain subject to the restrictions herein; or</w:t>
      </w:r>
    </w:p>
    <w:p>
      <w:pPr>
        <w:spacing w:after="0" w:line="70" w:lineRule="exact"/>
        <w:rPr>
          <w:rFonts w:ascii="Arial" w:cs="Arial" w:eastAsia="Arial" w:hAnsi="Arial"/>
          <w:sz w:val="16"/>
          <w:szCs w:val="16"/>
          <w:color w:val="auto"/>
        </w:rPr>
      </w:pPr>
    </w:p>
    <w:p>
      <w:pPr>
        <w:ind w:left="980" w:right="40" w:hanging="545"/>
        <w:spacing w:after="0" w:line="255" w:lineRule="auto"/>
        <w:tabs>
          <w:tab w:leader="none" w:pos="9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transfers of Shares or Related Securities arising as a result of the termination of employment of the undersigned to the Company pursuant to agreements that are in effect as of the date of the Underwriting Agreement for the Offering and disclosed in the Prospectus, under which the Company has the option to repurchase such Shares or Related Securities or a right of first refusal with respect to transfers of such Shares or Related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it shall be a condition to any such transfer or distribution provided in:</w:t>
      </w:r>
    </w:p>
    <w:p>
      <w:pPr>
        <w:spacing w:after="0" w:line="127" w:lineRule="exact"/>
        <w:rPr>
          <w:sz w:val="20"/>
          <w:szCs w:val="20"/>
          <w:color w:val="auto"/>
        </w:rPr>
      </w:pPr>
    </w:p>
    <w:p>
      <w:pPr>
        <w:ind w:left="980" w:right="80" w:hanging="438"/>
        <w:spacing w:after="0" w:line="253" w:lineRule="auto"/>
        <w:tabs>
          <w:tab w:leader="none" w:pos="9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clauses (ii) through (v), each transferee or distributee executes and delivers to the Representatives an agreement in form and substance satisfactory to the Representatives stating that such transferee or distributee is receiving and holding such Shares and/or Related Securities subject to the provisions of this Agreement and agrees not to Sell or Offer to Sell such Shares and/or Related Securities, engage in any Swap or engage in any other activities restricted under this Agreement except in accordance with Agreement (as if such transferee or distributee had been an original signatory hereto);</w:t>
      </w:r>
    </w:p>
    <w:p>
      <w:pPr>
        <w:spacing w:after="0" w:line="99" w:lineRule="exact"/>
        <w:rPr>
          <w:rFonts w:ascii="Arial" w:cs="Arial" w:eastAsia="Arial" w:hAnsi="Arial"/>
          <w:sz w:val="18"/>
          <w:szCs w:val="18"/>
          <w:color w:val="auto"/>
        </w:rPr>
      </w:pPr>
    </w:p>
    <w:p>
      <w:pPr>
        <w:ind w:left="980" w:right="40" w:hanging="438"/>
        <w:spacing w:after="0" w:line="267" w:lineRule="auto"/>
        <w:tabs>
          <w:tab w:leader="none" w:pos="9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clauses (ii), (iii), (v), (vi), and (viii), prior to the expiration of the Lock-up Period, no public disclosure or filing under the Exchange Act by any party to the transfer (donor, donee, transferor or transferee) shall be required, or made voluntarily, reporting a reduction in beneficial ownership of Shares in connection with such transfer (other than, in connection with a repurchase of Shares or Related Securities by the Company pursuant to clause (viii), a Form 4 or Form 5 required to be filed under the Exchange Act if the undersigned is subject to Section 16 reporting with respect to the Company under the Exchange Act,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such Form 4 or Form 5 is filed during the Lock-up Period, such Form 4 or Form 5 shall indicate by footnote disclosure or otherwise that such Form 4 or Form 5 relates to a repurchase of Shares or Related Securities by the Company in connection with the termination of the undersigned’s employment with the Company, and that any Shares or Related Securities subject to this Agreement that continue to be held by the undersigned remain subject to the terms of this Agreement); and</w:t>
      </w:r>
    </w:p>
    <w:p>
      <w:pPr>
        <w:spacing w:after="0" w:line="89" w:lineRule="exact"/>
        <w:rPr>
          <w:rFonts w:ascii="Arial" w:cs="Arial" w:eastAsia="Arial" w:hAnsi="Arial"/>
          <w:sz w:val="17"/>
          <w:szCs w:val="17"/>
          <w:color w:val="auto"/>
        </w:rPr>
      </w:pPr>
    </w:p>
    <w:p>
      <w:pPr>
        <w:ind w:left="980" w:hanging="438"/>
        <w:spacing w:after="0" w:line="252" w:lineRule="auto"/>
        <w:tabs>
          <w:tab w:leader="none" w:pos="9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clause (iv), prior to the expiration of the Lock-up Period, that if a Form 4, Form 5, Schedule 13D, Schedule 13G, Form 13F or Form 13H is required to be filed during the Lock-up Period, such Form 4, Form 5, Schedule 13D, Schedule 13G, Form 13F or Form 13H shall clearly indicate in the footnotes thereto that (A) the filing relates to the circumstances described in such clause, (B) any securities still held by the undersigned remain subject to the terms and restrictions under this Agreement, and (C) no securities were sold by the undersigned, and provided further, that, the undersigned does not otherwise voluntarily effect any other public filing or report regarding such transfers during the Lock-up Period.</w:t>
      </w:r>
    </w:p>
    <w:p>
      <w:pPr>
        <w:sectPr>
          <w:pgSz w:w="11900" w:h="16838" w:orient="portrait"/>
          <w:cols w:equalWidth="0" w:num="1">
            <w:col w:w="10920"/>
          </w:cols>
          <w:pgMar w:left="480" w:top="272" w:right="499" w:bottom="1440" w:gutter="0" w:footer="0" w:header="0"/>
        </w:sectPr>
      </w:pPr>
    </w:p>
    <w:bookmarkStart w:id="264" w:name="page265"/>
    <w:bookmarkEnd w:id="264"/>
    <w:p>
      <w:pPr>
        <w:ind w:right="8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Furthermore, notwithstanding the restrictions imposed by this Agreement, the undersigned may (i) exercise an option to purchase Shares granted under any equity incentive plan or stock purchase plan of the Company described in the Prospectus, provided that the Shares issued upon such exercise shall continue to be subject to the restrictions on transfer set forth in this Agreement, and, provided, further, that, if required, any public report or filing under Section 16 of the Exchange Act shall clearly indicate in the footnotes thereto that the filing relates to the exercise of a stock option, that no Shares were sold by the reporting person, and that Shares received upon exercise of the stock option are subject to this Agreement, or (ii) establish a trading plan pursuant to Rule 10b5-1 under the Exchange Act (a “</w:t>
      </w:r>
      <w:r>
        <w:rPr>
          <w:rFonts w:ascii="Arial" w:cs="Arial" w:eastAsia="Arial" w:hAnsi="Arial"/>
          <w:sz w:val="17"/>
          <w:szCs w:val="17"/>
          <w:b w:val="1"/>
          <w:bCs w:val="1"/>
          <w:color w:val="auto"/>
        </w:rPr>
        <w:t>10b5-1 Plan</w:t>
      </w:r>
      <w:r>
        <w:rPr>
          <w:rFonts w:ascii="Arial" w:cs="Arial" w:eastAsia="Arial" w:hAnsi="Arial"/>
          <w:sz w:val="17"/>
          <w:szCs w:val="17"/>
          <w:color w:val="auto"/>
        </w:rPr>
        <w:t>”) for the transfer of Shares, provided that such 10b5-1 Plan shall not provide for or permit any transfers, sales or other dispositions of Shares during the Lock-up Period and the entry into such 10b5-1 Plan is not publicly disclosed, including in any filing under the Exchange Act, during the Lock-up Period.</w:t>
      </w:r>
    </w:p>
    <w:p>
      <w:pPr>
        <w:spacing w:after="0" w:line="180" w:lineRule="exact"/>
        <w:rPr>
          <w:sz w:val="20"/>
          <w:szCs w:val="20"/>
          <w:color w:val="auto"/>
        </w:rPr>
      </w:pPr>
    </w:p>
    <w:p>
      <w:pPr>
        <w:ind w:right="260"/>
        <w:spacing w:after="0" w:line="335" w:lineRule="auto"/>
        <w:rPr>
          <w:sz w:val="20"/>
          <w:szCs w:val="20"/>
          <w:color w:val="auto"/>
        </w:rPr>
      </w:pPr>
      <w:r>
        <w:rPr>
          <w:rFonts w:ascii="Arial" w:cs="Arial" w:eastAsia="Arial" w:hAnsi="Arial"/>
          <w:sz w:val="16"/>
          <w:szCs w:val="16"/>
          <w:color w:val="auto"/>
        </w:rPr>
        <w:t>If the undersigned is an officer or director of the Company, the undersigned further agrees that the foregoing provisions shall be equally applicable to any Company-directed Shares the undersigned may purchase or otherwise receive in the Offering (including pursuant to a directed share program).</w:t>
      </w:r>
    </w:p>
    <w:p>
      <w:pPr>
        <w:spacing w:after="0" w:line="12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spacing w:after="0" w:line="186" w:lineRule="exact"/>
        <w:rPr>
          <w:sz w:val="20"/>
          <w:szCs w:val="20"/>
          <w:color w:val="auto"/>
        </w:rPr>
      </w:pPr>
    </w:p>
    <w:p>
      <w:pPr>
        <w:spacing w:after="0" w:line="322" w:lineRule="auto"/>
        <w:rPr>
          <w:sz w:val="20"/>
          <w:szCs w:val="20"/>
          <w:color w:val="auto"/>
        </w:rPr>
      </w:pPr>
      <w:r>
        <w:rPr>
          <w:rFonts w:ascii="Arial" w:cs="Arial" w:eastAsia="Arial" w:hAnsi="Arial"/>
          <w:sz w:val="14"/>
          <w:szCs w:val="14"/>
          <w:color w:val="auto"/>
        </w:rPr>
        <w:t>In addition, if the undersigned is an officer or director of the Company, (i) the Representatives agree that, at least three business days before the effective date of any release or waiver of the foregoing restrictions in connection with a transfer of Shares, the Representatives will notify the Company of the impending release or waiver, and (ii) the Company (in accordance with the provisions of the Underwriting Agreement) will announce the impending Release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both (a) the release or waiver is effected solely to permit a transfer not for consideration and</w:t>
      </w:r>
    </w:p>
    <w:p>
      <w:pPr>
        <w:spacing w:after="0" w:line="1" w:lineRule="exact"/>
        <w:rPr>
          <w:sz w:val="20"/>
          <w:szCs w:val="20"/>
          <w:color w:val="auto"/>
        </w:rPr>
      </w:pPr>
    </w:p>
    <w:p>
      <w:pPr>
        <w:ind w:right="100" w:firstLine="7"/>
        <w:spacing w:after="0" w:line="256" w:lineRule="auto"/>
        <w:tabs>
          <w:tab w:leader="none" w:pos="25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transferee has agreed in writing to be bound by the same terms described in this Agreement that are applicable to the transferor to the extent and for the duration that such terms remain in effect at the time of the transfer.</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186" w:lineRule="exact"/>
        <w:rPr>
          <w:sz w:val="20"/>
          <w:szCs w:val="20"/>
          <w:color w:val="auto"/>
        </w:rPr>
      </w:pPr>
    </w:p>
    <w:p>
      <w:pPr>
        <w:ind w:right="260"/>
        <w:spacing w:after="0" w:line="307" w:lineRule="auto"/>
        <w:rPr>
          <w:sz w:val="20"/>
          <w:szCs w:val="20"/>
          <w:color w:val="auto"/>
        </w:rPr>
      </w:pPr>
      <w:r>
        <w:rPr>
          <w:rFonts w:ascii="Arial" w:cs="Arial" w:eastAsia="Arial" w:hAnsi="Arial"/>
          <w:sz w:val="16"/>
          <w:szCs w:val="16"/>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15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w:t>
      </w:r>
    </w:p>
    <w:p>
      <w:pPr>
        <w:spacing w:after="0" w:line="186"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ectPr>
          <w:pgSz w:w="11900" w:h="16838" w:orient="portrait"/>
          <w:cols w:equalWidth="0" w:num="1">
            <w:col w:w="10900"/>
          </w:cols>
          <w:pgMar w:left="480" w:top="272" w:right="519" w:bottom="1440" w:gutter="0" w:footer="0" w:header="0"/>
        </w:sectPr>
      </w:pPr>
    </w:p>
    <w:bookmarkStart w:id="265" w:name="page266"/>
    <w:bookmarkEnd w:id="265"/>
    <w:p>
      <w:pPr>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(i) prior to the execution of the Underwriting Agreement, the Company, on the one hand, or the Representatives, on the other hand, notifies the other in writing that it does not intend to proceed with the Offering, (ii) the Company files an application to withdraw the registration statement related to the Offering, (iii) the Underwriting Agreement is not executed on or before June 30, 2021, as such date may be extended to September 30, 2021 by written notice from the Company to the undersigned, or (iv) the Underwriting Agreement (other than the provisions thereof that survive termination) terminates or is terminated prior to the closing date of the Offering, then in each case, this Agreement shall automatically, and without any action on the part of any other party, terminate and be of no further force and effect, and the undersigned shall automatically be released from the obligations under this Agreement.</w:t>
      </w:r>
    </w:p>
    <w:p>
      <w:pPr>
        <w:spacing w:after="0" w:line="197" w:lineRule="exact"/>
        <w:rPr>
          <w:sz w:val="20"/>
          <w:szCs w:val="20"/>
          <w:color w:val="auto"/>
        </w:rPr>
      </w:pPr>
    </w:p>
    <w:p>
      <w:pPr>
        <w:ind w:right="340"/>
        <w:spacing w:after="0" w:line="417" w:lineRule="auto"/>
        <w:rPr>
          <w:sz w:val="20"/>
          <w:szCs w:val="20"/>
          <w:color w:val="auto"/>
        </w:rPr>
      </w:pPr>
      <w:r>
        <w:rPr>
          <w:rFonts w:ascii="Arial" w:cs="Arial" w:eastAsia="Arial" w:hAnsi="Arial"/>
          <w:sz w:val="14"/>
          <w:szCs w:val="14"/>
          <w:color w:val="auto"/>
        </w:rPr>
        <w:t>The undersigned hereby represents and warrants that the undersigned has full power, capacity and authority to enter into this Agreement. This Agreement is irrevocable and will be binding on the undersigned and the successors, heirs, personal representatives and assigns of the undersigned.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ectPr>
          <w:pgSz w:w="11900" w:h="16838" w:orient="portrait"/>
          <w:cols w:equalWidth="0" w:num="1">
            <w:col w:w="10860"/>
          </w:cols>
          <w:pgMar w:left="480" w:top="272" w:right="55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318135</wp:posOffset>
            </wp:positionV>
            <wp:extent cx="27686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9">
                      <a:extLst>
                        <a:ext uri="{28A0092B-C50C-407E-A947-70E740481C1C}"/>
                      </a:extLst>
                    </a:blip>
                    <a:srcRect/>
                    <a:stretch>
                      <a:fillRect/>
                    </a:stretch>
                  </pic:blipFill>
                  <pic:spPr bwMode="auto">
                    <a:xfrm>
                      <a:off x="0" y="0"/>
                      <a:ext cx="2768600" cy="8255"/>
                    </a:xfrm>
                    <a:prstGeom prst="rect">
                      <a:avLst/>
                    </a:prstGeom>
                    <a:noFill/>
                  </pic:spPr>
                </pic:pic>
              </a:graphicData>
            </a:graphic>
          </wp:anchor>
        </w:drawing>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285115</wp:posOffset>
            </wp:positionV>
            <wp:extent cx="27686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Person Signing</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(Indicate capacity of person signing if signing as custodian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 trustee, or on behalf of an entity)</w:t>
      </w:r>
    </w:p>
    <w:p>
      <w:pPr>
        <w:sectPr>
          <w:pgSz w:w="11900" w:h="16838" w:orient="portrait"/>
          <w:cols w:equalWidth="0" w:num="1">
            <w:col w:w="9979"/>
          </w:cols>
          <w:pgMar w:left="480" w:top="513" w:right="1440" w:bottom="1440" w:gutter="0" w:footer="0" w:header="0"/>
        </w:sectPr>
      </w:pPr>
    </w:p>
    <w:bookmarkStart w:id="267" w:name="page268"/>
    <w:bookmarkEnd w:id="2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Annex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Defined Terms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Used in Lock-up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letter agreement to which this Annex A is attached and of which it is made a part:</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Equivalent Position</w:t>
      </w:r>
      <w:r>
        <w:rPr>
          <w:rFonts w:ascii="Arial" w:cs="Arial" w:eastAsia="Arial" w:hAnsi="Arial"/>
          <w:sz w:val="18"/>
          <w:szCs w:val="18"/>
          <w:color w:val="auto"/>
        </w:rPr>
        <w:t>” shall have the meaning set forth in Rule 16a-1(b) under the Exchange Act.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114"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Arial" w:cs="Arial" w:eastAsia="Arial" w:hAnsi="Arial"/>
          <w:sz w:val="18"/>
          <w:szCs w:val="18"/>
          <w:b w:val="1"/>
          <w:bCs w:val="1"/>
          <w:color w:val="auto"/>
        </w:rPr>
        <w:t>Immediate family member</w:t>
      </w:r>
      <w:r>
        <w:rPr>
          <w:rFonts w:ascii="Arial" w:cs="Arial" w:eastAsia="Arial" w:hAnsi="Arial"/>
          <w:sz w:val="18"/>
          <w:szCs w:val="18"/>
          <w:color w:val="auto"/>
        </w:rPr>
        <w:t>” as used above shall have the meaning set forth in Rule 16a-1(e) under the Exchange Act.</w:t>
      </w:r>
    </w:p>
    <w:p>
      <w:pPr>
        <w:spacing w:after="0" w:line="77" w:lineRule="exact"/>
        <w:rPr>
          <w:sz w:val="20"/>
          <w:szCs w:val="20"/>
          <w:color w:val="auto"/>
        </w:rPr>
      </w:pPr>
    </w:p>
    <w:p>
      <w:pPr>
        <w:ind w:left="440" w:right="3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shall mean the period beginning on the date hereof and continuing through the close of trading on the date that is 180 days after the date of the Prospectus (as such term will be defined in the Underwriting Agreement).</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Put Equivalent Position</w:t>
      </w:r>
      <w:r>
        <w:rPr>
          <w:rFonts w:ascii="Arial" w:cs="Arial" w:eastAsia="Arial" w:hAnsi="Arial"/>
          <w:sz w:val="18"/>
          <w:szCs w:val="18"/>
          <w:color w:val="auto"/>
        </w:rPr>
        <w:t>” shall have the meaning set forth in Rule 16a-1(h) under the Exchange Act.</w:t>
      </w:r>
    </w:p>
    <w:p>
      <w:pPr>
        <w:spacing w:after="0" w:line="114" w:lineRule="exact"/>
        <w:rPr>
          <w:sz w:val="20"/>
          <w:szCs w:val="20"/>
          <w:color w:val="auto"/>
        </w:rPr>
      </w:pPr>
    </w:p>
    <w:p>
      <w:pPr>
        <w:ind w:left="440" w:right="360"/>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 or Offer to Sell</w:t>
      </w:r>
      <w:r>
        <w:rPr>
          <w:rFonts w:ascii="Arial" w:cs="Arial" w:eastAsia="Arial" w:hAnsi="Arial"/>
          <w:sz w:val="18"/>
          <w:szCs w:val="18"/>
          <w:color w:val="auto"/>
        </w:rPr>
        <w:t>” shall mean to:</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sell, offer to sell, contract to sell or lend,</w:t>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effect any short sale or establish or increase a Put Equivalent Position or liquidate or decrease any Call Equivalent Position</w:t>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pledge, hypothecate or grant any security interest in, or</w:t>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any other way transfer or dispose of,</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each case whether effected directly or indirectly.</w:t>
      </w:r>
    </w:p>
    <w:p>
      <w:pPr>
        <w:spacing w:after="0" w:line="110" w:lineRule="exact"/>
        <w:rPr>
          <w:sz w:val="20"/>
          <w:szCs w:val="20"/>
          <w:color w:val="auto"/>
        </w:rPr>
      </w:pPr>
    </w:p>
    <w:p>
      <w:pPr>
        <w:ind w:left="440" w:right="280"/>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w:t>
      </w:r>
      <w:r>
        <w:rPr>
          <w:rFonts w:ascii="Arial" w:cs="Arial" w:eastAsia="Arial" w:hAnsi="Arial"/>
          <w:sz w:val="16"/>
          <w:szCs w:val="16"/>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in this Annex A shall have the meanings given to them in the body of this Agreement.</w:t>
      </w:r>
    </w:p>
    <w:p>
      <w:pPr>
        <w:sectPr>
          <w:pgSz w:w="11900" w:h="16838" w:orient="portrait"/>
          <w:cols w:equalWidth="0" w:num="1">
            <w:col w:w="10900"/>
          </w:cols>
          <w:pgMar w:left="480" w:top="268" w:right="51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THERAPEUTICS, INC.</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certifies that:</w:t>
      </w:r>
    </w:p>
    <w:p>
      <w:pPr>
        <w:spacing w:after="0" w:line="221" w:lineRule="exact"/>
        <w:rPr>
          <w:sz w:val="20"/>
          <w:szCs w:val="20"/>
          <w:color w:val="auto"/>
        </w:rPr>
      </w:pPr>
    </w:p>
    <w:p>
      <w:pPr>
        <w:ind w:right="820" w:firstLine="444"/>
        <w:spacing w:after="0" w:line="271" w:lineRule="auto"/>
        <w:tabs>
          <w:tab w:leader="none" w:pos="614"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The name of this corporation is Vera Therapeutics, Inc., and that this corporation was originally incorporated pursuant to the General Corporation Law of the State of Delaware on May 12, 2016 under the name CDF Therapeutics, Inc.</w:t>
      </w:r>
    </w:p>
    <w:p>
      <w:pPr>
        <w:spacing w:after="0" w:line="174" w:lineRule="exact"/>
        <w:rPr>
          <w:rFonts w:ascii="Arial" w:cs="Arial" w:eastAsia="Arial" w:hAnsi="Arial"/>
          <w:sz w:val="18"/>
          <w:szCs w:val="18"/>
          <w:b w:val="1"/>
          <w:bCs w:val="1"/>
          <w:color w:val="auto"/>
        </w:rPr>
      </w:pPr>
    </w:p>
    <w:p>
      <w:pPr>
        <w:ind w:left="620" w:hanging="176"/>
        <w:spacing w:after="0"/>
        <w:tabs>
          <w:tab w:leader="none" w:pos="620"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He is the duly elected and acting Chief Executive Officer of this corporation.</w:t>
      </w:r>
    </w:p>
    <w:p>
      <w:pPr>
        <w:spacing w:after="0" w:line="220" w:lineRule="exact"/>
        <w:rPr>
          <w:rFonts w:ascii="Arial" w:cs="Arial" w:eastAsia="Arial" w:hAnsi="Arial"/>
          <w:sz w:val="18"/>
          <w:szCs w:val="18"/>
          <w:b w:val="1"/>
          <w:bCs w:val="1"/>
          <w:color w:val="auto"/>
        </w:rPr>
      </w:pPr>
    </w:p>
    <w:p>
      <w:pPr>
        <w:ind w:left="620" w:hanging="176"/>
        <w:spacing w:after="0"/>
        <w:tabs>
          <w:tab w:leader="none" w:pos="620" w:val="left"/>
        </w:tabs>
        <w:numPr>
          <w:ilvl w:val="0"/>
          <w:numId w:val="174"/>
        </w:numPr>
        <w:rPr>
          <w:rFonts w:ascii="Arial" w:cs="Arial" w:eastAsia="Arial" w:hAnsi="Arial"/>
          <w:sz w:val="17"/>
          <w:szCs w:val="17"/>
          <w:b w:val="1"/>
          <w:bCs w:val="1"/>
          <w:color w:val="auto"/>
        </w:rPr>
      </w:pPr>
      <w:r>
        <w:rPr>
          <w:rFonts w:ascii="Arial" w:cs="Arial" w:eastAsia="Arial" w:hAnsi="Arial"/>
          <w:sz w:val="17"/>
          <w:szCs w:val="17"/>
          <w:color w:val="auto"/>
        </w:rPr>
        <w:t>The Third Amended and Restated Certificate of Incorporation of this corporation is hereby amended and restated to read as follows: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this corporation is Vera Therapeutics,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ind w:right="80" w:firstLine="436"/>
        <w:spacing w:after="0" w:line="340" w:lineRule="auto"/>
        <w:rPr>
          <w:sz w:val="20"/>
          <w:szCs w:val="20"/>
          <w:color w:val="auto"/>
        </w:rPr>
      </w:pPr>
      <w:r>
        <w:rPr>
          <w:rFonts w:ascii="Arial" w:cs="Arial" w:eastAsia="Arial" w:hAnsi="Arial"/>
          <w:sz w:val="16"/>
          <w:szCs w:val="16"/>
          <w:b w:val="1"/>
          <w:bCs w:val="1"/>
          <w:color w:val="auto"/>
        </w:rPr>
        <w:t>SECOND</w:t>
      </w:r>
      <w:r>
        <w:rPr>
          <w:rFonts w:ascii="Arial" w:cs="Arial" w:eastAsia="Arial" w:hAnsi="Arial"/>
          <w:sz w:val="16"/>
          <w:szCs w:val="16"/>
          <w:color w:val="auto"/>
        </w:rPr>
        <w:t>: The address of the registered office of the Corporation in the State of Delaware is Corporation Trust Center, 1209 Orange Street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City of Wilmington, County of New Castle, 19801. The name of its registered agent at such address is The Corporation Trust Company.</w:t>
      </w:r>
    </w:p>
    <w:p>
      <w:pPr>
        <w:spacing w:after="0" w:line="121" w:lineRule="exact"/>
        <w:rPr>
          <w:sz w:val="20"/>
          <w:szCs w:val="20"/>
          <w:color w:val="auto"/>
        </w:rPr>
      </w:pPr>
    </w:p>
    <w:p>
      <w:pPr>
        <w:ind w:right="40" w:firstLine="436"/>
        <w:spacing w:after="0" w:line="275"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nature of the business or purposes to be conducted or promoted is to engage in any lawful act or activity for which corporations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organized under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68" w:lineRule="exact"/>
        <w:rPr>
          <w:sz w:val="20"/>
          <w:szCs w:val="20"/>
          <w:color w:val="auto"/>
        </w:rPr>
      </w:pPr>
    </w:p>
    <w:p>
      <w:pPr>
        <w:ind w:right="40" w:firstLine="436"/>
        <w:spacing w:after="0" w:line="273" w:lineRule="auto"/>
        <w:rPr>
          <w:sz w:val="20"/>
          <w:szCs w:val="20"/>
          <w:color w:val="auto"/>
        </w:rPr>
      </w:pPr>
      <w:r>
        <w:rPr>
          <w:rFonts w:ascii="Arial" w:cs="Arial" w:eastAsia="Arial" w:hAnsi="Arial"/>
          <w:sz w:val="17"/>
          <w:szCs w:val="17"/>
          <w:b w:val="1"/>
          <w:bCs w:val="1"/>
          <w:color w:val="auto"/>
        </w:rPr>
        <w:t>FOURTH</w:t>
      </w:r>
      <w:r>
        <w:rPr>
          <w:rFonts w:ascii="Arial" w:cs="Arial" w:eastAsia="Arial" w:hAnsi="Arial"/>
          <w:sz w:val="17"/>
          <w:szCs w:val="17"/>
          <w:color w:val="auto"/>
        </w:rPr>
        <w:t>: The total number of shares of all classes of stock that the Corporation shall have authority to issue is (i) 273,986,920 shares of Class A</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$0.001 par value per share (“</w:t>
      </w:r>
      <w:r>
        <w:rPr>
          <w:rFonts w:ascii="Arial" w:cs="Arial" w:eastAsia="Arial" w:hAnsi="Arial"/>
          <w:sz w:val="17"/>
          <w:szCs w:val="17"/>
          <w:b w:val="1"/>
          <w:bCs w:val="1"/>
          <w:color w:val="auto"/>
        </w:rPr>
        <w:t>Class A Common Stock</w:t>
      </w:r>
      <w:r>
        <w:rPr>
          <w:rFonts w:ascii="Arial" w:cs="Arial" w:eastAsia="Arial" w:hAnsi="Arial"/>
          <w:sz w:val="17"/>
          <w:szCs w:val="17"/>
          <w:color w:val="auto"/>
        </w:rPr>
        <w:t>”), (ii) 21,593,607 shares of Class B Common Stock, $0.001 par value per share (“</w:t>
      </w:r>
      <w:r>
        <w:rPr>
          <w:rFonts w:ascii="Arial" w:cs="Arial" w:eastAsia="Arial" w:hAnsi="Arial"/>
          <w:sz w:val="17"/>
          <w:szCs w:val="17"/>
          <w:b w:val="1"/>
          <w:bCs w:val="1"/>
          <w:color w:val="auto"/>
        </w:rPr>
        <w:t>Class B Common Stock</w:t>
      </w:r>
      <w:r>
        <w:rPr>
          <w:rFonts w:ascii="Arial" w:cs="Arial" w:eastAsia="Arial" w:hAnsi="Arial"/>
          <w:sz w:val="17"/>
          <w:szCs w:val="17"/>
          <w:color w:val="auto"/>
        </w:rPr>
        <w:t>” and collectively with the Class A Common Stock, the “</w:t>
      </w:r>
      <w:r>
        <w:rPr>
          <w:rFonts w:ascii="Arial" w:cs="Arial" w:eastAsia="Arial" w:hAnsi="Arial"/>
          <w:sz w:val="17"/>
          <w:szCs w:val="17"/>
          <w:b w:val="1"/>
          <w:bCs w:val="1"/>
          <w:color w:val="auto"/>
        </w:rPr>
        <w:t>Common Stock</w:t>
      </w:r>
      <w:r>
        <w:rPr>
          <w:rFonts w:ascii="Arial" w:cs="Arial" w:eastAsia="Arial" w:hAnsi="Arial"/>
          <w:sz w:val="17"/>
          <w:szCs w:val="17"/>
          <w:color w:val="auto"/>
        </w:rPr>
        <w:t>”), and (iii) 182,772,372 shares of Preferred Stock, $0.001 par value per share (“</w:t>
      </w:r>
      <w:r>
        <w:rPr>
          <w:rFonts w:ascii="Arial" w:cs="Arial" w:eastAsia="Arial" w:hAnsi="Arial"/>
          <w:sz w:val="17"/>
          <w:szCs w:val="17"/>
          <w:b w:val="1"/>
          <w:bCs w:val="1"/>
          <w:color w:val="auto"/>
        </w:rPr>
        <w:t>Preferred Stock</w:t>
      </w:r>
      <w:r>
        <w:rPr>
          <w:rFonts w:ascii="Arial" w:cs="Arial" w:eastAsia="Arial" w:hAnsi="Arial"/>
          <w:sz w:val="17"/>
          <w:szCs w:val="17"/>
          <w:color w:val="auto"/>
        </w:rPr>
        <w:t>”). The following is a statement of the designations and the powers, privileges and rights, and the qualifications, limitations or restrictions thereof in respect of each class of capital stock of the Corporation.</w:t>
      </w:r>
    </w:p>
    <w:p>
      <w:pPr>
        <w:spacing w:after="0" w:line="17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Upon the acceptance of this Fourth Amended and Restated Certificate of Incorporation (this “</w:t>
      </w:r>
      <w:r>
        <w:rPr>
          <w:rFonts w:ascii="Arial" w:cs="Arial" w:eastAsia="Arial" w:hAnsi="Arial"/>
          <w:sz w:val="18"/>
          <w:szCs w:val="18"/>
          <w:b w:val="1"/>
          <w:bCs w:val="1"/>
          <w:color w:val="auto"/>
        </w:rPr>
        <w:t>Restated Certificate</w:t>
      </w:r>
      <w:r>
        <w:rPr>
          <w:rFonts w:ascii="Arial" w:cs="Arial" w:eastAsia="Arial" w:hAnsi="Arial"/>
          <w:sz w:val="18"/>
          <w:szCs w:val="18"/>
          <w:color w:val="auto"/>
        </w:rPr>
        <w:t>”) for filing with the Secretary of State of the State of Delaware (the time of acceptance shall be referred to herein as the “</w:t>
      </w:r>
      <w:r>
        <w:rPr>
          <w:rFonts w:ascii="Arial" w:cs="Arial" w:eastAsia="Arial" w:hAnsi="Arial"/>
          <w:sz w:val="18"/>
          <w:szCs w:val="18"/>
          <w:b w:val="1"/>
          <w:bCs w:val="1"/>
          <w:color w:val="auto"/>
        </w:rPr>
        <w:t>Effective Time</w:t>
      </w:r>
      <w:r>
        <w:rPr>
          <w:rFonts w:ascii="Arial" w:cs="Arial" w:eastAsia="Arial" w:hAnsi="Arial"/>
          <w:sz w:val="18"/>
          <w:szCs w:val="18"/>
          <w:color w:val="auto"/>
        </w:rPr>
        <w:t>”), each share of Common Stock of the Corporation outstanding immediately prior to the Effective Time shall, without any further action by any stockholder, be reclassified as, and shall become, one share of Class A Common Stock. Any stock certificate that immediately prior to the Effective Time represented shares of the Corporation’s Common Stock shall, from and after the Effective Time, be deemed to represent the same number of shares of Class A Common Stock, without the need for surrender or exchange thereof.</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COMMON STOCK</w:t>
      </w:r>
    </w:p>
    <w:p>
      <w:pPr>
        <w:spacing w:after="0" w:line="221" w:lineRule="exact"/>
        <w:rPr>
          <w:sz w:val="20"/>
          <w:szCs w:val="20"/>
          <w:color w:val="auto"/>
        </w:rPr>
      </w:pPr>
    </w:p>
    <w:p>
      <w:pPr>
        <w:ind w:right="480" w:firstLine="990"/>
        <w:spacing w:after="0" w:line="301" w:lineRule="auto"/>
        <w:tabs>
          <w:tab w:leader="none" w:pos="1160"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voting, dividend and liquidation rights of the holders of the Class A Common Stock and Class B Common Stock are subject to and qualified by the rights, powers and preferences of the holders of the Preferred Stock set forth herein.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269" w:name="page270"/>
    <w:bookmarkEnd w:id="269"/>
    <w:p>
      <w:pPr>
        <w:ind w:firstLine="990"/>
        <w:spacing w:after="0" w:line="284" w:lineRule="auto"/>
        <w:tabs>
          <w:tab w:leader="none" w:pos="1160"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Voting</w:t>
      </w:r>
      <w:r>
        <w:rPr>
          <w:rFonts w:ascii="Arial" w:cs="Arial" w:eastAsia="Arial" w:hAnsi="Arial"/>
          <w:sz w:val="16"/>
          <w:szCs w:val="16"/>
          <w:color w:val="auto"/>
        </w:rPr>
        <w:t>. The holders of the Class A Common Stock are entitled to one vote for each share of Class A Common Stock held at all meetings of stockholders (and written actions in lieu of meetings); provided, however, that, except as otherwise required by law, holders of Common Stock, as such, shall not be entitled to vote on any amendment to this Restated Certificate that relates solely to the terms of one or more outstanding series of Preferred Stock if the holders of such affected series are entitled, either separately or together with the holders of one or more other such series, to vote thereon pursuant to this Restated Certificate or pursuant to the General Corporation Law. There shall be no cumulative voting. The number of authorized shares of Class A Common Stock and/or Class B Common Stock may be increased or decreased (but not below the number of shares thereof then outstanding or the number of shares thereof reserved for issuance pursuant to Section 1.7(b) of the Series C Preferred Stock Purchase Agreement between the Corporation and the purchasers thereunder dated on or about the Original Issue Date (as amended, modified of supplemented from time to time, the “</w:t>
      </w:r>
      <w:r>
        <w:rPr>
          <w:rFonts w:ascii="Arial" w:cs="Arial" w:eastAsia="Arial" w:hAnsi="Arial"/>
          <w:sz w:val="16"/>
          <w:szCs w:val="16"/>
          <w:b w:val="1"/>
          <w:bCs w:val="1"/>
          <w:color w:val="auto"/>
        </w:rPr>
        <w:t>Purchase Agreement</w:t>
      </w:r>
      <w:r>
        <w:rPr>
          <w:rFonts w:ascii="Arial" w:cs="Arial" w:eastAsia="Arial" w:hAnsi="Arial"/>
          <w:sz w:val="16"/>
          <w:szCs w:val="16"/>
          <w:color w:val="auto"/>
        </w:rPr>
        <w:t>”)) by the affirmative vote of the holders of a majority of the outstanding shares of Preferred Stock and Common Stock, voting together as a single class on an as-converted basis, irrespective of the provisions of Section 242(b)(2) of the General Corporation Law (in addition to any vote of the holders of one or more series of Preferred Stock that may be required by the terms of this Restated Certificate), which majority holders must include at least three of Abingworth, Fidelity, Longitude and Sofinnova (each as defined below).</w:t>
      </w:r>
    </w:p>
    <w:p>
      <w:pPr>
        <w:spacing w:after="0" w:line="169"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Except as otherwise required by law, holders of Class B Common Stock shall not be entitled to vote on any matter, including any matter on which the holders of Class A Common Stock or Preferred Stock shall be entitled to vote, and shares of Class B Common Stock shall not be included in determining the number of shares of Common Stock voting or entitled to vote on any such matters. Shares of Class B Common Stock shall not be certificated, but shall instead be held in book-entry form on the books and records of the Corporation.</w:t>
      </w:r>
    </w:p>
    <w:p>
      <w:pPr>
        <w:spacing w:after="0" w:line="17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Except as expressly set forth in this Article Fourth with respect to voting rights only, the Class B Common Stock shall have the same rights and powers of, rank equally to, share ratably with and be identical in all respects and as to all matters to Class A Common Stock. If the Corporation in any manner subdivides or combines the shares of Class A Common Stock, then the shares of Class B Common Stock will be subdivided or combined in the same proportion and manner, and if the Corporation in any manner subdivides or combines the shares of Class B Common Stock, then the outstanding shares of Class A Common Stock will be subdivided or combined in the same proportion and manner.</w:t>
      </w:r>
    </w:p>
    <w:p>
      <w:pPr>
        <w:spacing w:after="0" w:line="176" w:lineRule="exact"/>
        <w:rPr>
          <w:sz w:val="20"/>
          <w:szCs w:val="20"/>
          <w:color w:val="auto"/>
        </w:rPr>
      </w:pPr>
    </w:p>
    <w:p>
      <w:pPr>
        <w:ind w:right="180" w:firstLine="990"/>
        <w:spacing w:after="0" w:line="259" w:lineRule="auto"/>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Section 16 Limitation Matters</w:t>
      </w:r>
      <w:r>
        <w:rPr>
          <w:rFonts w:ascii="Arial" w:cs="Arial" w:eastAsia="Arial" w:hAnsi="Arial"/>
          <w:sz w:val="18"/>
          <w:szCs w:val="18"/>
          <w:color w:val="auto"/>
        </w:rPr>
        <w:t>. Subject to the terms of this Section 3, shares of Class B Common Stock shall be convertible into a corresponding number of Class A Common Stock upon written notice by the holder thereof. Any capitalized but undefined term used in this Section 3 shall have the meaning ascribed to such term in the Purchase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72" w:right="519" w:bottom="1440" w:gutter="0" w:footer="0" w:header="0"/>
        </w:sectPr>
      </w:pPr>
    </w:p>
    <w:bookmarkStart w:id="270" w:name="page271"/>
    <w:bookmarkEnd w:id="270"/>
    <w:p>
      <w:pPr>
        <w:ind w:firstLine="1419"/>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3.1 Notwithstanding anything to the contrary herein (but subject to Section 3.2), no holder of Class B Common Stock shall be entitled to receive, and the Corporation shall not deliver to any such holder, any Class A Common Stock upon conversion of the Class B Common Stock to the extent (but only to the extent) that, after such receipt, such converting holder and its Affiliates (together, the “</w:t>
      </w:r>
      <w:r>
        <w:rPr>
          <w:rFonts w:ascii="Arial" w:cs="Arial" w:eastAsia="Arial" w:hAnsi="Arial"/>
          <w:sz w:val="16"/>
          <w:szCs w:val="16"/>
          <w:b w:val="1"/>
          <w:bCs w:val="1"/>
          <w:color w:val="auto"/>
        </w:rPr>
        <w:t>Related Holders</w:t>
      </w:r>
      <w:r>
        <w:rPr>
          <w:rFonts w:ascii="Arial" w:cs="Arial" w:eastAsia="Arial" w:hAnsi="Arial"/>
          <w:sz w:val="16"/>
          <w:szCs w:val="16"/>
          <w:color w:val="auto"/>
        </w:rPr>
        <w:t>”) would beneficially own in the aggregate, directly or indirectly, shares of Class A Common Stock in excess of 9.9% of such shares outstanding at such time (the “</w:t>
      </w:r>
      <w:r>
        <w:rPr>
          <w:rFonts w:ascii="Arial" w:cs="Arial" w:eastAsia="Arial" w:hAnsi="Arial"/>
          <w:sz w:val="16"/>
          <w:szCs w:val="16"/>
          <w:b w:val="1"/>
          <w:bCs w:val="1"/>
          <w:color w:val="auto"/>
        </w:rPr>
        <w:t>Section 16 Limitation</w:t>
      </w:r>
      <w:r>
        <w:rPr>
          <w:rFonts w:ascii="Arial" w:cs="Arial" w:eastAsia="Arial" w:hAnsi="Arial"/>
          <w:sz w:val="16"/>
          <w:szCs w:val="16"/>
          <w:color w:val="auto"/>
        </w:rPr>
        <w:t xml:space="preserve">”). For avoidance of doubt, in the event that the Related Holders beneficially own in the aggregate, directly or indirectly, shares of Class A Common Stock in excess of the Section 16 Limitation without taking into account the conversion of Class B Common Stock, then none of the Class B Common Stock shall be convertible until such time as the Related Holders no longer beneficially own in the aggregate, directly or indirectly, shares of Class A Common Stock in excess of the Section 16 Limitation. Any conversion notice provided by a converting holder under this Section 3 shall constitute the converting holder’s acknowledgement and confirmation to the Corporation that (i) the acquisition of the shares of Class A Common Stock sought in the conversion notice will not result in Related Holders becoming in the aggregate, directly or indirectly, the beneficial owner of more shares of Class A Common Stock than permitted by the Section 16 Limitation and (ii) any Class A Common Stock to which the Electing Holder would be entitled but for the Section 16 Limitation will remain Class B Common Stock. Any purported delivery of shares of Class A Common Stock upon conversion of Class B Common Stock shall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shall have no effect to the extent (but only to the extent) that such delivery would result in the Related Holders becoming in the aggregate, directly or indirectly, the beneficial owner of more shares of Class A Common Stock than permitted by the Section 16 Limitation. Before any holder shall be entitled to exchange any shares of such Class B Common Stock pursuant to this provision, such holder shall give written notice to the Corporation at its principal corporate office, of the election to exchange the same and shall state therein the name or names in which the certificate or certificates for shares of Class A Common Stock are to be issued. The Corporation shall, as soon as practicable thereafter, issue and deliver to the Electing Investor, or to the nominee or nominees of such holder, a certificate or certificates (unless shares of Class A Common Stock are then maintained in book-entry form) for the number of shares of Class A Common Stock to which such holder shall be entitled as aforesaid. Such exchange shall be deemed to have been made immediately prior to the close of business on the date of such written notice, and the person or persons entitled to receive the shares of Class A Common Stock issuable upon such exchange shall be treated for all purposes as the record holder or holders of such shares of Class A Common Stock as of such date. Each share of Class B Common Stock that is exchanged pursuant to this Section 3.1 shall be retired by the Corporation and shall not be available for reissuance. Within two (2) business days of any request by a holder of Class B Common Stock, the Corporation shall inform such holder in writing of the then current number of outstanding shares of Class A Common Stock and Class B Common Stock.</w:t>
      </w:r>
    </w:p>
    <w:p>
      <w:pPr>
        <w:spacing w:after="0" w:line="178" w:lineRule="exact"/>
        <w:rPr>
          <w:sz w:val="20"/>
          <w:szCs w:val="20"/>
          <w:color w:val="auto"/>
        </w:rPr>
      </w:pPr>
    </w:p>
    <w:p>
      <w:pPr>
        <w:ind w:firstLine="1419"/>
        <w:spacing w:after="0" w:line="267" w:lineRule="auto"/>
        <w:rPr>
          <w:sz w:val="20"/>
          <w:szCs w:val="20"/>
          <w:color w:val="auto"/>
        </w:rPr>
      </w:pPr>
      <w:r>
        <w:rPr>
          <w:rFonts w:ascii="Arial" w:cs="Arial" w:eastAsia="Arial" w:hAnsi="Arial"/>
          <w:sz w:val="17"/>
          <w:szCs w:val="17"/>
          <w:color w:val="auto"/>
        </w:rPr>
        <w:t>3.2 Any shares of Class B Common Stock shall be exchanged for a corresponding number of fully paid and nonassessable shares of Class A Common Stock immediately upon request following a Non-Affiliate Transfer. A “</w:t>
      </w:r>
      <w:r>
        <w:rPr>
          <w:rFonts w:ascii="Arial" w:cs="Arial" w:eastAsia="Arial" w:hAnsi="Arial"/>
          <w:sz w:val="17"/>
          <w:szCs w:val="17"/>
          <w:b w:val="1"/>
          <w:bCs w:val="1"/>
          <w:color w:val="auto"/>
        </w:rPr>
        <w:t>Non-Affiliate Transfer</w:t>
      </w:r>
      <w:r>
        <w:rPr>
          <w:rFonts w:ascii="Arial" w:cs="Arial" w:eastAsia="Arial" w:hAnsi="Arial"/>
          <w:sz w:val="17"/>
          <w:szCs w:val="17"/>
          <w:color w:val="auto"/>
        </w:rPr>
        <w:t>” shall mean a transfer of shares of Class B Common Stock to any Person that is not an Affiliate of a holder of the Class B Common Stock immediately following the issuance thereof. The Corporation shall, upon the request of each such holder and a certification from such transferee holder of such holder’s non-affiliation with the original holder of such Class B Common Stock, issue and deliver to such holder new certificates (unless shares of Class A Common Stock are then maintained in book-entry form) representing such non-Affiliate holder’s shares of Class A Common Stock. Such exchange shall be deemed to have been made immediately prior to the close of business on the date of such request and certification, and the person or persons entitled to receive the shares of Class A Common Stock issuable upon such exchange shall be treated for all purposes as the record holder or holders of such shares of Class A Common Stock as of such date. Each share of Class B Common Stock that is exchanged pursuant to this section shall be retired and canceled by the Corporation and shall not be available for reissuance.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PREFERRED STOCK</w:t>
      </w:r>
    </w:p>
    <w:p>
      <w:pPr>
        <w:spacing w:after="0" w:line="217" w:lineRule="exact"/>
        <w:rPr>
          <w:sz w:val="20"/>
          <w:szCs w:val="20"/>
          <w:color w:val="auto"/>
        </w:rPr>
      </w:pPr>
    </w:p>
    <w:p>
      <w:pPr>
        <w:ind w:right="20" w:firstLine="436"/>
        <w:spacing w:after="0" w:line="284" w:lineRule="auto"/>
        <w:rPr>
          <w:sz w:val="20"/>
          <w:szCs w:val="20"/>
          <w:color w:val="auto"/>
        </w:rPr>
      </w:pPr>
      <w:r>
        <w:rPr>
          <w:rFonts w:ascii="Arial" w:cs="Arial" w:eastAsia="Arial" w:hAnsi="Arial"/>
          <w:sz w:val="16"/>
          <w:szCs w:val="16"/>
          <w:color w:val="auto"/>
        </w:rPr>
        <w:t>Of the Preferred Stock authorized by this Restated Certificate, 1,010,456 shares are hereby designated as Series Seed Preferred Stock (“</w:t>
      </w:r>
      <w:r>
        <w:rPr>
          <w:rFonts w:ascii="Arial" w:cs="Arial" w:eastAsia="Arial" w:hAnsi="Arial"/>
          <w:sz w:val="16"/>
          <w:szCs w:val="16"/>
          <w:b w:val="1"/>
          <w:bCs w:val="1"/>
          <w:color w:val="auto"/>
        </w:rPr>
        <w:t>Series</w:t>
      </w:r>
      <w:r>
        <w:rPr>
          <w:rFonts w:ascii="Arial" w:cs="Arial" w:eastAsia="Arial" w:hAnsi="Arial"/>
          <w:sz w:val="16"/>
          <w:szCs w:val="16"/>
          <w:color w:val="auto"/>
        </w:rPr>
        <w:t xml:space="preserve"> </w:t>
      </w:r>
      <w:r>
        <w:rPr>
          <w:rFonts w:ascii="Arial" w:cs="Arial" w:eastAsia="Arial" w:hAnsi="Arial"/>
          <w:sz w:val="16"/>
          <w:szCs w:val="16"/>
          <w:b w:val="1"/>
          <w:bCs w:val="1"/>
          <w:color w:val="auto"/>
        </w:rPr>
        <w:t>Seed Preferred Stock</w:t>
      </w:r>
      <w:r>
        <w:rPr>
          <w:rFonts w:ascii="Arial" w:cs="Arial" w:eastAsia="Arial" w:hAnsi="Arial"/>
          <w:sz w:val="16"/>
          <w:szCs w:val="16"/>
          <w:color w:val="auto"/>
        </w:rPr>
        <w:t>”), 1,787,640 are hereby designated as Series Seed-1 Preferred Stock (“</w:t>
      </w:r>
      <w:r>
        <w:rPr>
          <w:rFonts w:ascii="Arial" w:cs="Arial" w:eastAsia="Arial" w:hAnsi="Arial"/>
          <w:sz w:val="16"/>
          <w:szCs w:val="16"/>
          <w:b w:val="1"/>
          <w:bCs w:val="1"/>
          <w:color w:val="auto"/>
        </w:rPr>
        <w:t>Series Seed-1 Preferred Stock</w:t>
      </w:r>
      <w:r>
        <w:rPr>
          <w:rFonts w:ascii="Arial" w:cs="Arial" w:eastAsia="Arial" w:hAnsi="Arial"/>
          <w:sz w:val="16"/>
          <w:szCs w:val="16"/>
          <w:color w:val="auto"/>
        </w:rPr>
        <w:t>”), 6,120,111 shares are</w:t>
      </w:r>
      <w:r>
        <w:rPr>
          <w:rFonts w:ascii="Arial" w:cs="Arial" w:eastAsia="Arial" w:hAnsi="Arial"/>
          <w:sz w:val="16"/>
          <w:szCs w:val="16"/>
          <w:b w:val="1"/>
          <w:bCs w:val="1"/>
          <w:color w:val="auto"/>
        </w:rPr>
        <w:t xml:space="preserve"> </w:t>
      </w:r>
      <w:r>
        <w:rPr>
          <w:rFonts w:ascii="Arial" w:cs="Arial" w:eastAsia="Arial" w:hAnsi="Arial"/>
          <w:sz w:val="16"/>
          <w:szCs w:val="16"/>
          <w:color w:val="auto"/>
        </w:rPr>
        <w:t>hereby designated as Series A Preferred Stock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5,097,566 shares are hereby designated as Series B Preferred Stock (“</w:t>
      </w:r>
      <w:r>
        <w:rPr>
          <w:rFonts w:ascii="Arial" w:cs="Arial" w:eastAsia="Arial" w:hAnsi="Arial"/>
          <w:sz w:val="16"/>
          <w:szCs w:val="16"/>
          <w:b w:val="1"/>
          <w:bCs w:val="1"/>
          <w:color w:val="auto"/>
        </w:rPr>
        <w:t>Series B Preferred Stock</w:t>
      </w:r>
      <w:r>
        <w:rPr>
          <w:rFonts w:ascii="Arial" w:cs="Arial" w:eastAsia="Arial" w:hAnsi="Arial"/>
          <w:sz w:val="16"/>
          <w:szCs w:val="16"/>
          <w:color w:val="auto"/>
        </w:rPr>
        <w:t>”, and together with the Series Seed Preferred Stock, Series Seed-1 Preferred Stock and Series A Preferred Stock, the “</w:t>
      </w:r>
      <w:r>
        <w:rPr>
          <w:rFonts w:ascii="Arial" w:cs="Arial" w:eastAsia="Arial" w:hAnsi="Arial"/>
          <w:sz w:val="16"/>
          <w:szCs w:val="16"/>
          <w:b w:val="1"/>
          <w:bCs w:val="1"/>
          <w:color w:val="auto"/>
        </w:rPr>
        <w:t>Junior Preferred Stock</w:t>
      </w:r>
      <w:r>
        <w:rPr>
          <w:rFonts w:ascii="Arial" w:cs="Arial" w:eastAsia="Arial" w:hAnsi="Arial"/>
          <w:sz w:val="16"/>
          <w:szCs w:val="16"/>
          <w:color w:val="auto"/>
        </w:rPr>
        <w:t>”), 168,756,599 shares are hereby designated as Series C Preferred Stock (“</w:t>
      </w:r>
      <w:r>
        <w:rPr>
          <w:rFonts w:ascii="Arial" w:cs="Arial" w:eastAsia="Arial" w:hAnsi="Arial"/>
          <w:sz w:val="16"/>
          <w:szCs w:val="16"/>
          <w:b w:val="1"/>
          <w:bCs w:val="1"/>
          <w:color w:val="auto"/>
        </w:rPr>
        <w:t>Series C Preferred Stock</w:t>
      </w:r>
      <w:r>
        <w:rPr>
          <w:rFonts w:ascii="Arial" w:cs="Arial" w:eastAsia="Arial" w:hAnsi="Arial"/>
          <w:sz w:val="16"/>
          <w:szCs w:val="16"/>
          <w:color w:val="auto"/>
        </w:rPr>
        <w:t>”). The rights, preferences, privileges, and restrictions granted to and imposed on the Series Seed Preferred Stock, Series Seed-1 Preferred Stock, Series A Preferred Stock, Series B Preferred Stock and Series C Preferred Stock are as set forth below in Part B of this Article Fourth. Unless otherwise indicated, references to “sections” or “subsections” in this Part B of this Article Fourth refer to sections and subsections of Part B of this Article Fourth. For the purposes of this Restated Certificate, the term “</w:t>
      </w:r>
      <w:r>
        <w:rPr>
          <w:rFonts w:ascii="Arial" w:cs="Arial" w:eastAsia="Arial" w:hAnsi="Arial"/>
          <w:sz w:val="16"/>
          <w:szCs w:val="16"/>
          <w:b w:val="1"/>
          <w:bCs w:val="1"/>
          <w:color w:val="auto"/>
        </w:rPr>
        <w:t>Abingworth</w:t>
      </w:r>
      <w:r>
        <w:rPr>
          <w:rFonts w:ascii="Arial" w:cs="Arial" w:eastAsia="Arial" w:hAnsi="Arial"/>
          <w:sz w:val="16"/>
          <w:szCs w:val="16"/>
          <w:color w:val="auto"/>
        </w:rPr>
        <w:t>” shall mean Abingworth Bioventures 8 LP and its affiliates, the term “Fidelity” shall mean the holders of a majority of the shares of Series C Preferred Stock held by the holders that are advisory or subadvisory clients of Fidelity Management &amp; Research Company LLC or its affiliates, the term “</w:t>
      </w:r>
      <w:r>
        <w:rPr>
          <w:rFonts w:ascii="Arial" w:cs="Arial" w:eastAsia="Arial" w:hAnsi="Arial"/>
          <w:sz w:val="16"/>
          <w:szCs w:val="16"/>
          <w:b w:val="1"/>
          <w:bCs w:val="1"/>
          <w:color w:val="auto"/>
        </w:rPr>
        <w:t>Longitude</w:t>
      </w:r>
      <w:r>
        <w:rPr>
          <w:rFonts w:ascii="Arial" w:cs="Arial" w:eastAsia="Arial" w:hAnsi="Arial"/>
          <w:sz w:val="16"/>
          <w:szCs w:val="16"/>
          <w:color w:val="auto"/>
        </w:rPr>
        <w:t>” shall mean Longitude Venture Partners IV, L.P. and its affiliates, and the term “</w:t>
      </w:r>
      <w:r>
        <w:rPr>
          <w:rFonts w:ascii="Arial" w:cs="Arial" w:eastAsia="Arial" w:hAnsi="Arial"/>
          <w:sz w:val="16"/>
          <w:szCs w:val="16"/>
          <w:b w:val="1"/>
          <w:bCs w:val="1"/>
          <w:color w:val="auto"/>
        </w:rPr>
        <w:t>Sofinnova</w:t>
      </w:r>
      <w:r>
        <w:rPr>
          <w:rFonts w:ascii="Arial" w:cs="Arial" w:eastAsia="Arial" w:hAnsi="Arial"/>
          <w:sz w:val="16"/>
          <w:szCs w:val="16"/>
          <w:color w:val="auto"/>
        </w:rPr>
        <w:t>” shall mean Sofinnova Venture Partners X, L.P. and its affiliates.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271" w:name="page272"/>
    <w:bookmarkEnd w:id="271"/>
    <w:p>
      <w:pPr>
        <w:ind w:right="40" w:firstLine="990"/>
        <w:spacing w:after="0" w:line="281" w:lineRule="auto"/>
        <w:tabs>
          <w:tab w:leader="none" w:pos="1160"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Dividends</w:t>
      </w:r>
      <w:r>
        <w:rPr>
          <w:rFonts w:ascii="Arial" w:cs="Arial" w:eastAsia="Arial" w:hAnsi="Arial"/>
          <w:sz w:val="16"/>
          <w:szCs w:val="16"/>
          <w:color w:val="auto"/>
        </w:rPr>
        <w:t>.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Restated Certificate) the holders of Preferred Stock then outstanding shall first receive, or simultaneously receive, a dividend on each outstanding share of such Preferred Stock in an amount at least equal to (a) in the case of a dividend on Common Stock or any class or series that is convertible into Common Stock, that dividend per share as would equal the product of (i) the dividend payable on each share of such class or series determined, if applicable, as if all shares of such class or series had been converted into Common Stock and (ii) the number of shares of Common Stock issuable upon conversion of such share of Preferred Stock, in each case calculated on the record date for determination of holders entitled to receive such dividend or (b) in the case of a dividend on any class or series that is not convertible into Common Stock, at a rate per share determined by</w:t>
      </w:r>
    </w:p>
    <w:p>
      <w:pPr>
        <w:spacing w:after="0" w:line="1" w:lineRule="exact"/>
        <w:rPr>
          <w:rFonts w:ascii="Arial" w:cs="Arial" w:eastAsia="Arial" w:hAnsi="Arial"/>
          <w:sz w:val="16"/>
          <w:szCs w:val="16"/>
          <w:color w:val="auto"/>
        </w:rPr>
      </w:pPr>
    </w:p>
    <w:p>
      <w:pPr>
        <w:ind w:firstLine="7"/>
        <w:spacing w:after="0" w:line="265" w:lineRule="auto"/>
        <w:tabs>
          <w:tab w:leader="none" w:pos="213" w:val="left"/>
        </w:tabs>
        <w:numPr>
          <w:ilvl w:val="0"/>
          <w:numId w:val="179"/>
        </w:numPr>
        <w:rPr>
          <w:rFonts w:ascii="Arial" w:cs="Arial" w:eastAsia="Arial" w:hAnsi="Arial"/>
          <w:sz w:val="17"/>
          <w:szCs w:val="17"/>
          <w:color w:val="auto"/>
        </w:rPr>
      </w:pPr>
      <w:r>
        <w:rPr>
          <w:rFonts w:ascii="Arial" w:cs="Arial" w:eastAsia="Arial" w:hAnsi="Arial"/>
          <w:sz w:val="17"/>
          <w:szCs w:val="17"/>
          <w:color w:val="auto"/>
        </w:rPr>
        <w:t>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(ii) multiplying such fraction by an amount equal to the applicable Original Issue Price (as defined below); provided that, if the Corporation declares, pays or sets aside, on the same date, a dividend on shares of more than one class or series of capital stock of the Corporation, the dividend payable to the holders of Preferred Stock pursuant to this Section 1 shall be calculated based upon the dividend on the class or series of capital stock that would result in the highest Preferred Stock dividend. The “</w:t>
      </w:r>
      <w:r>
        <w:rPr>
          <w:rFonts w:ascii="Arial" w:cs="Arial" w:eastAsia="Arial" w:hAnsi="Arial"/>
          <w:sz w:val="17"/>
          <w:szCs w:val="17"/>
          <w:b w:val="1"/>
          <w:bCs w:val="1"/>
          <w:color w:val="auto"/>
        </w:rPr>
        <w:t>Original Issue Price</w:t>
      </w:r>
      <w:r>
        <w:rPr>
          <w:rFonts w:ascii="Arial" w:cs="Arial" w:eastAsia="Arial" w:hAnsi="Arial"/>
          <w:sz w:val="17"/>
          <w:szCs w:val="17"/>
          <w:color w:val="auto"/>
        </w:rPr>
        <w:t>” shall mean (a) for Series Seed Preferred Stock, $1.0094625 per share, (b) for Series Seed-1 Preferred Stock, $1.9187375 per share, (c) for Series A Preferred Stock, $2.1463 per share, (d) for Series B Preferred Stock, $4.2926 per share and (e) for Series C Preferred Stock, $0.5918 per share, in the case of (a), (b), (c), (d) and (e) each subject to appropriate adjustment in the event of any stock dividend, stock split, combination or other similar recapitalization with respect to the applicable series of Preferred Stock.</w:t>
      </w:r>
    </w:p>
    <w:p>
      <w:pPr>
        <w:spacing w:after="0" w:line="182" w:lineRule="exact"/>
        <w:rPr>
          <w:rFonts w:ascii="Arial" w:cs="Arial" w:eastAsia="Arial" w:hAnsi="Arial"/>
          <w:sz w:val="17"/>
          <w:szCs w:val="17"/>
          <w:color w:val="auto"/>
        </w:rPr>
      </w:pPr>
    </w:p>
    <w:p>
      <w:pPr>
        <w:ind w:left="1160" w:hanging="170"/>
        <w:spacing w:after="0"/>
        <w:tabs>
          <w:tab w:leader="none" w:pos="1160"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221" w:lineRule="exact"/>
        <w:rPr>
          <w:sz w:val="20"/>
          <w:szCs w:val="20"/>
          <w:color w:val="auto"/>
        </w:rPr>
      </w:pPr>
    </w:p>
    <w:p>
      <w:pPr>
        <w:ind w:right="40" w:firstLine="1419"/>
        <w:spacing w:after="0" w:line="28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Series C Preferred Stock</w:t>
      </w:r>
      <w:r>
        <w:rPr>
          <w:rFonts w:ascii="Arial" w:cs="Arial" w:eastAsia="Arial" w:hAnsi="Arial"/>
          <w:sz w:val="16"/>
          <w:szCs w:val="16"/>
          <w:color w:val="auto"/>
        </w:rPr>
        <w:t>. In the event of any voluntary or involuntary liquidation, dissolution or winding up of the Corporation, the holders of shares of Series C Preferred Stock then outstanding shall be entitled to be paid out of the assets of the Corporation available for distribution to its stockholders or, in the case of a Deemed Liquidation Event (as defined below), out of the consideration payable to stockholders in such Deemed Liquidation Event or the Available Proceeds (as defined below), as applicable, before any payment shall be made to the holders of Junior Preferred Stock or Common Stock, or any other class or series of equity securities of the Corporation ranking junior to the Series C Preferred Stock with respect to liquidation, by reason of their ownership thereof, an amount per share equal to one times (1x) the Original Issue Price of Series C Preferred Stock, plus any dividends declared but unpaid thereon (the amount payable pursuant to this sentence is hereinafter referred to as the “</w:t>
      </w:r>
      <w:r>
        <w:rPr>
          <w:rFonts w:ascii="Arial" w:cs="Arial" w:eastAsia="Arial" w:hAnsi="Arial"/>
          <w:sz w:val="16"/>
          <w:szCs w:val="16"/>
          <w:b w:val="1"/>
          <w:bCs w:val="1"/>
          <w:color w:val="auto"/>
        </w:rPr>
        <w:t>Series C Preference Amount</w:t>
      </w:r>
      <w:r>
        <w:rPr>
          <w:rFonts w:ascii="Arial" w:cs="Arial" w:eastAsia="Arial" w:hAnsi="Arial"/>
          <w:sz w:val="16"/>
          <w:szCs w:val="16"/>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C Preferred Stock the full amount to which they shall be entitled under this </w:t>
      </w:r>
      <w:r>
        <w:rPr>
          <w:rFonts w:ascii="Arial" w:cs="Arial" w:eastAsia="Arial" w:hAnsi="Arial"/>
          <w:sz w:val="16"/>
          <w:szCs w:val="16"/>
          <w:u w:val="single" w:color="auto"/>
          <w:color w:val="auto"/>
        </w:rPr>
        <w:t>Subsection 2.1</w:t>
      </w:r>
      <w:r>
        <w:rPr>
          <w:rFonts w:ascii="Arial" w:cs="Arial" w:eastAsia="Arial" w:hAnsi="Arial"/>
          <w:sz w:val="16"/>
          <w:szCs w:val="16"/>
          <w:color w:val="auto"/>
        </w:rPr>
        <w:t>, the holders of shares of Series C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80" w:top="272" w:right="519" w:bottom="1440" w:gutter="0" w:footer="0" w:header="0"/>
        </w:sectPr>
      </w:pPr>
    </w:p>
    <w:bookmarkStart w:id="272" w:name="page273"/>
    <w:bookmarkEnd w:id="272"/>
    <w:p>
      <w:pPr>
        <w:ind w:firstLine="1419"/>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2.2 Preferential Payments to Holders of Junior Preferred Stock. In the event of any voluntary or involuntary liquidation, dissolution or winding up of the Corporation, and after payment in full of the Series C Preference Amount, the holders of shares of Junior Preferred Stock then outstanding shall be entitled,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to be paid out of the remaining assets of the Corporation available for distribution to its stockholders or, in the case of a Deemed Liquidation Event, out of the remaining consideration payable to stockholders in such Deemed Liquidation Event or Available Proceeds, as applicable, before any payment shall be made to the holders of Common Stock, or any other class or series of equity securities of the Corporation ranking junior to the Junior Preferred Stock with respect to liquidation, by reason of their ownership thereof, an amount per share equal to the greater of (i) one times (1x) the applicable Original Issue Price of such series of Junior Preferred Stock, plus any dividends declared but unpaid thereon or (ii) such amount per share as would have been payable had all shares of such series of Junior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voluntary or involuntary liquidation, dissolution or winding up of the Corporation or Deemed Liquidation Event (the amount payable pursuant to this sentence is hereinafter referred to as the “</w:t>
      </w:r>
      <w:r>
        <w:rPr>
          <w:rFonts w:ascii="Arial" w:cs="Arial" w:eastAsia="Arial" w:hAnsi="Arial"/>
          <w:sz w:val="16"/>
          <w:szCs w:val="16"/>
          <w:b w:val="1"/>
          <w:bCs w:val="1"/>
          <w:color w:val="auto"/>
        </w:rPr>
        <w:t>Junior Preferred Liquidation Amount</w:t>
      </w:r>
      <w:r>
        <w:rPr>
          <w:rFonts w:ascii="Arial" w:cs="Arial" w:eastAsia="Arial" w:hAnsi="Arial"/>
          <w:sz w:val="16"/>
          <w:szCs w:val="16"/>
          <w:color w:val="auto"/>
        </w:rPr>
        <w:t>”, and together with the Series C Preference Amount, the “</w:t>
      </w:r>
      <w:r>
        <w:rPr>
          <w:rFonts w:ascii="Arial" w:cs="Arial" w:eastAsia="Arial" w:hAnsi="Arial"/>
          <w:sz w:val="16"/>
          <w:szCs w:val="16"/>
          <w:b w:val="1"/>
          <w:bCs w:val="1"/>
          <w:color w:val="auto"/>
        </w:rPr>
        <w:t>Preferred liquidation Amounts</w:t>
      </w:r>
      <w:r>
        <w:rPr>
          <w:rFonts w:ascii="Arial" w:cs="Arial" w:eastAsia="Arial" w:hAnsi="Arial"/>
          <w:sz w:val="16"/>
          <w:szCs w:val="16"/>
          <w:color w:val="auto"/>
        </w:rPr>
        <w:t xml:space="preserve">”). If upon any such liquidation, dissolution or winding up of the Corporation or Deemed Liquidation Event, and after payment of the Series C Preference Amount, the remaining assets of the Corporation available for distribution to its stockholders shall be insufficient to pay the holders of shares of Junior Preferred Stock the full amount to which they shall be entitled under this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the holders of shares of Junior Preferred Stock shall share ratably in any distribution of the remaining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9" w:lineRule="exact"/>
        <w:rPr>
          <w:sz w:val="20"/>
          <w:szCs w:val="20"/>
          <w:color w:val="auto"/>
        </w:rPr>
      </w:pPr>
    </w:p>
    <w:p>
      <w:pPr>
        <w:ind w:right="180" w:firstLine="1419"/>
        <w:spacing w:after="0" w:line="251"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Distribution of Remaining Assets</w:t>
      </w:r>
      <w:r>
        <w:rPr>
          <w:rFonts w:ascii="Arial" w:cs="Arial" w:eastAsia="Arial" w:hAnsi="Arial"/>
          <w:sz w:val="18"/>
          <w:szCs w:val="18"/>
          <w:color w:val="auto"/>
        </w:rPr>
        <w:t xml:space="preserve">. In the event of any voluntary or involuntary liquidation, dissolution or winding up of the Corporation, after the payment in full of all Preferred Liquidation Amounts, the remaining assets of the Corporation available for distribution to its stockholders or, in the case of a Deemed Liquidation Event, the consideration not payable to the holders of shares of Preferred Stock pursuant to Subsection 2.1 and 2.2 or the remaining Available Proceeds, as applicable, shall be distributed among the holders of the shares of Series C Preferred Stock and Common Stock, pro rata based on the number of shares held by each such holder, treating for this purpose all shares of Series C Preferred Stock as if they had been converted to Common Stock pursuant to the terms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immediately prior to such liquidation, dissolution or winding up of the Corporation or Deemed Liquidation Event.</w:t>
      </w:r>
    </w:p>
    <w:p>
      <w:pPr>
        <w:spacing w:after="0" w:line="19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Deemed Liquidation Events.</w:t>
      </w:r>
    </w:p>
    <w:p>
      <w:pPr>
        <w:spacing w:after="0" w:line="217" w:lineRule="exact"/>
        <w:rPr>
          <w:sz w:val="20"/>
          <w:szCs w:val="20"/>
          <w:color w:val="auto"/>
        </w:rPr>
      </w:pPr>
    </w:p>
    <w:p>
      <w:pPr>
        <w:ind w:right="100" w:firstLine="1964"/>
        <w:spacing w:after="0" w:line="284" w:lineRule="auto"/>
        <w:rPr>
          <w:sz w:val="20"/>
          <w:szCs w:val="20"/>
          <w:color w:val="auto"/>
        </w:rPr>
      </w:pPr>
      <w:r>
        <w:rPr>
          <w:rFonts w:ascii="Arial" w:cs="Arial" w:eastAsia="Arial" w:hAnsi="Arial"/>
          <w:sz w:val="17"/>
          <w:szCs w:val="17"/>
          <w:color w:val="auto"/>
        </w:rPr>
        <w:t xml:space="preserve">2.4.1 </w:t>
      </w:r>
      <w:r>
        <w:rPr>
          <w:rFonts w:ascii="Arial" w:cs="Arial" w:eastAsia="Arial" w:hAnsi="Arial"/>
          <w:sz w:val="17"/>
          <w:szCs w:val="17"/>
          <w:u w:val="single" w:color="auto"/>
          <w:color w:val="auto"/>
        </w:rPr>
        <w:t>Definition.</w:t>
      </w:r>
      <w:r>
        <w:rPr>
          <w:rFonts w:ascii="Arial" w:cs="Arial" w:eastAsia="Arial" w:hAnsi="Arial"/>
          <w:sz w:val="17"/>
          <w:szCs w:val="17"/>
          <w:color w:val="auto"/>
        </w:rPr>
        <w:t xml:space="preserve"> Each of the following events shall be considered a “</w:t>
      </w:r>
      <w:r>
        <w:rPr>
          <w:rFonts w:ascii="Arial" w:cs="Arial" w:eastAsia="Arial" w:hAnsi="Arial"/>
          <w:sz w:val="17"/>
          <w:szCs w:val="17"/>
          <w:b w:val="1"/>
          <w:bCs w:val="1"/>
          <w:color w:val="auto"/>
        </w:rPr>
        <w:t>Deemed Liquidation Event</w:t>
      </w:r>
      <w:r>
        <w:rPr>
          <w:rFonts w:ascii="Arial" w:cs="Arial" w:eastAsia="Arial" w:hAnsi="Arial"/>
          <w:sz w:val="17"/>
          <w:szCs w:val="17"/>
          <w:color w:val="auto"/>
        </w:rPr>
        <w:t>” unless the holders of a majority of the outstanding shares of Preferred Stock, voting together as a single class on an as-converted basis, which majority holders must include at least three of Abingworth, Fidelity, Longitude and Sofinnova (the “</w:t>
      </w:r>
      <w:r>
        <w:rPr>
          <w:rFonts w:ascii="Arial" w:cs="Arial" w:eastAsia="Arial" w:hAnsi="Arial"/>
          <w:sz w:val="17"/>
          <w:szCs w:val="17"/>
          <w:b w:val="1"/>
          <w:bCs w:val="1"/>
          <w:color w:val="auto"/>
        </w:rPr>
        <w:t>Requisite Holders</w:t>
      </w:r>
      <w:r>
        <w:rPr>
          <w:rFonts w:ascii="Arial" w:cs="Arial" w:eastAsia="Arial" w:hAnsi="Arial"/>
          <w:sz w:val="17"/>
          <w:szCs w:val="17"/>
          <w:color w:val="auto"/>
        </w:rPr>
        <w:t>”), elect otherwise:</w:t>
      </w:r>
    </w:p>
    <w:p>
      <w:pPr>
        <w:spacing w:after="0" w:line="166" w:lineRule="exact"/>
        <w:rPr>
          <w:sz w:val="20"/>
          <w:szCs w:val="20"/>
          <w:color w:val="auto"/>
        </w:rPr>
      </w:pPr>
    </w:p>
    <w:p>
      <w:pPr>
        <w:ind w:left="2660" w:hanging="252"/>
        <w:spacing w:after="0"/>
        <w:tabs>
          <w:tab w:leader="none" w:pos="2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13" w:lineRule="exact"/>
        <w:rPr>
          <w:rFonts w:ascii="Arial" w:cs="Arial" w:eastAsia="Arial" w:hAnsi="Arial"/>
          <w:sz w:val="18"/>
          <w:szCs w:val="18"/>
          <w:color w:val="auto"/>
        </w:rPr>
      </w:pPr>
    </w:p>
    <w:p>
      <w:pPr>
        <w:ind w:left="5420" w:right="5000" w:hanging="2575"/>
        <w:spacing w:after="0" w:line="481" w:lineRule="auto"/>
        <w:tabs>
          <w:tab w:leader="none" w:pos="305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the Corporation is a constituent party or 5</w:t>
      </w:r>
    </w:p>
    <w:p>
      <w:pPr>
        <w:sectPr>
          <w:pgSz w:w="11900" w:h="16838" w:orient="portrait"/>
          <w:cols w:equalWidth="0" w:num="1">
            <w:col w:w="10900"/>
          </w:cols>
          <w:pgMar w:left="480" w:top="272" w:right="519" w:bottom="1440" w:gutter="0" w:footer="0" w:header="0"/>
        </w:sectPr>
      </w:pPr>
    </w:p>
    <w:bookmarkStart w:id="273" w:name="page274"/>
    <w:bookmarkEnd w:id="273"/>
    <w:p>
      <w:pPr>
        <w:ind w:right="40" w:firstLine="2845"/>
        <w:spacing w:after="0" w:line="283" w:lineRule="auto"/>
        <w:tabs>
          <w:tab w:leader="none" w:pos="3100" w:val="left"/>
        </w:tabs>
        <w:numPr>
          <w:ilvl w:val="2"/>
          <w:numId w:val="1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 subsidiary of the Corporation is a constituent party and the Corporation issues shares of its capital stock pursuant to such merger or consolidation, 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50%, by voting power, of the capital stock of</w:t>
      </w:r>
    </w:p>
    <w:p>
      <w:pPr>
        <w:ind w:right="880" w:firstLine="7"/>
        <w:spacing w:after="0" w:line="285" w:lineRule="auto"/>
        <w:tabs>
          <w:tab w:leader="none" w:pos="25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64" w:lineRule="exact"/>
        <w:rPr>
          <w:rFonts w:ascii="Arial" w:cs="Arial" w:eastAsia="Arial" w:hAnsi="Arial"/>
          <w:sz w:val="17"/>
          <w:szCs w:val="17"/>
          <w:color w:val="auto"/>
        </w:rPr>
      </w:pPr>
    </w:p>
    <w:p>
      <w:pPr>
        <w:ind w:right="80" w:firstLine="2408"/>
        <w:spacing w:after="0" w:line="293" w:lineRule="auto"/>
        <w:tabs>
          <w:tab w:leader="none" w:pos="2653"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provided, however, that any sales of the Corporation’s capital stock done for bona fide capital raising purposes shall not be a Deemed Liquidation Event.</w:t>
      </w:r>
    </w:p>
    <w:p>
      <w:pPr>
        <w:spacing w:after="0" w:line="244"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u w:val="single" w:color="auto"/>
          <w:color w:val="auto"/>
        </w:rPr>
        <w:t>Effecting a Deemed Liquidation Event.</w:t>
      </w:r>
    </w:p>
    <w:p>
      <w:pPr>
        <w:spacing w:after="0" w:line="221" w:lineRule="exact"/>
        <w:rPr>
          <w:sz w:val="20"/>
          <w:szCs w:val="20"/>
          <w:color w:val="auto"/>
        </w:rPr>
      </w:pPr>
    </w:p>
    <w:p>
      <w:pPr>
        <w:ind w:firstLine="2408"/>
        <w:spacing w:after="0" w:line="255" w:lineRule="auto"/>
        <w:tabs>
          <w:tab w:leader="none" w:pos="264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Corporation shall not have the power to effect a Deemed Liquidation Event referred to in Subsection 2.4.1(a)(i) unless the agreement or plan of merger or consolidation for such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provides that the consideration payable to the stockholders of the Corporation in such Deemed Liquidation Event shall be allocated among the holders of capital stock of the Corporation in accordance with Subsections 2.1, 2.2 and 2.3.</w:t>
      </w:r>
    </w:p>
    <w:p>
      <w:pPr>
        <w:spacing w:after="0" w:line="190" w:lineRule="exact"/>
        <w:rPr>
          <w:rFonts w:ascii="Arial" w:cs="Arial" w:eastAsia="Arial" w:hAnsi="Arial"/>
          <w:sz w:val="18"/>
          <w:szCs w:val="18"/>
          <w:color w:val="auto"/>
        </w:rPr>
      </w:pPr>
    </w:p>
    <w:p>
      <w:pPr>
        <w:ind w:firstLine="2408"/>
        <w:spacing w:after="0" w:line="282" w:lineRule="auto"/>
        <w:tabs>
          <w:tab w:leader="none" w:pos="2653"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In the event of a Deemed Liquidation Event referred to in Subsection 2.4.1(a)(ii) or 2.4.1(b), if the Corporation does not effect a dissolution of the Corporation under the General Corporation Law within 90 days after such Deemed Liquidation Event, then (i) the Corporation shall send a written notice to each holder of Preferred Stock no later than the 90</w:t>
      </w:r>
      <w:r>
        <w:rPr>
          <w:rFonts w:ascii="Arial" w:cs="Arial" w:eastAsia="Arial" w:hAnsi="Arial"/>
          <w:sz w:val="13"/>
          <w:szCs w:val="13"/>
          <w:color w:val="auto"/>
        </w:rPr>
        <w:t>th</w:t>
      </w:r>
      <w:r>
        <w:rPr>
          <w:rFonts w:ascii="Arial" w:cs="Arial" w:eastAsia="Arial" w:hAnsi="Arial"/>
          <w:sz w:val="16"/>
          <w:szCs w:val="16"/>
          <w:color w:val="auto"/>
        </w:rPr>
        <w:t xml:space="preserve"> day after the Deemed Liquidation Event advising such holders of their right (and the requirements to be met to secure such right) pursuant to the terms of the following clause; (ii) to require the redemption of such shares of Preferred Stock, and (iii) if the Requisite Holders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including a majority of the Preferred Directors),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on the 150</w:t>
      </w:r>
      <w:r>
        <w:rPr>
          <w:rFonts w:ascii="Arial" w:cs="Arial" w:eastAsia="Arial" w:hAnsi="Arial"/>
          <w:sz w:val="13"/>
          <w:szCs w:val="13"/>
          <w:color w:val="auto"/>
        </w:rPr>
        <w:t>th</w:t>
      </w:r>
      <w:r>
        <w:rPr>
          <w:rFonts w:ascii="Arial" w:cs="Arial" w:eastAsia="Arial" w:hAnsi="Arial"/>
          <w:sz w:val="16"/>
          <w:szCs w:val="16"/>
          <w:color w:val="auto"/>
        </w:rPr>
        <w:t xml:space="preserve"> day after such Deemed Liquidation Event, to redeem all outstanding shares of Preferred Stock at a price per share determined in accordance with the provisions of Section 2. Notwithstanding the foregoing, in the event of a redemption pursuant to the preceding sentence, if the Available Proceeds are not sufficient to redeem all outstanding shares of Preferred Stock, the Corporation shall redeem each holder’s shares of Preferred Stock (or, if applicable, a portion thereof) to the fullest extent of such Available Proceeds in accordance with the provisions of Section 2, and shall redeem the remaining shares in accordance with the provisions of Section 2 as soon as it may lawfully do so under Delaware law governing distributions to stockholders. Prior to the distribution or redemption provided for in this Section 2.4.2(b), the Corporation shall not expend or dissipate the consideration received for such Deemed Liquidation Event, except to discharge expenses incurred in connection with such Deemed Liquidation Event.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2" w:right="499" w:bottom="1440" w:gutter="0" w:footer="0" w:header="0"/>
        </w:sectPr>
      </w:pPr>
    </w:p>
    <w:bookmarkStart w:id="274" w:name="page275"/>
    <w:bookmarkEnd w:id="274"/>
    <w:p>
      <w:pPr>
        <w:ind w:firstLine="2408"/>
        <w:spacing w:after="0" w:line="266" w:lineRule="auto"/>
        <w:tabs>
          <w:tab w:leader="none" w:pos="2643" w:val="left"/>
        </w:tabs>
        <w:numPr>
          <w:ilvl w:val="0"/>
          <w:numId w:val="1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the extent that (i) the consideration payable to the stockholders of the Corporation in a Deemed Liquidation Event includes shares of a class of voting capital stock of any successor or parent corporation that is registered under Section 12(b) or 12(g) of the Securities Exchange Act of 1934, as amended, and the rules and regulations promulgated thereunder (the “</w:t>
      </w:r>
      <w:r>
        <w:rPr>
          <w:rFonts w:ascii="Arial" w:cs="Arial" w:eastAsia="Arial" w:hAnsi="Arial"/>
          <w:sz w:val="17"/>
          <w:szCs w:val="17"/>
          <w:b w:val="1"/>
          <w:bCs w:val="1"/>
          <w:color w:val="auto"/>
        </w:rPr>
        <w:t>Exchange Act</w:t>
      </w:r>
      <w:r>
        <w:rPr>
          <w:rFonts w:ascii="Arial" w:cs="Arial" w:eastAsia="Arial" w:hAnsi="Arial"/>
          <w:sz w:val="17"/>
          <w:szCs w:val="17"/>
          <w:color w:val="auto"/>
        </w:rPr>
        <w:t xml:space="preserve">”), and (ii) at the time of the consummation of such Deemed Liquidation Event, there are one or more Electing Investors (as defined in the Purchase Agreement), then, as a condition to the effectiveness of such Deemed Liquidation Event, the Merger Agreement (or such other agreement to effect such Deemed Liquidation Event) shall provide that the consideration payable to the Electing Investor shall be subject to, and comply with, the Limitation (as defined in the Purchase Agreement), </w:t>
      </w:r>
      <w:r>
        <w:rPr>
          <w:rFonts w:ascii="Arial" w:cs="Arial" w:eastAsia="Arial" w:hAnsi="Arial"/>
          <w:sz w:val="17"/>
          <w:szCs w:val="17"/>
          <w:i w:val="1"/>
          <w:iCs w:val="1"/>
          <w:color w:val="auto"/>
        </w:rPr>
        <w:t>mutatis mutandis</w:t>
      </w:r>
      <w:r>
        <w:rPr>
          <w:rFonts w:ascii="Arial" w:cs="Arial" w:eastAsia="Arial" w:hAnsi="Arial"/>
          <w:sz w:val="17"/>
          <w:szCs w:val="17"/>
          <w:color w:val="auto"/>
        </w:rPr>
        <w:t>, such that no Electing Investor would, after consummation, become in the aggregate, directly or indirectly, the beneficial owner(s) of more than the Limitation of such class of voting stock of such successor or parent corporation, with the balance of any shares to be issued in non-voting stock that is convertible into voting stock of such successor or parent corporation with appropriate conversion limitations. The term “beneficial owner” (and its correlates “beneficially own” and “beneficial ownership”) shall have the meaning given such terms in Section 13(d) of the Exchange Act.</w:t>
      </w:r>
    </w:p>
    <w:p>
      <w:pPr>
        <w:spacing w:after="0" w:line="185" w:lineRule="exact"/>
        <w:rPr>
          <w:sz w:val="20"/>
          <w:szCs w:val="20"/>
          <w:color w:val="auto"/>
        </w:rPr>
      </w:pPr>
    </w:p>
    <w:p>
      <w:pPr>
        <w:ind w:right="160" w:firstLine="1964"/>
        <w:spacing w:after="0" w:line="253" w:lineRule="auto"/>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xml:space="preserve">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pursuant to the Deemed Liquidation Event by the Corporation or the acquiring person, firm or other entity. The value of such property, rights or securities shall be determined in good faith by the Board of Directors of the Corporation, including a majority of the Preferred Directors.</w:t>
      </w:r>
    </w:p>
    <w:p>
      <w:pPr>
        <w:spacing w:after="0" w:line="193" w:lineRule="exact"/>
        <w:rPr>
          <w:sz w:val="20"/>
          <w:szCs w:val="20"/>
          <w:color w:val="auto"/>
        </w:rPr>
      </w:pPr>
    </w:p>
    <w:p>
      <w:pPr>
        <w:ind w:right="80" w:firstLine="1964"/>
        <w:spacing w:after="0" w:line="287" w:lineRule="auto"/>
        <w:rPr>
          <w:sz w:val="20"/>
          <w:szCs w:val="20"/>
          <w:color w:val="auto"/>
        </w:rPr>
      </w:pPr>
      <w:r>
        <w:rPr>
          <w:rFonts w:ascii="Arial" w:cs="Arial" w:eastAsia="Arial" w:hAnsi="Arial"/>
          <w:sz w:val="16"/>
          <w:szCs w:val="16"/>
          <w:color w:val="auto"/>
        </w:rPr>
        <w:t xml:space="preserve">2.4.4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xml:space="preserve"> If, upon any Deemed Liquidation Event, any portion of the consideration payable to the stockholders of the Corporation is placed into escrow and/or is payable to the stockholders of the Corporation subject to contingencies, the definitive agreement governing such Deemed Liquidation Event will provide that (A) the portion of such consideration that is not placed in escrow and not subject to any contingencies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will be allocated among the holders of capital stock of the Corporation in accordance with Subsections 2.1, 2.2 and 2.3 as if the Initial Consideration were the only consideration payable in connection with such Deemed Liquidation Event and (B) any additional consideration that becomes payable to the stockholders of the Corporation upon release from escrow or satisfaction of contingencies will be allocated among the holders of capital stock of the Corporation in accordance with Subsections 2.1, 2.2 and 2.3 after taking into account the previous payment of the Initial Consideration as part of the same transaction.</w:t>
      </w:r>
    </w:p>
    <w:p>
      <w:pPr>
        <w:spacing w:after="0" w:line="166" w:lineRule="exact"/>
        <w:rPr>
          <w:sz w:val="20"/>
          <w:szCs w:val="20"/>
          <w:color w:val="auto"/>
        </w:rPr>
      </w:pPr>
    </w:p>
    <w:p>
      <w:pPr>
        <w:ind w:left="1160" w:hanging="170"/>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1" w:lineRule="exact"/>
        <w:rPr>
          <w:sz w:val="20"/>
          <w:szCs w:val="20"/>
          <w:color w:val="auto"/>
        </w:rPr>
      </w:pPr>
    </w:p>
    <w:p>
      <w:pPr>
        <w:ind w:right="80" w:firstLine="1419"/>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Class A Common Stock into which the shares of Preferred Stock held by such holder are convertible as of the record date for determining stockholders entitled to vote on such matter (as reduced pursuant to the Limitation of any Electing Investor as applicable). Except as provided by law or by the other provisions of this Restated Certificate, holders of Preferred Stock shall vote, on an as-converted basis, together with the holders of Common Stock as a single class.</w:t>
      </w:r>
    </w:p>
    <w:p>
      <w:pPr>
        <w:spacing w:after="0" w:line="1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xml:space="preserve"> The holders of the Corporation’s capital stock shall be entitled to elect directors as follows: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480" w:top="272" w:right="539" w:bottom="1440" w:gutter="0" w:footer="0" w:header="0"/>
        </w:sectPr>
      </w:pPr>
    </w:p>
    <w:bookmarkStart w:id="275" w:name="page276"/>
    <w:bookmarkEnd w:id="275"/>
    <w:p>
      <w:pPr>
        <w:ind w:right="100" w:firstLine="1964"/>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3.2.1 The holders of record of the shares of Series C Preferred Stock, exclusively and as a separate class, shall be entitled to elect three directors of the Corporation (the “</w:t>
      </w:r>
      <w:r>
        <w:rPr>
          <w:rFonts w:ascii="Arial" w:cs="Arial" w:eastAsia="Arial" w:hAnsi="Arial"/>
          <w:sz w:val="18"/>
          <w:szCs w:val="18"/>
          <w:b w:val="1"/>
          <w:bCs w:val="1"/>
          <w:color w:val="auto"/>
        </w:rPr>
        <w:t>Preferred Directors</w:t>
      </w:r>
      <w:r>
        <w:rPr>
          <w:rFonts w:ascii="Arial" w:cs="Arial" w:eastAsia="Arial" w:hAnsi="Arial"/>
          <w:sz w:val="18"/>
          <w:szCs w:val="18"/>
          <w:color w:val="auto"/>
        </w:rPr>
        <w:t>”).</w:t>
      </w:r>
    </w:p>
    <w:p>
      <w:pPr>
        <w:spacing w:after="0" w:line="175" w:lineRule="exact"/>
        <w:rPr>
          <w:sz w:val="20"/>
          <w:szCs w:val="20"/>
          <w:color w:val="auto"/>
        </w:rPr>
      </w:pPr>
    </w:p>
    <w:p>
      <w:pPr>
        <w:ind w:right="160" w:firstLine="1964"/>
        <w:spacing w:after="0" w:line="271" w:lineRule="auto"/>
        <w:rPr>
          <w:sz w:val="20"/>
          <w:szCs w:val="20"/>
          <w:color w:val="auto"/>
        </w:rPr>
      </w:pPr>
      <w:r>
        <w:rPr>
          <w:rFonts w:ascii="Arial" w:cs="Arial" w:eastAsia="Arial" w:hAnsi="Arial"/>
          <w:sz w:val="18"/>
          <w:szCs w:val="18"/>
          <w:color w:val="auto"/>
        </w:rPr>
        <w:t>3.2.2 The holders of record of the shares of Class A Common Stock, exclusively and as a separate class, shall be entitled to elect one director of the Corporation (the “</w:t>
      </w:r>
      <w:r>
        <w:rPr>
          <w:rFonts w:ascii="Arial" w:cs="Arial" w:eastAsia="Arial" w:hAnsi="Arial"/>
          <w:sz w:val="18"/>
          <w:szCs w:val="18"/>
          <w:b w:val="1"/>
          <w:bCs w:val="1"/>
          <w:color w:val="auto"/>
        </w:rPr>
        <w:t>Common Director</w:t>
      </w:r>
      <w:r>
        <w:rPr>
          <w:rFonts w:ascii="Arial" w:cs="Arial" w:eastAsia="Arial" w:hAnsi="Arial"/>
          <w:sz w:val="18"/>
          <w:szCs w:val="18"/>
          <w:color w:val="auto"/>
        </w:rPr>
        <w:t>”).</w:t>
      </w:r>
    </w:p>
    <w:p>
      <w:pPr>
        <w:spacing w:after="0" w:line="175" w:lineRule="exact"/>
        <w:rPr>
          <w:sz w:val="20"/>
          <w:szCs w:val="20"/>
          <w:color w:val="auto"/>
        </w:rPr>
      </w:pPr>
    </w:p>
    <w:p>
      <w:pPr>
        <w:ind w:right="80" w:firstLine="1964"/>
        <w:spacing w:after="0" w:line="271" w:lineRule="auto"/>
        <w:rPr>
          <w:sz w:val="20"/>
          <w:szCs w:val="20"/>
          <w:color w:val="auto"/>
        </w:rPr>
      </w:pPr>
      <w:r>
        <w:rPr>
          <w:rFonts w:ascii="Arial" w:cs="Arial" w:eastAsia="Arial" w:hAnsi="Arial"/>
          <w:sz w:val="18"/>
          <w:szCs w:val="18"/>
          <w:color w:val="auto"/>
        </w:rPr>
        <w:t>3.2.3 The holders of record of the shares of Class A Common Stock and Preferred Stock, voting together on an as-converted basis, shall be entitled to elect any other remaining directors authorized by the Corporation.</w:t>
      </w:r>
    </w:p>
    <w:p>
      <w:pPr>
        <w:spacing w:after="0" w:line="175" w:lineRule="exact"/>
        <w:rPr>
          <w:sz w:val="20"/>
          <w:szCs w:val="20"/>
          <w:color w:val="auto"/>
        </w:rPr>
      </w:pPr>
    </w:p>
    <w:p>
      <w:pPr>
        <w:jc w:val="both"/>
        <w:ind w:right="140" w:firstLine="1964"/>
        <w:spacing w:after="0" w:line="255" w:lineRule="auto"/>
        <w:rPr>
          <w:sz w:val="20"/>
          <w:szCs w:val="20"/>
          <w:color w:val="auto"/>
        </w:rPr>
      </w:pPr>
      <w:r>
        <w:rPr>
          <w:rFonts w:ascii="Arial" w:cs="Arial" w:eastAsia="Arial" w:hAnsi="Arial"/>
          <w:sz w:val="18"/>
          <w:szCs w:val="18"/>
          <w:color w:val="auto"/>
        </w:rPr>
        <w:t>3.2.4 Any director elected as provided in the preceding Subsections 3.2.1 through 3.2.3 may be removed without cause by, and only by, the affirmative vote of the holders of the shares of the classes or series of capital stock and the person(s) entitled to elect or designate such director or directors (the “</w:t>
      </w:r>
      <w:r>
        <w:rPr>
          <w:rFonts w:ascii="Arial" w:cs="Arial" w:eastAsia="Arial" w:hAnsi="Arial"/>
          <w:sz w:val="18"/>
          <w:szCs w:val="18"/>
          <w:b w:val="1"/>
          <w:bCs w:val="1"/>
          <w:color w:val="auto"/>
        </w:rPr>
        <w:t>Designating Party(ies)</w:t>
      </w:r>
      <w:r>
        <w:rPr>
          <w:rFonts w:ascii="Arial" w:cs="Arial" w:eastAsia="Arial" w:hAnsi="Arial"/>
          <w:sz w:val="18"/>
          <w:szCs w:val="18"/>
          <w:color w:val="auto"/>
        </w:rPr>
        <w:t>”), given either at a special meeting of such stockholders duly called for that purpose or pursuant to a written consent of stockholders.</w:t>
      </w:r>
    </w:p>
    <w:p>
      <w:pPr>
        <w:spacing w:after="0" w:line="190" w:lineRule="exact"/>
        <w:rPr>
          <w:sz w:val="20"/>
          <w:szCs w:val="20"/>
          <w:color w:val="auto"/>
        </w:rPr>
      </w:pPr>
    </w:p>
    <w:p>
      <w:pPr>
        <w:ind w:right="100" w:firstLine="1964"/>
        <w:spacing w:after="0" w:line="275" w:lineRule="auto"/>
        <w:rPr>
          <w:sz w:val="20"/>
          <w:szCs w:val="20"/>
          <w:color w:val="auto"/>
        </w:rPr>
      </w:pPr>
      <w:r>
        <w:rPr>
          <w:rFonts w:ascii="Arial" w:cs="Arial" w:eastAsia="Arial" w:hAnsi="Arial"/>
          <w:sz w:val="17"/>
          <w:szCs w:val="17"/>
          <w:color w:val="auto"/>
        </w:rPr>
        <w:t xml:space="preserve">3.2.5 If the applicable Designating Parties fail to elect a sufficient number of directors to fill all directorships for which they are entitled to elect directors, voting as set forth in this </w:t>
      </w:r>
      <w:r>
        <w:rPr>
          <w:rFonts w:ascii="Arial" w:cs="Arial" w:eastAsia="Arial" w:hAnsi="Arial"/>
          <w:sz w:val="17"/>
          <w:szCs w:val="17"/>
          <w:u w:val="single" w:color="auto"/>
          <w:color w:val="auto"/>
        </w:rPr>
        <w:t>Subsection 3.2</w:t>
      </w:r>
      <w:r>
        <w:rPr>
          <w:rFonts w:ascii="Arial" w:cs="Arial" w:eastAsia="Arial" w:hAnsi="Arial"/>
          <w:sz w:val="17"/>
          <w:szCs w:val="17"/>
          <w:color w:val="auto"/>
        </w:rPr>
        <w:t xml:space="preserve">, then any directorship not so filled shall remain vacant until such time as the appropriate Designating Party(ies) elect a person to fill such directorship by vote or written consent in lieu of a meeting; and no such directorship may be filled by stockholders of this Corporation other than by the Designating Party(ies), voting as set forth in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74" w:lineRule="exact"/>
        <w:rPr>
          <w:sz w:val="20"/>
          <w:szCs w:val="20"/>
          <w:color w:val="auto"/>
        </w:rPr>
      </w:pPr>
    </w:p>
    <w:p>
      <w:pPr>
        <w:ind w:right="80" w:firstLine="1964"/>
        <w:spacing w:after="0" w:line="255" w:lineRule="auto"/>
        <w:rPr>
          <w:sz w:val="20"/>
          <w:szCs w:val="20"/>
          <w:color w:val="auto"/>
        </w:rPr>
      </w:pPr>
      <w:r>
        <w:rPr>
          <w:rFonts w:ascii="Arial" w:cs="Arial" w:eastAsia="Arial" w:hAnsi="Arial"/>
          <w:sz w:val="18"/>
          <w:szCs w:val="18"/>
          <w:color w:val="auto"/>
        </w:rPr>
        <w:t>3.2.6 At any meeting held for the purpose of electing a director, the presence in person or by proxy of the holders of a majority of the outstanding shares of the class or series entitled to elect such director shall constitute a quorum for the purpose of electing such director; provided that such majority holders must include at least three of Abingworth, Fidelity, Longitude and Sofinnova with respect to the Series C Preferred Stock.</w:t>
      </w:r>
    </w:p>
    <w:p>
      <w:pPr>
        <w:spacing w:after="0" w:line="190" w:lineRule="exact"/>
        <w:rPr>
          <w:sz w:val="20"/>
          <w:szCs w:val="20"/>
          <w:color w:val="auto"/>
        </w:rPr>
      </w:pPr>
    </w:p>
    <w:p>
      <w:pPr>
        <w:ind w:right="240" w:firstLine="1964"/>
        <w:spacing w:after="0" w:line="335" w:lineRule="auto"/>
        <w:rPr>
          <w:sz w:val="20"/>
          <w:szCs w:val="20"/>
          <w:color w:val="auto"/>
        </w:rPr>
      </w:pPr>
      <w:r>
        <w:rPr>
          <w:rFonts w:ascii="Arial" w:cs="Arial" w:eastAsia="Arial" w:hAnsi="Arial"/>
          <w:sz w:val="16"/>
          <w:szCs w:val="16"/>
          <w:color w:val="auto"/>
        </w:rPr>
        <w:t>3.2.7 Except as otherwise provided in this Subsection 3.2 or the Bylaws of this Corporation, a vacancy in any directorship filled by the holders of any class or series shall be filled only by vote or written consent in lieu of a meeting of the holders of such class or series.</w:t>
      </w:r>
    </w:p>
    <w:p>
      <w:pPr>
        <w:spacing w:after="0" w:line="128" w:lineRule="exact"/>
        <w:rPr>
          <w:sz w:val="20"/>
          <w:szCs w:val="20"/>
          <w:color w:val="auto"/>
        </w:rPr>
      </w:pPr>
    </w:p>
    <w:p>
      <w:pPr>
        <w:ind w:right="480" w:firstLine="1419"/>
        <w:spacing w:after="0" w:line="275"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Preferred Stock Protective Provisions.</w:t>
      </w:r>
      <w:r>
        <w:rPr>
          <w:rFonts w:ascii="Arial" w:cs="Arial" w:eastAsia="Arial" w:hAnsi="Arial"/>
          <w:sz w:val="17"/>
          <w:szCs w:val="17"/>
          <w:color w:val="auto"/>
        </w:rPr>
        <w:t xml:space="preserve"> The Corporation shall not, either directly or indirectly by amendment, merger, consolidation, recapitalization, reclassification or otherwise, do any of the following without (in addition to any other vote required by law or this Restated Certificate) the written consent or affirmative vote of the Requisite Holders, given in writing or by vote at a meeting,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w:t>
      </w:r>
    </w:p>
    <w:p>
      <w:pPr>
        <w:spacing w:after="0" w:line="174" w:lineRule="exact"/>
        <w:rPr>
          <w:sz w:val="20"/>
          <w:szCs w:val="20"/>
          <w:color w:val="auto"/>
        </w:rPr>
      </w:pPr>
    </w:p>
    <w:p>
      <w:pPr>
        <w:ind w:firstLine="1964"/>
        <w:spacing w:after="0" w:line="269" w:lineRule="auto"/>
        <w:rPr>
          <w:sz w:val="20"/>
          <w:szCs w:val="20"/>
          <w:color w:val="auto"/>
        </w:rPr>
      </w:pPr>
      <w:r>
        <w:rPr>
          <w:rFonts w:ascii="Arial" w:cs="Arial" w:eastAsia="Arial" w:hAnsi="Arial"/>
          <w:sz w:val="17"/>
          <w:szCs w:val="17"/>
          <w:color w:val="auto"/>
        </w:rPr>
        <w:t xml:space="preserve">3.3.1 (a) reclassify, alter or amend any existing security of the Corporation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any series of Preferred Stock in respect of the distribution of assets on the liquidation, dissolution or winding up of the Corporation, the payment of dividends, voting rights or rights of redemption, if such reclassification, alteration or amendment would render such other security senior to any series of Preferred Stock in respect of any such right, preference, or privilege or (b) reclassify, alter or amend any existing security of the Corporation that is junior to any series of Preferred Stock in respect of the distribution of assets on the liquidation, dissolution or winding up of the Corporation, the payment of dividends, voting rights or rights of redemption, if such reclassification, alteration or amendment would render such other security senior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any series of Preferred Stock in respect of any such right, preference or privilege;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80" w:top="272" w:right="519" w:bottom="1440" w:gutter="0" w:footer="0" w:header="0"/>
        </w:sectPr>
      </w:pPr>
    </w:p>
    <w:bookmarkStart w:id="276" w:name="page277"/>
    <w:bookmarkEnd w:id="276"/>
    <w:p>
      <w:pPr>
        <w:ind w:firstLine="196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3.3.2 purchase or redeem (or permit any subsidiary to purchase or redeem) or pay or declare any dividend or make any distribution on, any shares of capital stock of the Corporation other than (a) redemptions of or dividends or distributions on any series of Preferred Stock as expressly authorized herein, (b)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 or (c) as approved by the Board of Directors, including a majority of the Preferred Directors;</w:t>
      </w:r>
    </w:p>
    <w:p>
      <w:pPr>
        <w:spacing w:after="0" w:line="161" w:lineRule="exact"/>
        <w:rPr>
          <w:sz w:val="20"/>
          <w:szCs w:val="20"/>
          <w:color w:val="auto"/>
        </w:rPr>
      </w:pPr>
    </w:p>
    <w:p>
      <w:pPr>
        <w:ind w:right="220" w:firstLine="1964"/>
        <w:spacing w:after="0" w:line="271" w:lineRule="auto"/>
        <w:rPr>
          <w:sz w:val="20"/>
          <w:szCs w:val="20"/>
          <w:color w:val="auto"/>
        </w:rPr>
      </w:pPr>
      <w:r>
        <w:rPr>
          <w:rFonts w:ascii="Arial" w:cs="Arial" w:eastAsia="Arial" w:hAnsi="Arial"/>
          <w:sz w:val="18"/>
          <w:szCs w:val="18"/>
          <w:color w:val="auto"/>
        </w:rPr>
        <w:t>3.3.3 increase or decrease the authorized number of shares of Preferred Stock or any series of Preferred Stock or Common Stock or any additional class or series of capital stock;</w:t>
      </w:r>
    </w:p>
    <w:p>
      <w:pPr>
        <w:spacing w:after="0" w:line="175" w:lineRule="exact"/>
        <w:rPr>
          <w:sz w:val="20"/>
          <w:szCs w:val="20"/>
          <w:color w:val="auto"/>
        </w:rPr>
      </w:pPr>
    </w:p>
    <w:p>
      <w:pPr>
        <w:ind w:firstLine="1964"/>
        <w:spacing w:after="0" w:line="259" w:lineRule="auto"/>
        <w:rPr>
          <w:sz w:val="20"/>
          <w:szCs w:val="20"/>
          <w:color w:val="auto"/>
        </w:rPr>
      </w:pPr>
      <w:r>
        <w:rPr>
          <w:rFonts w:ascii="Arial" w:cs="Arial" w:eastAsia="Arial" w:hAnsi="Arial"/>
          <w:sz w:val="18"/>
          <w:szCs w:val="18"/>
          <w:color w:val="auto"/>
        </w:rPr>
        <w:t>3.3.4 create, or authorize the creation of, or issue or obligate itself to issue shares of, any additional class or series of capital stock unless the same ranks junior to each series of Preferred Stock with respect to the distribution of assets on the liquidation, dissolution or winding up of the Corporation, the payment of dividends and rights of redemption;</w:t>
      </w:r>
    </w:p>
    <w:p>
      <w:pPr>
        <w:spacing w:after="0" w:line="186" w:lineRule="exact"/>
        <w:rPr>
          <w:sz w:val="20"/>
          <w:szCs w:val="20"/>
          <w:color w:val="auto"/>
        </w:rPr>
      </w:pPr>
    </w:p>
    <w:p>
      <w:pPr>
        <w:ind w:firstLine="1964"/>
        <w:spacing w:after="0" w:line="271" w:lineRule="auto"/>
        <w:rPr>
          <w:sz w:val="20"/>
          <w:szCs w:val="20"/>
          <w:color w:val="auto"/>
        </w:rPr>
      </w:pPr>
      <w:r>
        <w:rPr>
          <w:rFonts w:ascii="Arial" w:cs="Arial" w:eastAsia="Arial" w:hAnsi="Arial"/>
          <w:sz w:val="18"/>
          <w:szCs w:val="18"/>
          <w:color w:val="auto"/>
        </w:rPr>
        <w:t>3.3.5 amend, alter or repeal (whether by merger, consolidation, operation of law or otherwise) any provisions of this Restated Certificate or the Bylaws of the Corporation;</w:t>
      </w:r>
    </w:p>
    <w:p>
      <w:pPr>
        <w:spacing w:after="0" w:line="175" w:lineRule="exact"/>
        <w:rPr>
          <w:sz w:val="20"/>
          <w:szCs w:val="20"/>
          <w:color w:val="auto"/>
        </w:rPr>
      </w:pPr>
    </w:p>
    <w:p>
      <w:pPr>
        <w:ind w:right="140" w:firstLine="1964"/>
        <w:spacing w:after="0" w:line="271" w:lineRule="auto"/>
        <w:rPr>
          <w:sz w:val="20"/>
          <w:szCs w:val="20"/>
          <w:color w:val="auto"/>
        </w:rPr>
      </w:pPr>
      <w:r>
        <w:rPr>
          <w:rFonts w:ascii="Arial" w:cs="Arial" w:eastAsia="Arial" w:hAnsi="Arial"/>
          <w:sz w:val="18"/>
          <w:szCs w:val="18"/>
          <w:color w:val="auto"/>
        </w:rPr>
        <w:t>3.3.6 liquidate, dissolve or wind-up the business and affairs of the Corporation or effect any merger or consolidation or any other Deemed Liquidation Event;</w:t>
      </w:r>
    </w:p>
    <w:p>
      <w:pPr>
        <w:spacing w:after="0" w:line="175" w:lineRule="exact"/>
        <w:rPr>
          <w:sz w:val="20"/>
          <w:szCs w:val="20"/>
          <w:color w:val="auto"/>
        </w:rPr>
      </w:pPr>
    </w:p>
    <w:p>
      <w:pPr>
        <w:ind w:right="20" w:firstLine="1964"/>
        <w:spacing w:after="0" w:line="253" w:lineRule="auto"/>
        <w:rPr>
          <w:sz w:val="20"/>
          <w:szCs w:val="20"/>
          <w:color w:val="auto"/>
        </w:rPr>
      </w:pPr>
      <w:r>
        <w:rPr>
          <w:rFonts w:ascii="Arial" w:cs="Arial" w:eastAsia="Arial" w:hAnsi="Arial"/>
          <w:sz w:val="18"/>
          <w:szCs w:val="18"/>
          <w:color w:val="auto"/>
        </w:rPr>
        <w:t>3.3.7 create, or authorize the creation of, or issue, or authorize the issuance of any debt security or create any lien or security interest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the Corporation and its subsidiaries for borrowed money following such action would exceed $250,000, unless approved by the Board of Directors, including a majority of the Preferred Directors;</w:t>
      </w:r>
    </w:p>
    <w:p>
      <w:pPr>
        <w:spacing w:after="0" w:line="193" w:lineRule="exact"/>
        <w:rPr>
          <w:sz w:val="20"/>
          <w:szCs w:val="20"/>
          <w:color w:val="auto"/>
        </w:rPr>
      </w:pPr>
    </w:p>
    <w:p>
      <w:pPr>
        <w:ind w:right="160" w:firstLine="1964"/>
        <w:spacing w:after="0" w:line="255" w:lineRule="auto"/>
        <w:rPr>
          <w:sz w:val="20"/>
          <w:szCs w:val="20"/>
          <w:color w:val="auto"/>
        </w:rPr>
      </w:pPr>
      <w:r>
        <w:rPr>
          <w:rFonts w:ascii="Arial" w:cs="Arial" w:eastAsia="Arial" w:hAnsi="Arial"/>
          <w:sz w:val="18"/>
          <w:szCs w:val="18"/>
          <w:color w:val="auto"/>
        </w:rPr>
        <w:t>3.3.8 create, or hold capital stock in, any subsidiary, or cause any subsidiary to issue equity interests,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3.3.9 increase or decrease the authorized number of directors constituting the Board of Directors;</w:t>
      </w:r>
    </w:p>
    <w:p>
      <w:pPr>
        <w:spacing w:after="0" w:line="221"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3.3.10 increase the number of shares authorized for issuance under any existing equity incentive plan or create any new</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equity incentive plan;</w:t>
      </w:r>
    </w:p>
    <w:p>
      <w:pPr>
        <w:spacing w:after="0" w:line="20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3.3.11 authorize, cause or permit any subsidiary to take any of the foregoing actions; or</w:t>
      </w:r>
    </w:p>
    <w:p>
      <w:pPr>
        <w:spacing w:after="0" w:line="15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72" w:right="519" w:bottom="1440" w:gutter="0" w:footer="0" w:header="0"/>
        </w:sectPr>
      </w:pPr>
    </w:p>
    <w:bookmarkStart w:id="277" w:name="page278"/>
    <w:bookmarkEnd w:id="277"/>
    <w:p>
      <w:pPr>
        <w:ind w:left="1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3.3.12 amend this Section 3.3.</w:t>
      </w:r>
    </w:p>
    <w:p>
      <w:pPr>
        <w:spacing w:after="0" w:line="221" w:lineRule="exact"/>
        <w:rPr>
          <w:sz w:val="20"/>
          <w:szCs w:val="20"/>
          <w:color w:val="auto"/>
        </w:rPr>
      </w:pPr>
    </w:p>
    <w:p>
      <w:pPr>
        <w:ind w:right="180" w:firstLine="1419"/>
        <w:spacing w:after="0" w:line="293"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Series C Preferred Stock Protective Provisions.</w:t>
      </w:r>
      <w:r>
        <w:rPr>
          <w:rFonts w:ascii="Arial" w:cs="Arial" w:eastAsia="Arial" w:hAnsi="Arial"/>
          <w:sz w:val="16"/>
          <w:szCs w:val="16"/>
          <w:color w:val="auto"/>
        </w:rPr>
        <w:t xml:space="preserve"> The Corporation shall not, either directly or indirectly by amendment, merger, consolidation, recapitalization, reclassification or otherwise, do any of the following without (in addition to any other vote required by law or the Restated Certificate) the written consent or affirmative vote of the holders of a majority of the then outstanding shares of Series C Preferred Stock, voting as a separate class, which majority holders must include at least three of Abingworth, Fidelity, Longitude and Sofinnova, given in writing or by vote at a meeting,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and of no force or effect:</w:t>
      </w:r>
    </w:p>
    <w:p>
      <w:pPr>
        <w:spacing w:after="0" w:line="16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3.4.1 increase or decrease the authorized number of shares of Series C Preferred Stock;</w:t>
      </w:r>
    </w:p>
    <w:p>
      <w:pPr>
        <w:spacing w:after="0" w:line="221" w:lineRule="exact"/>
        <w:rPr>
          <w:sz w:val="20"/>
          <w:szCs w:val="20"/>
          <w:color w:val="auto"/>
        </w:rPr>
      </w:pPr>
    </w:p>
    <w:p>
      <w:pPr>
        <w:ind w:firstLine="1964"/>
        <w:spacing w:after="0" w:line="271" w:lineRule="auto"/>
        <w:rPr>
          <w:sz w:val="20"/>
          <w:szCs w:val="20"/>
          <w:color w:val="auto"/>
        </w:rPr>
      </w:pPr>
      <w:r>
        <w:rPr>
          <w:rFonts w:ascii="Arial" w:cs="Arial" w:eastAsia="Arial" w:hAnsi="Arial"/>
          <w:sz w:val="18"/>
          <w:szCs w:val="18"/>
          <w:color w:val="auto"/>
        </w:rPr>
        <w:t>3.4.2 alter any provision of this Restated Certificate or the Bylaws of the Corporation if such action would adversely alter the rights, preferences, privileges or powers of the Series C Preferred Stock;</w:t>
      </w:r>
    </w:p>
    <w:p>
      <w:pPr>
        <w:spacing w:after="0" w:line="17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3.4.3 amend the definition of “</w:t>
      </w:r>
      <w:r>
        <w:rPr>
          <w:rFonts w:ascii="Arial" w:cs="Arial" w:eastAsia="Arial" w:hAnsi="Arial"/>
          <w:sz w:val="18"/>
          <w:szCs w:val="18"/>
          <w:b w:val="1"/>
          <w:bCs w:val="1"/>
          <w:color w:val="auto"/>
        </w:rPr>
        <w:t>Requisite Holders</w:t>
      </w:r>
      <w:r>
        <w:rPr>
          <w:rFonts w:ascii="Arial" w:cs="Arial" w:eastAsia="Arial" w:hAnsi="Arial"/>
          <w:sz w:val="18"/>
          <w:szCs w:val="18"/>
          <w:color w:val="auto"/>
        </w:rPr>
        <w:t>” or its use in any provision herein; or</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3.4.4 amend this Section 3.4.</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Optional Conversion</w:t>
      </w:r>
      <w:r>
        <w:rPr>
          <w:rFonts w:ascii="Arial" w:cs="Arial" w:eastAsia="Arial" w:hAnsi="Arial"/>
          <w:sz w:val="18"/>
          <w:szCs w:val="18"/>
          <w:color w:val="auto"/>
        </w:rPr>
        <w:t>. The holders of Preferred Stock shall have conversion rights as follows:</w:t>
      </w:r>
    </w:p>
    <w:p>
      <w:pPr>
        <w:spacing w:after="0" w:line="221" w:lineRule="exact"/>
        <w:rPr>
          <w:sz w:val="20"/>
          <w:szCs w:val="20"/>
          <w:color w:val="auto"/>
        </w:rPr>
      </w:pPr>
    </w:p>
    <w:p>
      <w:pPr>
        <w:ind w:right="20" w:firstLine="1419"/>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Right to Convert.</w:t>
      </w:r>
      <w:r>
        <w:rPr>
          <w:rFonts w:ascii="Arial" w:cs="Arial" w:eastAsia="Arial" w:hAnsi="Arial"/>
          <w:sz w:val="16"/>
          <w:szCs w:val="16"/>
          <w:color w:val="auto"/>
        </w:rPr>
        <w:t xml:space="preserve"> Each share of Preferred Stock shall be convertible, at the option of the holder thereof, at any time and from time to time, and without the payment of additional consideration by the holder thereof, into such number of fully paid and non-assessable shares of Class A Common Stock (or, if requested by an Electing Investor in accordance with the Purchase Agreement, Class B Common Stock), as is determined by dividing the applicable Original Issue Price by the applicable Preferred Stock Conversion Price (as defined below) in effect at the time of conversion; provided that such holder may waive such option to convert upon written notice to the Corporation. The “</w:t>
      </w:r>
      <w:r>
        <w:rPr>
          <w:rFonts w:ascii="Arial" w:cs="Arial" w:eastAsia="Arial" w:hAnsi="Arial"/>
          <w:sz w:val="16"/>
          <w:szCs w:val="16"/>
          <w:b w:val="1"/>
          <w:bCs w:val="1"/>
          <w:color w:val="auto"/>
        </w:rPr>
        <w:t>Preferred Stock Conversion Price</w:t>
      </w:r>
      <w:r>
        <w:rPr>
          <w:rFonts w:ascii="Arial" w:cs="Arial" w:eastAsia="Arial" w:hAnsi="Arial"/>
          <w:sz w:val="16"/>
          <w:szCs w:val="16"/>
          <w:color w:val="auto"/>
        </w:rPr>
        <w:t>” for each share of Preferred Stock shall initially be equal to the Original Issue Price applicable to such share. Each such initial Preferred Stock Conversion Price, and the rate at which shares of Preferred Stock may be converted into shares of Common Stock, shall be subject to adjustment as provided below.</w:t>
      </w:r>
    </w:p>
    <w:p>
      <w:pPr>
        <w:spacing w:after="0" w:line="166" w:lineRule="exact"/>
        <w:rPr>
          <w:sz w:val="20"/>
          <w:szCs w:val="20"/>
          <w:color w:val="auto"/>
        </w:rPr>
      </w:pPr>
    </w:p>
    <w:p>
      <w:pPr>
        <w:ind w:right="120" w:firstLine="1419"/>
        <w:spacing w:after="0" w:line="25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Fractional Shares.</w:t>
      </w:r>
      <w:r>
        <w:rPr>
          <w:rFonts w:ascii="Arial" w:cs="Arial" w:eastAsia="Arial" w:hAnsi="Arial"/>
          <w:sz w:val="18"/>
          <w:szCs w:val="18"/>
          <w:color w:val="auto"/>
        </w:rPr>
        <w:t xml:space="preserve">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including a majority of the Preferred Directors.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9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Mechanics of Conversion.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80" w:top="272" w:right="519" w:bottom="1440" w:gutter="0" w:footer="0" w:header="0"/>
        </w:sectPr>
      </w:pPr>
    </w:p>
    <w:bookmarkStart w:id="278" w:name="page279"/>
    <w:bookmarkEnd w:id="278"/>
    <w:p>
      <w:pPr>
        <w:ind w:right="40" w:firstLine="196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xml:space="preserve">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nth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Subsection 4.2 in lieu of any fraction of a share of Common Stock otherwise issuable upon such conversion and (iii) pay all declared but unpaid dividends on the shares of Preferred Stock converted.</w:t>
      </w:r>
    </w:p>
    <w:p>
      <w:pPr>
        <w:spacing w:after="0" w:line="172" w:lineRule="exact"/>
        <w:rPr>
          <w:sz w:val="20"/>
          <w:szCs w:val="20"/>
          <w:color w:val="auto"/>
        </w:rPr>
      </w:pPr>
    </w:p>
    <w:p>
      <w:pPr>
        <w:ind w:right="220" w:firstLine="1964"/>
        <w:spacing w:after="0" w:line="285"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xml:space="preserve"> The Corporation shall at all times when any series of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 Before taking any action that would cause an adjustment reducing a Preferred Stock Conversion Price below the then par value of the shares of Common Stock issuable upon conversion of the Preferred Stock, the Corporation will take any corporate action that may, in the opinion of its counsel, be necessary in order that the Corporation may validly and legally issue fully paid and non-assessable shares of Common Stock at such adjusted Preferred Stock Conversion Price.</w:t>
      </w:r>
    </w:p>
    <w:p>
      <w:pPr>
        <w:spacing w:after="0" w:line="169" w:lineRule="exact"/>
        <w:rPr>
          <w:sz w:val="20"/>
          <w:szCs w:val="20"/>
          <w:color w:val="auto"/>
        </w:rPr>
      </w:pPr>
    </w:p>
    <w:p>
      <w:pPr>
        <w:ind w:firstLine="1964"/>
        <w:spacing w:after="0" w:line="251"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xml:space="preserve"> All shares of Preferred Stock that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Subsection 4.2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2" w:right="499" w:bottom="1440" w:gutter="0" w:footer="0" w:header="0"/>
        </w:sectPr>
      </w:pPr>
    </w:p>
    <w:bookmarkStart w:id="279" w:name="page280"/>
    <w:bookmarkEnd w:id="279"/>
    <w:p>
      <w:pPr>
        <w:ind w:right="240" w:firstLine="1964"/>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4.3.4 </w:t>
      </w:r>
      <w:r>
        <w:rPr>
          <w:rFonts w:ascii="Arial" w:cs="Arial" w:eastAsia="Arial" w:hAnsi="Arial"/>
          <w:sz w:val="16"/>
          <w:szCs w:val="16"/>
          <w:u w:val="single" w:color="auto"/>
          <w:color w:val="auto"/>
        </w:rPr>
        <w:t>No Further Adjustment.</w:t>
      </w:r>
      <w:r>
        <w:rPr>
          <w:rFonts w:ascii="Arial" w:cs="Arial" w:eastAsia="Arial" w:hAnsi="Arial"/>
          <w:sz w:val="16"/>
          <w:szCs w:val="16"/>
          <w:color w:val="auto"/>
        </w:rPr>
        <w:t xml:space="preserve"> Upon any such conversion, no adjustment to any Preferred Stock Conversion Price shall be made for any declared but unpaid dividends on Preferred Stock surrendered for conversion or on the Common Stock delivered upon conversion.</w:t>
      </w:r>
    </w:p>
    <w:p>
      <w:pPr>
        <w:spacing w:after="0" w:line="128" w:lineRule="exact"/>
        <w:rPr>
          <w:sz w:val="20"/>
          <w:szCs w:val="20"/>
          <w:color w:val="auto"/>
        </w:rPr>
      </w:pPr>
    </w:p>
    <w:p>
      <w:pPr>
        <w:ind w:firstLine="1964"/>
        <w:spacing w:after="0" w:line="252"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Section 4. The Corporation shall not, however, be required to pay any tax that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to Preferred Stock Conversion Price for Diluting Issues.</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xml:space="preserve"> For purposes of this Article Fourth, the following definitions shall apply:</w:t>
      </w:r>
    </w:p>
    <w:p>
      <w:pPr>
        <w:spacing w:after="0" w:line="217"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204" w:lineRule="exact"/>
        <w:rPr>
          <w:sz w:val="20"/>
          <w:szCs w:val="20"/>
          <w:color w:val="auto"/>
        </w:rPr>
      </w:pPr>
    </w:p>
    <w:p>
      <w:pPr>
        <w:ind w:left="2660" w:hanging="252"/>
        <w:spacing w:after="0"/>
        <w:tabs>
          <w:tab w:leader="none" w:pos="266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shall mean the date on which the first share of Series C Preferred Stock was issued.</w:t>
      </w:r>
    </w:p>
    <w:p>
      <w:pPr>
        <w:spacing w:after="0" w:line="232" w:lineRule="exact"/>
        <w:rPr>
          <w:rFonts w:ascii="Arial" w:cs="Arial" w:eastAsia="Arial" w:hAnsi="Arial"/>
          <w:sz w:val="17"/>
          <w:szCs w:val="17"/>
          <w:color w:val="auto"/>
        </w:rPr>
      </w:pPr>
    </w:p>
    <w:p>
      <w:pPr>
        <w:ind w:firstLine="2408"/>
        <w:spacing w:after="0" w:line="275" w:lineRule="auto"/>
        <w:tabs>
          <w:tab w:leader="none" w:pos="2643" w:val="left"/>
        </w:tabs>
        <w:numPr>
          <w:ilvl w:val="1"/>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167" w:lineRule="exact"/>
        <w:rPr>
          <w:rFonts w:ascii="Arial" w:cs="Arial" w:eastAsia="Arial" w:hAnsi="Arial"/>
          <w:sz w:val="18"/>
          <w:szCs w:val="18"/>
          <w:color w:val="auto"/>
        </w:rPr>
      </w:pPr>
    </w:p>
    <w:p>
      <w:pPr>
        <w:ind w:right="20" w:firstLine="2408"/>
        <w:spacing w:after="0" w:line="290" w:lineRule="auto"/>
        <w:tabs>
          <w:tab w:leader="none" w:pos="2653" w:val="left"/>
        </w:tabs>
        <w:numPr>
          <w:ilvl w:val="1"/>
          <w:numId w:val="1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Shares of Common Stock</w:t>
      </w:r>
      <w:r>
        <w:rPr>
          <w:rFonts w:ascii="Arial" w:cs="Arial" w:eastAsia="Arial" w:hAnsi="Arial"/>
          <w:sz w:val="16"/>
          <w:szCs w:val="16"/>
          <w:color w:val="auto"/>
        </w:rPr>
        <w:t>” shall mean all shares of Common Stock issued (or, pursuant to Subsection 4.43 below, deemed to be issued) by the Corporation after the Original Issue Date, other than (1) the following shares of Common Stock and</w:t>
      </w:r>
    </w:p>
    <w:p>
      <w:pPr>
        <w:ind w:right="80" w:firstLine="7"/>
        <w:spacing w:after="0" w:line="256" w:lineRule="auto"/>
        <w:tabs>
          <w:tab w:leader="none" w:pos="2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shares of Common Stock deemed issued pursuant to the following Options and Convertible Securities (clauses (1) and (2), collectively, “</w:t>
      </w:r>
      <w:r>
        <w:rPr>
          <w:rFonts w:ascii="Arial" w:cs="Arial" w:eastAsia="Arial" w:hAnsi="Arial"/>
          <w:sz w:val="18"/>
          <w:szCs w:val="18"/>
          <w:b w:val="1"/>
          <w:bCs w:val="1"/>
          <w:color w:val="auto"/>
        </w:rPr>
        <w:t>Exempted</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3060" w:hanging="215"/>
        <w:spacing w:after="0"/>
        <w:tabs>
          <w:tab w:leader="none" w:pos="3060" w:val="left"/>
        </w:tabs>
        <w:numPr>
          <w:ilvl w:val="2"/>
          <w:numId w:val="187"/>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as a dividend or distribution on any series</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Preferred Stock;</w:t>
      </w:r>
    </w:p>
    <w:p>
      <w:pPr>
        <w:spacing w:after="0" w:line="208" w:lineRule="exact"/>
        <w:rPr>
          <w:rFonts w:ascii="Arial" w:cs="Arial" w:eastAsia="Arial" w:hAnsi="Arial"/>
          <w:sz w:val="16"/>
          <w:szCs w:val="16"/>
          <w:color w:val="auto"/>
        </w:rPr>
      </w:pPr>
    </w:p>
    <w:p>
      <w:pPr>
        <w:ind w:left="3100" w:hanging="255"/>
        <w:spacing w:after="0"/>
        <w:tabs>
          <w:tab w:leader="none" w:pos="3100" w:val="left"/>
        </w:tabs>
        <w:numPr>
          <w:ilvl w:val="2"/>
          <w:numId w:val="187"/>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by reason of a dividend, stock split,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split-up or other distribution on shares of Common Stock that is covered by Subsection 4.5, 4.6, 4.7 or 4.8;</w:t>
      </w:r>
    </w:p>
    <w:p>
      <w:pPr>
        <w:spacing w:after="0" w:line="208" w:lineRule="exact"/>
        <w:rPr>
          <w:sz w:val="20"/>
          <w:szCs w:val="20"/>
          <w:color w:val="auto"/>
        </w:rPr>
      </w:pPr>
    </w:p>
    <w:p>
      <w:pPr>
        <w:jc w:val="both"/>
        <w:ind w:right="120" w:firstLine="2845"/>
        <w:spacing w:after="0" w:line="259" w:lineRule="auto"/>
        <w:tabs>
          <w:tab w:leader="none" w:pos="314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shares of Common Stock or Options issued to employees or directors of, or consultants or advisors to, the Corporation or any of its subsidiaries pursuant to a plan, agreement or arrangement approved by the Board of Directors of the Corporation, including a majority of the Preferred Directors;</w:t>
      </w:r>
    </w:p>
    <w:p>
      <w:pPr>
        <w:spacing w:after="0" w:line="185" w:lineRule="exact"/>
        <w:rPr>
          <w:rFonts w:ascii="Arial" w:cs="Arial" w:eastAsia="Arial" w:hAnsi="Arial"/>
          <w:sz w:val="18"/>
          <w:szCs w:val="18"/>
          <w:color w:val="auto"/>
        </w:rPr>
      </w:pPr>
    </w:p>
    <w:p>
      <w:pPr>
        <w:jc w:val="both"/>
        <w:ind w:right="40" w:firstLine="2845"/>
        <w:spacing w:after="0" w:line="259" w:lineRule="auto"/>
        <w:tabs>
          <w:tab w:leader="none" w:pos="313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480" w:top="272" w:right="539" w:bottom="1440" w:gutter="0" w:footer="0" w:header="0"/>
        </w:sectPr>
      </w:pPr>
    </w:p>
    <w:bookmarkStart w:id="280" w:name="page281"/>
    <w:bookmarkEnd w:id="280"/>
    <w:p>
      <w:pPr>
        <w:ind w:right="300" w:firstLine="2845"/>
        <w:spacing w:after="0" w:line="259" w:lineRule="auto"/>
        <w:tabs>
          <w:tab w:leader="none" w:pos="3090"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including a majority of the Preferred Directors;</w:t>
      </w:r>
    </w:p>
    <w:p>
      <w:pPr>
        <w:spacing w:after="0" w:line="185" w:lineRule="exact"/>
        <w:rPr>
          <w:rFonts w:ascii="Arial" w:cs="Arial" w:eastAsia="Arial" w:hAnsi="Arial"/>
          <w:sz w:val="18"/>
          <w:szCs w:val="18"/>
          <w:color w:val="auto"/>
        </w:rPr>
      </w:pPr>
    </w:p>
    <w:p>
      <w:pPr>
        <w:ind w:right="560" w:firstLine="2845"/>
        <w:spacing w:after="0" w:line="259" w:lineRule="auto"/>
        <w:tabs>
          <w:tab w:leader="none" w:pos="313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suppliers or third party service providers in connection with the provision of goods or services pursuant to transactions approved by the Board of Directors of the Corporation, including a majority of the Preferred Directors;</w:t>
      </w:r>
    </w:p>
    <w:p>
      <w:pPr>
        <w:spacing w:after="0" w:line="185" w:lineRule="exact"/>
        <w:rPr>
          <w:rFonts w:ascii="Arial" w:cs="Arial" w:eastAsia="Arial" w:hAnsi="Arial"/>
          <w:sz w:val="18"/>
          <w:szCs w:val="18"/>
          <w:color w:val="auto"/>
        </w:rPr>
      </w:pPr>
    </w:p>
    <w:p>
      <w:pPr>
        <w:jc w:val="both"/>
        <w:ind w:right="220" w:firstLine="2845"/>
        <w:spacing w:after="0" w:line="307" w:lineRule="auto"/>
        <w:tabs>
          <w:tab w:leader="none" w:pos="3189" w:val="left"/>
        </w:tabs>
        <w:numPr>
          <w:ilvl w:val="0"/>
          <w:numId w:val="189"/>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pursuant to the acquisition of another corporation by the Corporation by merger, purchase of substantially all of the assets or other reorganization or to a joint venture agreement, provided that such issuances are approved by the Board of Directors of the Corporation, including a majority of the Preferred Directors;</w:t>
      </w:r>
    </w:p>
    <w:p>
      <w:pPr>
        <w:spacing w:after="0" w:line="149" w:lineRule="exact"/>
        <w:rPr>
          <w:rFonts w:ascii="Arial" w:cs="Arial" w:eastAsia="Arial" w:hAnsi="Arial"/>
          <w:sz w:val="16"/>
          <w:szCs w:val="16"/>
          <w:color w:val="auto"/>
        </w:rPr>
      </w:pPr>
    </w:p>
    <w:p>
      <w:pPr>
        <w:ind w:right="40" w:firstLine="2845"/>
        <w:spacing w:after="0" w:line="259" w:lineRule="auto"/>
        <w:tabs>
          <w:tab w:leader="none" w:pos="323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in connection with sponsored research, collaboration, technology license, development, OEM, marketing or other similar agreements or strategic partnerships approved by the Board of Directors of the Corporation, including a majority of the Preferred Directors; or</w:t>
      </w:r>
    </w:p>
    <w:p>
      <w:pPr>
        <w:spacing w:after="0" w:line="185" w:lineRule="exact"/>
        <w:rPr>
          <w:rFonts w:ascii="Arial" w:cs="Arial" w:eastAsia="Arial" w:hAnsi="Arial"/>
          <w:sz w:val="18"/>
          <w:szCs w:val="18"/>
          <w:color w:val="auto"/>
        </w:rPr>
      </w:pPr>
    </w:p>
    <w:p>
      <w:pPr>
        <w:ind w:left="3140" w:hanging="295"/>
        <w:spacing w:after="0"/>
        <w:tabs>
          <w:tab w:leader="none" w:pos="31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shares of Series C Preferred Stock.</w:t>
      </w:r>
    </w:p>
    <w:p>
      <w:pPr>
        <w:spacing w:after="0" w:line="221" w:lineRule="exact"/>
        <w:rPr>
          <w:sz w:val="20"/>
          <w:szCs w:val="20"/>
          <w:color w:val="auto"/>
        </w:rPr>
      </w:pPr>
    </w:p>
    <w:p>
      <w:pPr>
        <w:ind w:right="140" w:firstLine="1964"/>
        <w:spacing w:after="0" w:line="293"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u w:val="single" w:color="auto"/>
          <w:color w:val="auto"/>
        </w:rPr>
        <w:t>No Adjustment of Preferred Stock Conversion Price.</w:t>
      </w:r>
      <w:r>
        <w:rPr>
          <w:rFonts w:ascii="Arial" w:cs="Arial" w:eastAsia="Arial" w:hAnsi="Arial"/>
          <w:sz w:val="16"/>
          <w:szCs w:val="16"/>
          <w:color w:val="auto"/>
        </w:rPr>
        <w:t xml:space="preserve"> No adjustment in the Preferred Stock Conversion Price for a series of Preferred Stock shall be made as the result of the issuance or deemed issuance of Additional Shares of Common Stock if the Corporation receives written notice from the holders of a majority of the then outstanding shares of such series of Preferred Stock agreeing that no such adjustment shall be made as the result of the issuance or deemed issuance of such Additional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majority holders must include at least three of Abingworth, Fidelity, Longitude and Sofinnova with respect to the Series C Preferred Stock.</w:t>
      </w:r>
    </w:p>
    <w:p>
      <w:pPr>
        <w:spacing w:after="0" w:line="16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4.4.3 </w:t>
      </w:r>
      <w:r>
        <w:rPr>
          <w:rFonts w:ascii="Arial" w:cs="Arial" w:eastAsia="Arial" w:hAnsi="Arial"/>
          <w:sz w:val="18"/>
          <w:szCs w:val="18"/>
          <w:u w:val="single" w:color="auto"/>
          <w:color w:val="auto"/>
        </w:rPr>
        <w:t>Deemed Issue of Additional Shares of Common Stock.</w:t>
      </w:r>
    </w:p>
    <w:p>
      <w:pPr>
        <w:spacing w:after="0" w:line="221" w:lineRule="exact"/>
        <w:rPr>
          <w:sz w:val="20"/>
          <w:szCs w:val="20"/>
          <w:color w:val="auto"/>
        </w:rPr>
      </w:pPr>
    </w:p>
    <w:p>
      <w:pPr>
        <w:ind w:firstLine="2408"/>
        <w:spacing w:after="0" w:line="251" w:lineRule="auto"/>
        <w:tabs>
          <w:tab w:leader="none" w:pos="264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Original Issue Date shall issue any Options or Convertible Securities (excluding Options or Convertible Securities that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480" w:top="272" w:right="539" w:bottom="1440" w:gutter="0" w:footer="0" w:header="0"/>
        </w:sectPr>
      </w:pPr>
    </w:p>
    <w:bookmarkStart w:id="281" w:name="page282"/>
    <w:bookmarkEnd w:id="281"/>
    <w:p>
      <w:pPr>
        <w:ind w:left="-20" w:firstLine="2408"/>
        <w:spacing w:after="0" w:line="283" w:lineRule="auto"/>
        <w:tabs>
          <w:tab w:leader="none" w:pos="2633" w:val="left"/>
        </w:tabs>
        <w:numPr>
          <w:ilvl w:val="0"/>
          <w:numId w:val="1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the terms of any Option or Convertible Security, the issuance of which resulted in an adjustment to the Preferred Stock Conversion Price pursuant to the terms of Subsection 4.4.4,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Preferred Stock Conversion Price computed upon the original issue of such Option or Convertible Security (or upon the occurrence of a record date with respect thereto) shall be readjusted to such Preferred Stock Conversion Price as would have obtained had such revised terms been in effect upon the original date of issuance of such Option or Convertible Security. Notwithstanding the foregoing, no readjustment pursuant to this clause (b) shall have the effect of increasing the Preferred Stock Conversion Price to an amount that exceeds the lower of (i) the Preferred Stock Conversion Price in effect immediately prior to the original adjustment made as a result of the issuance of such Option or Convertible Security, or (ii) the Preferred Stock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75" w:lineRule="exact"/>
        <w:rPr>
          <w:rFonts w:ascii="Arial" w:cs="Arial" w:eastAsia="Arial" w:hAnsi="Arial"/>
          <w:sz w:val="16"/>
          <w:szCs w:val="16"/>
          <w:color w:val="auto"/>
        </w:rPr>
      </w:pPr>
    </w:p>
    <w:p>
      <w:pPr>
        <w:ind w:left="-20" w:right="20" w:firstLine="2408"/>
        <w:spacing w:after="0" w:line="266" w:lineRule="auto"/>
        <w:tabs>
          <w:tab w:leader="none" w:pos="2623"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If the terms of any Option or Convertible Security (excluding Options or Convertible Securities that are themselves Exempted Securities), the issuance of which did not result in an adjustment to the Preferred Stock Conversion Price pursuant to the terms of Subsection 4.4.4 (either because the consideration per share (determined pursuant to Subsection 4.4.5) of the Additional Shares of Common Stock subject thereto was equal to or greater than the Preferred Stock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Subsection 4.4.3(a)) shall be deemed to have been issued effective upon such increase or decrease becoming effective.</w:t>
      </w:r>
    </w:p>
    <w:p>
      <w:pPr>
        <w:spacing w:after="0" w:line="184" w:lineRule="exact"/>
        <w:rPr>
          <w:rFonts w:ascii="Arial" w:cs="Arial" w:eastAsia="Arial" w:hAnsi="Arial"/>
          <w:sz w:val="17"/>
          <w:szCs w:val="17"/>
          <w:color w:val="auto"/>
        </w:rPr>
      </w:pPr>
    </w:p>
    <w:p>
      <w:pPr>
        <w:ind w:left="-20" w:right="80" w:firstLine="2408"/>
        <w:spacing w:after="0" w:line="275" w:lineRule="auto"/>
        <w:tabs>
          <w:tab w:leader="none" w:pos="2633" w:val="left"/>
        </w:tabs>
        <w:numPr>
          <w:ilvl w:val="0"/>
          <w:numId w:val="191"/>
        </w:numPr>
        <w:rPr>
          <w:rFonts w:ascii="Arial" w:cs="Arial" w:eastAsia="Arial" w:hAnsi="Arial"/>
          <w:sz w:val="17"/>
          <w:szCs w:val="17"/>
          <w:color w:val="auto"/>
        </w:rPr>
      </w:pPr>
      <w:r>
        <w:rPr>
          <w:rFonts w:ascii="Arial" w:cs="Arial" w:eastAsia="Arial" w:hAnsi="Arial"/>
          <w:sz w:val="17"/>
          <w:szCs w:val="17"/>
          <w:color w:val="auto"/>
        </w:rPr>
        <w:t>Upon the expiration or termination of any =exercised Option or unconverted or unexchanged Convertible Security (or portion thereof) that resulted (either upon its original issuance or upon a revision of its terms) in an adjustment to the Preferred Stock Conversion Price pursuant to the terms of Subsection 4.4.4, the Preferred Stock Conversion Price shall be readjusted to such Preferred Stock Conversion Price as would have obtained had such Option or Convertible Security (or portion thereof) never been issued.</w:t>
      </w:r>
    </w:p>
    <w:p>
      <w:pPr>
        <w:spacing w:after="0" w:line="173" w:lineRule="exact"/>
        <w:rPr>
          <w:rFonts w:ascii="Arial" w:cs="Arial" w:eastAsia="Arial" w:hAnsi="Arial"/>
          <w:sz w:val="17"/>
          <w:szCs w:val="17"/>
          <w:color w:val="auto"/>
        </w:rPr>
      </w:pPr>
    </w:p>
    <w:p>
      <w:pPr>
        <w:ind w:left="-20" w:firstLine="2408"/>
        <w:spacing w:after="0" w:line="284" w:lineRule="auto"/>
        <w:tabs>
          <w:tab w:leader="none" w:pos="2623"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Preferred Stock Conversion Price provided for in this Subsection 4.4.3 shall be effected at the time of such issuance or amendment based on such number of shares or amount of consideration without regard to any provisions for subsequent adjustments (and any subsequent adjustments shall be treated as provided in clauses (b) and (c) of this Subsection 4.4.3).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Preferred Stock Conversion Price that would result under the terms of this Subsection 4.4.3 at the time of such issuance or amendment shall instead be effected at the time such number of shares and/or amount of consideration is first calculable (even if subject to subsequent adjustments), assuming for purposes of calculating such adjustment to the Preferred Stock Conversion Price that such issuance or amendment took place at the time such calculation can first be made.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500" w:top="272" w:right="519" w:bottom="1440" w:gutter="0" w:footer="0" w:header="0"/>
        </w:sectPr>
      </w:pPr>
    </w:p>
    <w:bookmarkStart w:id="282" w:name="page283"/>
    <w:bookmarkEnd w:id="282"/>
    <w:p>
      <w:pPr>
        <w:ind w:right="20" w:firstLine="196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4.4.4 </w:t>
      </w:r>
      <w:r>
        <w:rPr>
          <w:rFonts w:ascii="Arial" w:cs="Arial" w:eastAsia="Arial" w:hAnsi="Arial"/>
          <w:sz w:val="17"/>
          <w:szCs w:val="17"/>
          <w:u w:val="single" w:color="auto"/>
          <w:color w:val="auto"/>
        </w:rPr>
        <w:t>Adjustment of the Preferred Stock Conversion Price Upon Issuance of Additional Shares of Common Stock.</w:t>
      </w:r>
      <w:r>
        <w:rPr>
          <w:rFonts w:ascii="Arial" w:cs="Arial" w:eastAsia="Arial" w:hAnsi="Arial"/>
          <w:sz w:val="17"/>
          <w:szCs w:val="17"/>
          <w:color w:val="auto"/>
        </w:rPr>
        <w:t xml:space="preserve"> In the event the Corporation shall at any time or from time to time after the Original Issue Date issue Additional Shares of Common Stock (including Additional Shares of Common Stock deemed to be issued pursuant to Subsection 4.4.3), without consideration or for a consideration per share less than the Preferred Stock Conversion Price for the Series C Preferred Stock in effect immediately prior to such issue, then the applicable Preferred Stock Conversion Price for each series of Preferred Stock shall be reduced, concurrently with such issue, to a price (calculated to the nearest ten-thousandth of a cent) determined in accordance with the following formula:</w:t>
      </w:r>
    </w:p>
    <w:p>
      <w:pPr>
        <w:spacing w:after="0" w:line="17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B)÷(A + 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1" w:lineRule="exact"/>
        <w:rPr>
          <w:sz w:val="20"/>
          <w:szCs w:val="20"/>
          <w:color w:val="auto"/>
        </w:rPr>
      </w:pPr>
    </w:p>
    <w:p>
      <w:pPr>
        <w:ind w:right="280" w:firstLine="2408"/>
        <w:spacing w:after="0" w:line="271" w:lineRule="auto"/>
        <w:tabs>
          <w:tab w:leader="none" w:pos="264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shall mean the Preferred Stock Conversion Price for such series of Preferred Stock in effect immediately after such issue of Additional Shares of Common Stock</w:t>
      </w:r>
    </w:p>
    <w:p>
      <w:pPr>
        <w:spacing w:after="0" w:line="174" w:lineRule="exact"/>
        <w:rPr>
          <w:rFonts w:ascii="Arial" w:cs="Arial" w:eastAsia="Arial" w:hAnsi="Arial"/>
          <w:sz w:val="18"/>
          <w:szCs w:val="18"/>
          <w:color w:val="auto"/>
        </w:rPr>
      </w:pPr>
    </w:p>
    <w:p>
      <w:pPr>
        <w:ind w:right="260" w:firstLine="2408"/>
        <w:spacing w:after="0" w:line="271" w:lineRule="auto"/>
        <w:tabs>
          <w:tab w:leader="none" w:pos="265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shall mean the Preferred Stock Conversion Price for such series of Preferred Stock in effect immediately prior to such issue of Additional Shares of Common Stock;</w:t>
      </w:r>
    </w:p>
    <w:p>
      <w:pPr>
        <w:spacing w:after="0" w:line="174" w:lineRule="exact"/>
        <w:rPr>
          <w:rFonts w:ascii="Arial" w:cs="Arial" w:eastAsia="Arial" w:hAnsi="Arial"/>
          <w:sz w:val="18"/>
          <w:szCs w:val="18"/>
          <w:color w:val="auto"/>
        </w:rPr>
      </w:pPr>
    </w:p>
    <w:p>
      <w:pPr>
        <w:ind w:firstLine="2408"/>
        <w:spacing w:after="0" w:line="271" w:lineRule="auto"/>
        <w:tabs>
          <w:tab w:leader="none" w:pos="264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3</w:t>
      </w:r>
      <w:r>
        <w:rPr>
          <w:rFonts w:ascii="Arial" w:cs="Arial" w:eastAsia="Arial" w:hAnsi="Arial"/>
          <w:sz w:val="18"/>
          <w:szCs w:val="18"/>
          <w:color w:val="auto"/>
        </w:rPr>
        <w:t>” shall mean the Preferred Stock Conversion Price for the Series C Preferred Stock in effect immediately prior to such issue of Additional Shares of Common Stock;</w:t>
      </w:r>
    </w:p>
    <w:p>
      <w:pPr>
        <w:spacing w:after="0" w:line="174" w:lineRule="exact"/>
        <w:rPr>
          <w:rFonts w:ascii="Arial" w:cs="Arial" w:eastAsia="Arial" w:hAnsi="Arial"/>
          <w:sz w:val="18"/>
          <w:szCs w:val="18"/>
          <w:color w:val="auto"/>
        </w:rPr>
      </w:pPr>
    </w:p>
    <w:p>
      <w:pPr>
        <w:ind w:right="80" w:firstLine="2408"/>
        <w:spacing w:after="0" w:line="255" w:lineRule="auto"/>
        <w:tabs>
          <w:tab w:leader="none" w:pos="265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90" w:lineRule="exact"/>
        <w:rPr>
          <w:rFonts w:ascii="Arial" w:cs="Arial" w:eastAsia="Arial" w:hAnsi="Arial"/>
          <w:sz w:val="18"/>
          <w:szCs w:val="18"/>
          <w:color w:val="auto"/>
        </w:rPr>
      </w:pPr>
    </w:p>
    <w:p>
      <w:pPr>
        <w:ind w:right="160" w:firstLine="2408"/>
        <w:spacing w:after="0" w:line="259" w:lineRule="auto"/>
        <w:tabs>
          <w:tab w:leader="none" w:pos="264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at a price per share equal to CP3 (determined by dividing the aggregate consideration received by the Corporation in respect of such issue by CP3); and</w:t>
      </w:r>
    </w:p>
    <w:p>
      <w:pPr>
        <w:spacing w:after="0" w:line="185" w:lineRule="exact"/>
        <w:rPr>
          <w:rFonts w:ascii="Arial" w:cs="Arial" w:eastAsia="Arial" w:hAnsi="Arial"/>
          <w:sz w:val="18"/>
          <w:szCs w:val="18"/>
          <w:color w:val="auto"/>
        </w:rPr>
      </w:pPr>
    </w:p>
    <w:p>
      <w:pPr>
        <w:ind w:left="2640" w:hanging="232"/>
        <w:spacing w:after="0"/>
        <w:tabs>
          <w:tab w:leader="none" w:pos="26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21" w:lineRule="exact"/>
        <w:rPr>
          <w:sz w:val="20"/>
          <w:szCs w:val="20"/>
          <w:color w:val="auto"/>
        </w:rPr>
      </w:pPr>
    </w:p>
    <w:p>
      <w:pPr>
        <w:ind w:right="40" w:firstLine="1964"/>
        <w:spacing w:after="0" w:line="271"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Subsection 4.4, the consideration received by the Corporation for the issue of any Additional Shares of Common Stock shall be computed as follows:</w:t>
      </w:r>
    </w:p>
    <w:p>
      <w:pPr>
        <w:spacing w:after="0" w:line="175" w:lineRule="exact"/>
        <w:rPr>
          <w:sz w:val="20"/>
          <w:szCs w:val="20"/>
          <w:color w:val="auto"/>
        </w:rPr>
      </w:pPr>
    </w:p>
    <w:p>
      <w:pPr>
        <w:ind w:left="5380" w:right="5020" w:hanging="2972"/>
        <w:spacing w:after="0" w:line="526" w:lineRule="auto"/>
        <w:tabs>
          <w:tab w:leader="none" w:pos="265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Cash and Property: Such consideration shall: 15</w:t>
      </w:r>
    </w:p>
    <w:p>
      <w:pPr>
        <w:sectPr>
          <w:pgSz w:w="11900" w:h="16838" w:orient="portrait"/>
          <w:cols w:equalWidth="0" w:num="1">
            <w:col w:w="10880"/>
          </w:cols>
          <w:pgMar w:left="480" w:top="272" w:right="539" w:bottom="1440" w:gutter="0" w:footer="0" w:header="0"/>
        </w:sectPr>
      </w:pPr>
    </w:p>
    <w:bookmarkStart w:id="283" w:name="page284"/>
    <w:bookmarkEnd w:id="283"/>
    <w:p>
      <w:pPr>
        <w:ind w:right="460" w:firstLine="2845"/>
        <w:spacing w:after="0" w:line="271" w:lineRule="auto"/>
        <w:tabs>
          <w:tab w:leader="none" w:pos="3050" w:val="left"/>
        </w:tabs>
        <w:numPr>
          <w:ilvl w:val="2"/>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insofar as it consists of cash, be computed at the aggregate amount of cash received by the Corporation, excluding amounts paid or payable for accrued interest;</w:t>
      </w:r>
    </w:p>
    <w:p>
      <w:pPr>
        <w:spacing w:after="0" w:line="174" w:lineRule="exact"/>
        <w:rPr>
          <w:rFonts w:ascii="Arial" w:cs="Arial" w:eastAsia="Arial" w:hAnsi="Arial"/>
          <w:sz w:val="18"/>
          <w:szCs w:val="18"/>
          <w:color w:val="auto"/>
        </w:rPr>
      </w:pPr>
    </w:p>
    <w:p>
      <w:pPr>
        <w:ind w:right="140" w:firstLine="2845"/>
        <w:spacing w:after="0" w:line="301" w:lineRule="auto"/>
        <w:tabs>
          <w:tab w:leader="none" w:pos="3100" w:val="left"/>
        </w:tabs>
        <w:numPr>
          <w:ilvl w:val="2"/>
          <w:numId w:val="194"/>
        </w:numPr>
        <w:rPr>
          <w:rFonts w:ascii="Arial" w:cs="Arial" w:eastAsia="Arial" w:hAnsi="Arial"/>
          <w:sz w:val="17"/>
          <w:szCs w:val="17"/>
          <w:color w:val="auto"/>
        </w:rPr>
      </w:pPr>
      <w:r>
        <w:rPr>
          <w:rFonts w:ascii="Arial" w:cs="Arial" w:eastAsia="Arial" w:hAnsi="Arial"/>
          <w:sz w:val="17"/>
          <w:szCs w:val="17"/>
          <w:color w:val="auto"/>
        </w:rPr>
        <w:t>insofar as it consists of property other than cash, be computed at the fair market value thereof at the time of such issue, as determined in good faith by the Board of Directors of the Corporation, including a majority of the Preferred Directors; and</w:t>
      </w:r>
    </w:p>
    <w:p>
      <w:pPr>
        <w:spacing w:after="0" w:line="151" w:lineRule="exact"/>
        <w:rPr>
          <w:rFonts w:ascii="Arial" w:cs="Arial" w:eastAsia="Arial" w:hAnsi="Arial"/>
          <w:sz w:val="17"/>
          <w:szCs w:val="17"/>
          <w:color w:val="auto"/>
        </w:rPr>
      </w:pPr>
    </w:p>
    <w:p>
      <w:pPr>
        <w:jc w:val="both"/>
        <w:ind w:right="20" w:firstLine="2845"/>
        <w:spacing w:after="0" w:line="287" w:lineRule="auto"/>
        <w:tabs>
          <w:tab w:leader="none" w:pos="3149" w:val="left"/>
        </w:tabs>
        <w:numPr>
          <w:ilvl w:val="2"/>
          <w:numId w:val="194"/>
        </w:numPr>
        <w:rPr>
          <w:rFonts w:ascii="Arial" w:cs="Arial" w:eastAsia="Arial" w:hAnsi="Arial"/>
          <w:sz w:val="16"/>
          <w:szCs w:val="16"/>
          <w:color w:val="auto"/>
        </w:rPr>
      </w:pPr>
      <w:r>
        <w:rPr>
          <w:rFonts w:ascii="Arial" w:cs="Arial" w:eastAsia="Arial" w:hAnsi="Arial"/>
          <w:sz w:val="16"/>
          <w:szCs w:val="16"/>
          <w:color w:val="auto"/>
        </w:rPr>
        <w:t>in the event Additional Shares of Common Stock are issued together with other shares or securities or other assets of the Corporation for consideration that covers both, be the proportion of such consideration so received, computed as provided in clauses (i) and</w:t>
      </w:r>
    </w:p>
    <w:p>
      <w:pPr>
        <w:ind w:left="260" w:hanging="253"/>
        <w:spacing w:after="0"/>
        <w:tabs>
          <w:tab w:leader="none" w:pos="2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above, as determined in good faith by the Board of Directors of the Corporation, including a majority of the Preferred Directors.</w:t>
      </w:r>
    </w:p>
    <w:p>
      <w:pPr>
        <w:spacing w:after="0" w:line="208" w:lineRule="exact"/>
        <w:rPr>
          <w:rFonts w:ascii="Arial" w:cs="Arial" w:eastAsia="Arial" w:hAnsi="Arial"/>
          <w:sz w:val="18"/>
          <w:szCs w:val="18"/>
          <w:color w:val="auto"/>
        </w:rPr>
      </w:pPr>
    </w:p>
    <w:p>
      <w:pPr>
        <w:ind w:right="60" w:firstLine="2408"/>
        <w:spacing w:after="0" w:line="259" w:lineRule="auto"/>
        <w:tabs>
          <w:tab w:leader="none" w:pos="2653" w:val="left"/>
        </w:tabs>
        <w:numPr>
          <w:ilvl w:val="1"/>
          <w:numId w:val="195"/>
        </w:numPr>
        <w:rPr>
          <w:rFonts w:ascii="Arial" w:cs="Arial" w:eastAsia="Arial" w:hAnsi="Arial"/>
          <w:sz w:val="18"/>
          <w:szCs w:val="18"/>
          <w:color w:val="auto"/>
        </w:rPr>
      </w:pPr>
      <w:r>
        <w:rPr>
          <w:rFonts w:ascii="Arial" w:cs="Arial" w:eastAsia="Arial" w:hAnsi="Arial"/>
          <w:sz w:val="18"/>
          <w:szCs w:val="18"/>
          <w:color w:val="auto"/>
        </w:rPr>
        <w:t>Options and Convertible Securities. The consideration per share received by the Corporation for Additional Shares of Common Stock deemed to have been issued pursuant to Subsection 4.4.3, relating to Options and Convertible Securities, shall be determined by dividing:</w:t>
      </w:r>
    </w:p>
    <w:p>
      <w:pPr>
        <w:spacing w:after="0" w:line="185" w:lineRule="exact"/>
        <w:rPr>
          <w:rFonts w:ascii="Arial" w:cs="Arial" w:eastAsia="Arial" w:hAnsi="Arial"/>
          <w:sz w:val="18"/>
          <w:szCs w:val="18"/>
          <w:color w:val="auto"/>
        </w:rPr>
      </w:pPr>
    </w:p>
    <w:p>
      <w:pPr>
        <w:ind w:right="260" w:firstLine="2845"/>
        <w:spacing w:after="0" w:line="293" w:lineRule="auto"/>
        <w:tabs>
          <w:tab w:leader="none" w:pos="3050" w:val="left"/>
        </w:tabs>
        <w:numPr>
          <w:ilvl w:val="2"/>
          <w:numId w:val="195"/>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60" w:lineRule="exact"/>
        <w:rPr>
          <w:rFonts w:ascii="Arial" w:cs="Arial" w:eastAsia="Arial" w:hAnsi="Arial"/>
          <w:sz w:val="16"/>
          <w:szCs w:val="16"/>
          <w:color w:val="auto"/>
        </w:rPr>
      </w:pPr>
    </w:p>
    <w:p>
      <w:pPr>
        <w:ind w:firstLine="2845"/>
        <w:spacing w:after="0" w:line="255" w:lineRule="auto"/>
        <w:tabs>
          <w:tab w:leader="none" w:pos="310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90" w:lineRule="exact"/>
        <w:rPr>
          <w:sz w:val="20"/>
          <w:szCs w:val="20"/>
          <w:color w:val="auto"/>
        </w:rPr>
      </w:pPr>
    </w:p>
    <w:p>
      <w:pPr>
        <w:ind w:right="40" w:firstLine="1964"/>
        <w:spacing w:after="0" w:line="252"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Preferred Stock Conversion Price pursuant to the terms of Subsection 4.4.4, and such issuance dates occur within a period of no more than 90 days from the first such issuance to the final such issuance, then, upon the final such issuance, the Preferred Stock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94" w:lineRule="exact"/>
        <w:rPr>
          <w:sz w:val="20"/>
          <w:szCs w:val="20"/>
          <w:color w:val="auto"/>
        </w:rPr>
      </w:pPr>
    </w:p>
    <w:p>
      <w:pPr>
        <w:ind w:right="40" w:firstLine="1419"/>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xml:space="preserve"> If the Corporation shall at any time or from time to time after the Original Issue Date effect a subdivision of the outstanding Common Stock, the Preferred Stock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Preferred Stock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480" w:top="272" w:right="519" w:bottom="1440" w:gutter="0" w:footer="0" w:header="0"/>
        </w:sectPr>
      </w:pPr>
    </w:p>
    <w:bookmarkStart w:id="284" w:name="page285"/>
    <w:bookmarkEnd w:id="284"/>
    <w:p>
      <w:pPr>
        <w:ind w:firstLine="1419"/>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4.6 </w:t>
      </w:r>
      <w:r>
        <w:rPr>
          <w:rFonts w:ascii="Arial" w:cs="Arial" w:eastAsia="Arial" w:hAnsi="Arial"/>
          <w:sz w:val="16"/>
          <w:szCs w:val="16"/>
          <w:u w:val="single" w:color="auto"/>
          <w:color w:val="auto"/>
        </w:rPr>
        <w:t>Adjustment for Certain Dividends and Distributions.</w:t>
      </w:r>
      <w:r>
        <w:rPr>
          <w:rFonts w:ascii="Arial" w:cs="Arial" w:eastAsia="Arial" w:hAnsi="Arial"/>
          <w:sz w:val="16"/>
          <w:szCs w:val="16"/>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Preferred Stock Conversion Price in effect immediately before such event shall be decreased as of the time of such issuance or, in the event such a record date shall have been fixed, as of the close of business on such record date, by multiplying the Preferred Stock Conversion Price then in effect by a fraction:</w:t>
      </w:r>
    </w:p>
    <w:p>
      <w:pPr>
        <w:spacing w:after="0" w:line="161" w:lineRule="exact"/>
        <w:rPr>
          <w:sz w:val="20"/>
          <w:szCs w:val="20"/>
          <w:color w:val="auto"/>
        </w:rPr>
      </w:pPr>
    </w:p>
    <w:p>
      <w:pPr>
        <w:ind w:right="280" w:firstLine="1426"/>
        <w:spacing w:after="0" w:line="271" w:lineRule="auto"/>
        <w:tabs>
          <w:tab w:leader="none" w:pos="167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4" w:lineRule="exact"/>
        <w:rPr>
          <w:rFonts w:ascii="Arial" w:cs="Arial" w:eastAsia="Arial" w:hAnsi="Arial"/>
          <w:sz w:val="18"/>
          <w:szCs w:val="18"/>
          <w:color w:val="auto"/>
        </w:rPr>
      </w:pPr>
    </w:p>
    <w:p>
      <w:pPr>
        <w:jc w:val="both"/>
        <w:ind w:right="100" w:firstLine="1426"/>
        <w:spacing w:after="0" w:line="259" w:lineRule="auto"/>
        <w:tabs>
          <w:tab w:leader="none" w:pos="167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Notwithstanding the foregoing (a) if such record date shall have been fixed and such dividend is not fully paid or if such distribution is not fully made on the date fixed therefor, the Preferred Stock Conversion Price shall be recomputed accordingly as of the close of business on such record date and thereafter the Preferred Stock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78" w:lineRule="exact"/>
        <w:rPr>
          <w:sz w:val="20"/>
          <w:szCs w:val="20"/>
          <w:color w:val="auto"/>
        </w:rPr>
      </w:pPr>
    </w:p>
    <w:p>
      <w:pPr>
        <w:ind w:right="40" w:firstLine="1419"/>
        <w:spacing w:after="0" w:line="269"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Section 1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480" w:top="272" w:right="519" w:bottom="1440" w:gutter="0" w:footer="0" w:header="0"/>
        </w:sectPr>
      </w:pPr>
    </w:p>
    <w:bookmarkStart w:id="285" w:name="page286"/>
    <w:bookmarkEnd w:id="285"/>
    <w:p>
      <w:pPr>
        <w:ind w:right="40" w:firstLine="1419"/>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4.8 </w:t>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xml:space="preserve"> Subject to the provisions of Subsection 2.4,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Subsections 4.4, 4.6 or 4.7),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that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including a majority of the Preferred Directors) shall be made in the application of the provisions in this Section 4 with respect to the rights and interests thereafter of the holders of the Preferred Stock, to the end that the provisions set forth in this Section 4 (including provisions with respect to changes in and other adjustments of the Preferred Stock Conversion Price) shall thereafter be applicable, as nearly as reasonably may be, in relation to any securities or other property thereafter deliverable upon the conversion of the Preferred Stock. For the avoidance of doubt, nothing in this Subsection 4.8 shall be construed as preventing the holders of Preferred Stock from seeking any appraisal rights to which they are otherwise entitled under the General Corporation Law in connection with a merger triggering an adjustment hereunder, nor shall this Subsection 4.8 be deemed conclusive evidence of the fair value of the shares of Preferred Stock in any such appraisal proceeding.</w:t>
      </w:r>
    </w:p>
    <w:p>
      <w:pPr>
        <w:spacing w:after="0" w:line="186" w:lineRule="exact"/>
        <w:rPr>
          <w:sz w:val="20"/>
          <w:szCs w:val="20"/>
          <w:color w:val="auto"/>
        </w:rPr>
      </w:pPr>
    </w:p>
    <w:p>
      <w:pPr>
        <w:ind w:right="60" w:firstLine="1419"/>
        <w:spacing w:after="0" w:line="287"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the Preferred Stock Conversion Price pursuant to this Section 4, the Corporation at its expense shall, as promptly as reasonably practicable but in any event not later than ten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days thereafter), furnish or cause to be furnished to such holder a certificate setting forth (a) the Preferred Stock Conversion Price then in effect, and (b) the number of shares of Common Stock and the amount, if any, of other securities, cash or property that then would be received upon the conversion of Preferred Stock.</w:t>
      </w:r>
    </w:p>
    <w:p>
      <w:pPr>
        <w:spacing w:after="0" w:line="16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xml:space="preserve"> In the event:</w:t>
      </w:r>
    </w:p>
    <w:p>
      <w:pPr>
        <w:spacing w:after="0" w:line="221" w:lineRule="exact"/>
        <w:rPr>
          <w:sz w:val="20"/>
          <w:szCs w:val="20"/>
          <w:color w:val="auto"/>
        </w:rPr>
      </w:pPr>
    </w:p>
    <w:p>
      <w:pPr>
        <w:jc w:val="both"/>
        <w:ind w:right="240" w:firstLine="2408"/>
        <w:spacing w:after="0" w:line="307" w:lineRule="auto"/>
        <w:tabs>
          <w:tab w:leader="none" w:pos="2643"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49" w:lineRule="exact"/>
        <w:rPr>
          <w:rFonts w:ascii="Arial" w:cs="Arial" w:eastAsia="Arial" w:hAnsi="Arial"/>
          <w:sz w:val="16"/>
          <w:szCs w:val="16"/>
          <w:color w:val="auto"/>
        </w:rPr>
      </w:pPr>
    </w:p>
    <w:p>
      <w:pPr>
        <w:ind w:left="2660" w:hanging="252"/>
        <w:spacing w:after="0"/>
        <w:tabs>
          <w:tab w:leader="none" w:pos="26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Deemed Liquidation Event; or</w:t>
      </w:r>
    </w:p>
    <w:p>
      <w:pPr>
        <w:spacing w:after="0" w:line="208" w:lineRule="exact"/>
        <w:rPr>
          <w:rFonts w:ascii="Arial" w:cs="Arial" w:eastAsia="Arial" w:hAnsi="Arial"/>
          <w:sz w:val="16"/>
          <w:szCs w:val="16"/>
          <w:color w:val="auto"/>
        </w:rPr>
      </w:pPr>
    </w:p>
    <w:p>
      <w:pPr>
        <w:ind w:left="2660" w:hanging="252"/>
        <w:spacing w:after="0"/>
        <w:tabs>
          <w:tab w:leader="none" w:pos="2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then, and in each such case, the Corporation will send or cause to be sent to the holders of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days prior to the record date or effective date for the event specified in such notice.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480" w:top="272" w:right="519" w:bottom="1440" w:gutter="0" w:footer="0" w:header="0"/>
        </w:sectPr>
      </w:pPr>
    </w:p>
    <w:bookmarkStart w:id="286" w:name="page287"/>
    <w:bookmarkEnd w:id="286"/>
    <w:p>
      <w:pPr>
        <w:ind w:firstLine="1419"/>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4.11 </w:t>
      </w:r>
      <w:r>
        <w:rPr>
          <w:rFonts w:ascii="Arial" w:cs="Arial" w:eastAsia="Arial" w:hAnsi="Arial"/>
          <w:sz w:val="16"/>
          <w:szCs w:val="16"/>
          <w:u w:val="single" w:color="auto"/>
          <w:color w:val="auto"/>
        </w:rPr>
        <w:t>Beneficial Ownership Limitations.</w:t>
      </w:r>
      <w:r>
        <w:rPr>
          <w:rFonts w:ascii="Arial" w:cs="Arial" w:eastAsia="Arial" w:hAnsi="Arial"/>
          <w:sz w:val="16"/>
          <w:szCs w:val="16"/>
          <w:color w:val="auto"/>
        </w:rPr>
        <w:t xml:space="preserve"> Any capitalized but undefined term used in this Section 4.11 shall have the meaning ascribed to such term in the Purchase Agreement. Notwithstanding anything to the contrary herein, no Electing Investor shall be entitled to receive, and the Corporation shall not deliver to the Electing Investor, shares of Class A Common Stock upon conversion of the Series C Preferred Stock to the extent (but only to the extent) that, after such receipt, such converting Electing Investor would beneficially own shares of Class A Common Stock in excess of the Limitation (such shares above the Limitation, the “</w:t>
      </w:r>
      <w:r>
        <w:rPr>
          <w:rFonts w:ascii="Arial" w:cs="Arial" w:eastAsia="Arial" w:hAnsi="Arial"/>
          <w:sz w:val="16"/>
          <w:szCs w:val="16"/>
          <w:b w:val="1"/>
          <w:bCs w:val="1"/>
          <w:color w:val="auto"/>
        </w:rPr>
        <w:t>Excess Securities</w:t>
      </w:r>
      <w:r>
        <w:rPr>
          <w:rFonts w:ascii="Arial" w:cs="Arial" w:eastAsia="Arial" w:hAnsi="Arial"/>
          <w:sz w:val="16"/>
          <w:szCs w:val="16"/>
          <w:color w:val="auto"/>
        </w:rPr>
        <w:t xml:space="preserve">”), and in lieu of the Excess Securities, the Corporation shall deliver to the Electing Investor the number of shares of Class B Common Stock equal to the number of the Excess Securities in book-entry form. Any conversion notice provided by a converting Electing Investor under Section 4.3 shall constitute the converting Electing Investor’s acknowledgement and confirmation that (i) after the acquisition of the shares of Class A Common Stock sought in the conversion, such Electing Investor will not be in the aggregate, directly or indirectly, the beneficial owner of more shares of Class A Common Stock than permitted by the Limitation and (ii) any Excess Securities to which the Electing Holder would otherwise be entitled will be satisfied solely by the delivery of Class B Common Stock equal to the number of such Excess Securities. Any purported delivery of shares of Class A Common Stock upon conversion of Series C Preferred Stock shall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shall have no effect to the extent (but only to the extent) that such delivery would result in the converting Electing Investor becoming in the aggregate, directly or indirectly, the beneficial owner of more shares of Class A Common Stock than permitted by the Limitation, it being understood that the Corporation shall only deliver shares of Class B Common Stock to the Electing Investor on account of any Excess Securities. Within two (2) business days of any request by a holder of Series C Preferred Stock, the Corporation shall inform such holder in writing of the then current number of outstanding shares of Class A Common Stock and Class B Common Stock.</w:t>
      </w:r>
    </w:p>
    <w:p>
      <w:pPr>
        <w:spacing w:after="0" w:line="17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Special Series C Preferred Stock Conversion Price Adjustment.</w:t>
      </w:r>
    </w:p>
    <w:p>
      <w:pPr>
        <w:spacing w:after="0" w:line="221" w:lineRule="exact"/>
        <w:rPr>
          <w:sz w:val="20"/>
          <w:szCs w:val="20"/>
          <w:color w:val="auto"/>
        </w:rPr>
      </w:pPr>
    </w:p>
    <w:p>
      <w:pPr>
        <w:jc w:val="both"/>
        <w:ind w:right="60" w:firstLine="1964"/>
        <w:spacing w:after="0" w:line="259" w:lineRule="auto"/>
        <w:rPr>
          <w:sz w:val="20"/>
          <w:szCs w:val="20"/>
          <w:color w:val="auto"/>
        </w:rPr>
      </w:pPr>
      <w:r>
        <w:rPr>
          <w:rFonts w:ascii="Arial" w:cs="Arial" w:eastAsia="Arial" w:hAnsi="Arial"/>
          <w:sz w:val="18"/>
          <w:szCs w:val="18"/>
          <w:color w:val="auto"/>
        </w:rPr>
        <w:t>4.12.1 Upon the occurrence of the Primary Adjustment Trigger (as defined in the Investors’ Rights Agreement (as defined in the Purchase Agreement)), the Preferred Stock Conversion Price for the Series C Preferred Stock in effect immediately prior to the Primary Adjustment Trigger shall be reduced to $0.4739.</w:t>
      </w:r>
    </w:p>
    <w:p>
      <w:pPr>
        <w:spacing w:after="0" w:line="186" w:lineRule="exact"/>
        <w:rPr>
          <w:sz w:val="20"/>
          <w:szCs w:val="20"/>
          <w:color w:val="auto"/>
        </w:rPr>
      </w:pPr>
    </w:p>
    <w:p>
      <w:pPr>
        <w:ind w:right="180" w:firstLine="1964"/>
        <w:spacing w:after="0" w:line="259" w:lineRule="auto"/>
        <w:rPr>
          <w:sz w:val="20"/>
          <w:szCs w:val="20"/>
          <w:color w:val="auto"/>
        </w:rPr>
      </w:pPr>
      <w:r>
        <w:rPr>
          <w:rFonts w:ascii="Arial" w:cs="Arial" w:eastAsia="Arial" w:hAnsi="Arial"/>
          <w:sz w:val="18"/>
          <w:szCs w:val="18"/>
          <w:color w:val="auto"/>
        </w:rPr>
        <w:t>4.12.2 Upon the occurrence of the Secondary Adjustment Trigger (as defined in the Investors’ Rights Agreement), the Preferred Stock Conversion Price for the Series C Preferred Stock in effect immediately prior to the Secondary Adjustment Trigger shall be reduced to $0.4631.</w:t>
      </w:r>
    </w:p>
    <w:p>
      <w:pPr>
        <w:spacing w:after="0" w:line="186" w:lineRule="exact"/>
        <w:rPr>
          <w:sz w:val="20"/>
          <w:szCs w:val="20"/>
          <w:color w:val="auto"/>
        </w:rPr>
      </w:pPr>
    </w:p>
    <w:p>
      <w:pPr>
        <w:ind w:left="1160" w:hanging="170"/>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221" w:lineRule="exact"/>
        <w:rPr>
          <w:sz w:val="20"/>
          <w:szCs w:val="20"/>
          <w:color w:val="auto"/>
        </w:rPr>
      </w:pPr>
    </w:p>
    <w:p>
      <w:pPr>
        <w:ind w:firstLine="1419"/>
        <w:spacing w:after="0" w:line="26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Trigger Events.</w:t>
      </w:r>
      <w:r>
        <w:rPr>
          <w:rFonts w:ascii="Arial" w:cs="Arial" w:eastAsia="Arial" w:hAnsi="Arial"/>
          <w:sz w:val="17"/>
          <w:szCs w:val="17"/>
          <w:color w:val="auto"/>
        </w:rPr>
        <w:t xml:space="preserve"> Upon either (a) the closing of the first sale of shares of Common Stock to the public, at a price per share equal to at least $1.7754 (subject to appropriate adjustment in the event of any stock dividend, stock split, combination or other similar recapitalization with respect to the Common Stock), in a firm-commitment underwritten public offering, resulting in at least $50,000,000 of gross proceeds to the Corporation and in connection with such offering the Common Stock is listed for trading on the Nasdaq Stock Market’s National Market, the New York Stock Exchange or another exchange of equal stature, including, without limitation, the Alternative Investment Market of the London Stock Exchange, or such other exchange or marketplace approved by the Board of Directors, including a majority of the Preferred Directors (a “</w:t>
      </w:r>
      <w:r>
        <w:rPr>
          <w:rFonts w:ascii="Arial" w:cs="Arial" w:eastAsia="Arial" w:hAnsi="Arial"/>
          <w:sz w:val="17"/>
          <w:szCs w:val="17"/>
          <w:b w:val="1"/>
          <w:bCs w:val="1"/>
          <w:color w:val="auto"/>
        </w:rPr>
        <w:t>Qualified IPO</w:t>
      </w:r>
      <w:r>
        <w:rPr>
          <w:rFonts w:ascii="Arial" w:cs="Arial" w:eastAsia="Arial" w:hAnsi="Arial"/>
          <w:sz w:val="17"/>
          <w:szCs w:val="17"/>
          <w:color w:val="auto"/>
        </w:rPr>
        <w:t>”), or (b) the date and time, or the occurrence of an event, specified by vote or written consent of the Requisite Holders (the time of such closing or the date and time specified or the time of the event specified in such vote or written consent is referred to herein as the “</w:t>
      </w:r>
      <w:r>
        <w:rPr>
          <w:rFonts w:ascii="Arial" w:cs="Arial" w:eastAsia="Arial" w:hAnsi="Arial"/>
          <w:sz w:val="17"/>
          <w:szCs w:val="17"/>
          <w:b w:val="1"/>
          <w:bCs w:val="1"/>
          <w:color w:val="auto"/>
        </w:rPr>
        <w:t>Mandatory Conversion Time</w:t>
      </w:r>
      <w:r>
        <w:rPr>
          <w:rFonts w:ascii="Arial" w:cs="Arial" w:eastAsia="Arial" w:hAnsi="Arial"/>
          <w:sz w:val="17"/>
          <w:szCs w:val="17"/>
          <w:color w:val="auto"/>
        </w:rPr>
        <w:t>”), then (i) all outstanding shares of Preferred Stock shall automatically be converted into shares of Class A Common Stock (except to the extent provided in Subsection 5.3), at the then effective conversion rate as calculated pursuant to Subsection 4.1 and (ii) such shares of Preferred Stock may not be reissued by the Corporation.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80" w:top="272" w:right="499" w:bottom="1440" w:gutter="0" w:footer="0" w:header="0"/>
        </w:sectPr>
      </w:pPr>
    </w:p>
    <w:bookmarkStart w:id="287" w:name="page288"/>
    <w:bookmarkEnd w:id="287"/>
    <w:p>
      <w:pPr>
        <w:ind w:firstLine="1419"/>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shall be sent written notice of the Mandatory Conversion Time and the place designated for mandatory conversion of all such shares of Preferred Stock pursuant to this Section 5.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Subsection 5.1,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Subsection 5.2.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Subsection 4.2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72" w:lineRule="exact"/>
        <w:rPr>
          <w:sz w:val="20"/>
          <w:szCs w:val="20"/>
          <w:color w:val="auto"/>
        </w:rPr>
      </w:pPr>
    </w:p>
    <w:p>
      <w:pPr>
        <w:ind w:firstLine="1419"/>
        <w:spacing w:after="0" w:line="28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xml:space="preserve"> Notwithstanding anything to the contrary herein, in connection with any mandatory conversion pursuant to this Section 5, no Electing Investor shall be entitled to receive, and the Corporation shall not deliver to the Electing Investor, any shares of Class A Common Stock to the extent (but only to the extent) that the Electing Investor would beneficially own any Excess Securities, and in lieu of the Excess Securities, the Corporation shall deliver to the Electing Investor the number of shares of Class B Common Stock equal to the number of the Excess Securities in book-entry form. Any purported delivery of shares of Class A Common Stock upon conversion of Series C Preferred Stock shall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shall have no effect to the extent (but only to the extent) that, after such delivery, the converting Electing Investor would be in the aggregate, directly or indirectly, the beneficial owner of more shares of Class A Common Stock than permitted by the Limitation, it being understood that the Corporation shall only deliver shares of Class B Common Stock to the Electing Investor on account of any Excess Securities. Within two</w:t>
      </w:r>
    </w:p>
    <w:p>
      <w:pPr>
        <w:spacing w:after="0" w:line="1" w:lineRule="exact"/>
        <w:rPr>
          <w:sz w:val="20"/>
          <w:szCs w:val="20"/>
          <w:color w:val="auto"/>
        </w:rPr>
      </w:pPr>
    </w:p>
    <w:p>
      <w:pPr>
        <w:ind w:right="100" w:firstLine="7"/>
        <w:spacing w:after="0" w:line="256" w:lineRule="auto"/>
        <w:tabs>
          <w:tab w:leader="none" w:pos="25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business days of any request by a holder of Series C Preferred Stock, the Corporation shall inform such holder in writing of the then current number of outstanding shares of Class A Common Stock and Class B Common Stock.</w:t>
      </w:r>
    </w:p>
    <w:p>
      <w:pPr>
        <w:spacing w:after="0" w:line="187" w:lineRule="exact"/>
        <w:rPr>
          <w:rFonts w:ascii="Arial" w:cs="Arial" w:eastAsia="Arial" w:hAnsi="Arial"/>
          <w:sz w:val="18"/>
          <w:szCs w:val="18"/>
          <w:color w:val="auto"/>
        </w:rPr>
      </w:pPr>
    </w:p>
    <w:p>
      <w:pPr>
        <w:ind w:right="160" w:firstLine="990"/>
        <w:spacing w:after="0" w:line="281" w:lineRule="auto"/>
        <w:tabs>
          <w:tab w:leader="none" w:pos="1160" w:val="left"/>
        </w:tabs>
        <w:numPr>
          <w:ilvl w:val="1"/>
          <w:numId w:val="199"/>
        </w:numPr>
        <w:rPr>
          <w:rFonts w:ascii="Arial" w:cs="Arial" w:eastAsia="Arial" w:hAnsi="Arial"/>
          <w:sz w:val="17"/>
          <w:szCs w:val="17"/>
          <w:color w:val="auto"/>
        </w:rPr>
      </w:pPr>
      <w:r>
        <w:rPr>
          <w:rFonts w:ascii="Arial" w:cs="Arial" w:eastAsia="Arial" w:hAnsi="Arial"/>
          <w:sz w:val="17"/>
          <w:szCs w:val="17"/>
          <w:u w:val="single" w:color="auto"/>
          <w:color w:val="auto"/>
        </w:rPr>
        <w:t>Redeemed or Otherwise Acquired Shares</w:t>
      </w:r>
      <w:r>
        <w:rPr>
          <w:rFonts w:ascii="Arial" w:cs="Arial" w:eastAsia="Arial" w:hAnsi="Arial"/>
          <w:sz w:val="17"/>
          <w:szCs w:val="17"/>
          <w:color w:val="auto"/>
        </w:rPr>
        <w:t>. Any shares of Preferred Stock that are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80" w:top="272" w:right="499" w:bottom="1440" w:gutter="0" w:footer="0" w:header="0"/>
        </w:sectPr>
      </w:pPr>
    </w:p>
    <w:bookmarkStart w:id="288" w:name="page289"/>
    <w:bookmarkEnd w:id="288"/>
    <w:p>
      <w:pPr>
        <w:ind w:firstLine="990"/>
        <w:spacing w:after="0" w:line="281" w:lineRule="auto"/>
        <w:tabs>
          <w:tab w:leader="none" w:pos="1160"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Waiver</w:t>
      </w:r>
      <w:r>
        <w:rPr>
          <w:rFonts w:ascii="Arial" w:cs="Arial" w:eastAsia="Arial" w:hAnsi="Arial"/>
          <w:sz w:val="16"/>
          <w:szCs w:val="16"/>
          <w:color w:val="auto"/>
        </w:rPr>
        <w:t xml:space="preserve">. Except as otherwise set forth in this Restated Certificate, any of the rights, powers, preferences and other terms of the Series C Preferred Stock, Series B Preferred Stock, Series A Preferred Stock, Series Seed Preferred Stock or Series Seed-1 Preferred Stock set forth herein may be waived on behalf of all holders of such series of Preferred Stock by the affirmative written consent or vote of the holders of a majority of the shares of such series of Preferred Stock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majority holders must include at least three of Abingworth, Fidelity, Longitude and Sofinnova with respect to the Series C Preferred Stock. Any provision in this Restated Certificate (i) related to the limitation on the conversion of an Electing Investor’s Series C Preferred Stock into shares of Class A Common Stock and the issuance of Class B Common Stock in lieu thereof,</w:t>
      </w:r>
    </w:p>
    <w:p>
      <w:pPr>
        <w:spacing w:after="0" w:line="4" w:lineRule="exact"/>
        <w:rPr>
          <w:rFonts w:ascii="Arial" w:cs="Arial" w:eastAsia="Arial" w:hAnsi="Arial"/>
          <w:sz w:val="16"/>
          <w:szCs w:val="16"/>
          <w:color w:val="auto"/>
        </w:rPr>
      </w:pPr>
    </w:p>
    <w:p>
      <w:pPr>
        <w:ind w:right="40" w:firstLine="7"/>
        <w:spacing w:after="0" w:line="249" w:lineRule="auto"/>
        <w:tabs>
          <w:tab w:leader="none" w:pos="26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related to the conversion of Class B Common Stock into Class A Common Stock (including the limitation on any such conversion), or (iii) related to the limitation on the issuance to an Electing Investor of a class of voting capital stock of any successor or parent corporation that is subject to the periodic reporting requirements of Section 12(g) or 15(d) of the Exchange Act in connection with a Deemed Liquidation Event and the issuance of such other corporation’s non-voting securities in lieu thereof, in each case in accordance with this Restated Certificate, may not be amended, modified or waived without the consent of (x) each Electing Investor for so long as such Electing Investor either owns Class B Common Stock or Preferred Stock and (y) each other holder of Class B Common Stock.</w:t>
      </w:r>
    </w:p>
    <w:p>
      <w:pPr>
        <w:spacing w:after="0" w:line="196" w:lineRule="exact"/>
        <w:rPr>
          <w:rFonts w:ascii="Arial" w:cs="Arial" w:eastAsia="Arial" w:hAnsi="Arial"/>
          <w:sz w:val="18"/>
          <w:szCs w:val="18"/>
          <w:color w:val="auto"/>
        </w:rPr>
      </w:pPr>
    </w:p>
    <w:p>
      <w:pPr>
        <w:ind w:right="260" w:firstLine="990"/>
        <w:spacing w:after="0" w:line="307" w:lineRule="auto"/>
        <w:tabs>
          <w:tab w:leader="none" w:pos="1160"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6" w:lineRule="exact"/>
        <w:rPr>
          <w:sz w:val="20"/>
          <w:szCs w:val="20"/>
          <w:color w:val="auto"/>
        </w:rPr>
      </w:pPr>
    </w:p>
    <w:p>
      <w:pPr>
        <w:ind w:firstLine="436"/>
        <w:spacing w:after="0" w:line="340" w:lineRule="auto"/>
        <w:rPr>
          <w:sz w:val="20"/>
          <w:szCs w:val="20"/>
          <w:color w:val="auto"/>
        </w:rPr>
      </w:pPr>
      <w:r>
        <w:rPr>
          <w:rFonts w:ascii="Arial" w:cs="Arial" w:eastAsia="Arial" w:hAnsi="Arial"/>
          <w:sz w:val="16"/>
          <w:szCs w:val="16"/>
          <w:b w:val="1"/>
          <w:bCs w:val="1"/>
          <w:color w:val="auto"/>
        </w:rPr>
        <w:t>FIFTH</w:t>
      </w:r>
      <w:r>
        <w:rPr>
          <w:rFonts w:ascii="Arial" w:cs="Arial" w:eastAsia="Arial" w:hAnsi="Arial"/>
          <w:sz w:val="16"/>
          <w:szCs w:val="16"/>
          <w:color w:val="auto"/>
        </w:rPr>
        <w:t>: Subject to any additional vote required by this Restated Certificate or Bylaws, in furtherance and not in limitation of the powers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by statute, the Board of Directors is expressly authorized to make, repeal, alter, amend and rescind any or all of the Bylaws of the Corporation.</w:t>
      </w:r>
    </w:p>
    <w:p>
      <w:pPr>
        <w:spacing w:after="0" w:line="121" w:lineRule="exact"/>
        <w:rPr>
          <w:sz w:val="20"/>
          <w:szCs w:val="20"/>
          <w:color w:val="auto"/>
        </w:rPr>
      </w:pPr>
    </w:p>
    <w:p>
      <w:pPr>
        <w:ind w:right="60" w:firstLine="436"/>
        <w:spacing w:after="0" w:line="275" w:lineRule="auto"/>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 Subject to any additional vote required by this Restated Certificate, the number of directors of the Corporation shall be determined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manner set forth in the Bylaws of the Corporation.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SEVENTH</w:t>
      </w:r>
      <w:r>
        <w:rPr>
          <w:rFonts w:ascii="Arial" w:cs="Arial" w:eastAsia="Arial" w:hAnsi="Arial"/>
          <w:sz w:val="18"/>
          <w:szCs w:val="18"/>
          <w:color w:val="auto"/>
        </w:rPr>
        <w:t>: Elections of directors need not be by written ballot unless the Bylaws of the Corporation shall so provide.</w:t>
      </w:r>
    </w:p>
    <w:p>
      <w:pPr>
        <w:spacing w:after="0" w:line="221" w:lineRule="exact"/>
        <w:rPr>
          <w:sz w:val="20"/>
          <w:szCs w:val="20"/>
          <w:color w:val="auto"/>
        </w:rPr>
      </w:pPr>
    </w:p>
    <w:p>
      <w:pPr>
        <w:jc w:val="both"/>
        <w:ind w:right="300" w:firstLine="436"/>
        <w:spacing w:after="0" w:line="261" w:lineRule="auto"/>
        <w:rPr>
          <w:sz w:val="20"/>
          <w:szCs w:val="20"/>
          <w:color w:val="auto"/>
        </w:rPr>
      </w:pPr>
      <w:r>
        <w:rPr>
          <w:rFonts w:ascii="Arial" w:cs="Arial" w:eastAsia="Arial" w:hAnsi="Arial"/>
          <w:sz w:val="18"/>
          <w:szCs w:val="18"/>
          <w:b w:val="1"/>
          <w:bCs w:val="1"/>
          <w:color w:val="auto"/>
        </w:rPr>
        <w:t>EIGHTH</w:t>
      </w:r>
      <w:r>
        <w:rPr>
          <w:rFonts w:ascii="Arial" w:cs="Arial" w:eastAsia="Arial" w:hAnsi="Arial"/>
          <w:sz w:val="18"/>
          <w:szCs w:val="18"/>
          <w:color w:val="auto"/>
        </w:rPr>
        <w:t>: Meetings of stockholders may be held within or without the State of Delaware, as the Bylaws of the Corporation may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the Corporation may be kept outside the State of Delaware at such place or places as may be designated from time to time by the Board of Directors or in the Bylaws of the Corporation.</w:t>
      </w:r>
    </w:p>
    <w:p>
      <w:pPr>
        <w:spacing w:after="0" w:line="181" w:lineRule="exact"/>
        <w:rPr>
          <w:sz w:val="20"/>
          <w:szCs w:val="20"/>
          <w:color w:val="auto"/>
        </w:rPr>
      </w:pPr>
    </w:p>
    <w:p>
      <w:pPr>
        <w:ind w:right="140" w:firstLine="436"/>
        <w:spacing w:after="0" w:line="269" w:lineRule="auto"/>
        <w:rPr>
          <w:sz w:val="20"/>
          <w:szCs w:val="20"/>
          <w:color w:val="auto"/>
        </w:rPr>
      </w:pPr>
      <w:r>
        <w:rPr>
          <w:rFonts w:ascii="Arial" w:cs="Arial" w:eastAsia="Arial" w:hAnsi="Arial"/>
          <w:sz w:val="17"/>
          <w:szCs w:val="17"/>
          <w:b w:val="1"/>
          <w:bCs w:val="1"/>
          <w:color w:val="auto"/>
        </w:rPr>
        <w:t>NINTH</w:t>
      </w:r>
      <w:r>
        <w:rPr>
          <w:rFonts w:ascii="Arial" w:cs="Arial" w:eastAsia="Arial" w:hAnsi="Arial"/>
          <w:sz w:val="17"/>
          <w:szCs w:val="17"/>
          <w:color w:val="auto"/>
        </w:rPr>
        <w:t>: To the fullest extent permitted by law, a director of the Corporation shall not be personally liable to the Corporation or its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 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480" w:top="272" w:right="519" w:bottom="1440" w:gutter="0" w:footer="0" w:header="0"/>
        </w:sectPr>
      </w:pPr>
    </w:p>
    <w:bookmarkStart w:id="289" w:name="page290"/>
    <w:bookmarkEnd w:id="289"/>
    <w:p>
      <w:pPr>
        <w:ind w:right="320" w:firstLine="436"/>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TENTH</w:t>
      </w:r>
      <w:r>
        <w:rPr>
          <w:rFonts w:ascii="Arial" w:cs="Arial" w:eastAsia="Arial" w:hAnsi="Arial"/>
          <w:sz w:val="16"/>
          <w:szCs w:val="16"/>
          <w:color w:val="auto"/>
        </w:rPr>
        <w:t>: To the fullest extent permitted by applicable law, the Corporation is authorized to provide indemnification of (and advancement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 Any amendment, repeal or modification of the foregoing provisions of this Article Tenth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spacing w:after="0" w:line="161" w:lineRule="exact"/>
        <w:rPr>
          <w:sz w:val="20"/>
          <w:szCs w:val="20"/>
          <w:color w:val="auto"/>
        </w:rPr>
      </w:pPr>
    </w:p>
    <w:p>
      <w:pPr>
        <w:ind w:right="40" w:firstLine="436"/>
        <w:spacing w:after="0" w:line="283" w:lineRule="auto"/>
        <w:rPr>
          <w:sz w:val="20"/>
          <w:szCs w:val="20"/>
          <w:color w:val="auto"/>
        </w:rPr>
      </w:pPr>
      <w:r>
        <w:rPr>
          <w:rFonts w:ascii="Arial" w:cs="Arial" w:eastAsia="Arial" w:hAnsi="Arial"/>
          <w:sz w:val="16"/>
          <w:szCs w:val="16"/>
          <w:b w:val="1"/>
          <w:bCs w:val="1"/>
          <w:color w:val="auto"/>
        </w:rPr>
        <w:t>ELEVENTH</w:t>
      </w:r>
      <w:r>
        <w:rPr>
          <w:rFonts w:ascii="Arial" w:cs="Arial" w:eastAsia="Arial" w:hAnsi="Arial"/>
          <w:sz w:val="16"/>
          <w:szCs w:val="16"/>
          <w:color w:val="auto"/>
        </w:rPr>
        <w:t>: The Corporation renounces, to the fullest extent permitted by law, any interest or expectancy of the Corporation in, or in being</w:t>
      </w:r>
      <w:r>
        <w:rPr>
          <w:rFonts w:ascii="Arial" w:cs="Arial" w:eastAsia="Arial" w:hAnsi="Arial"/>
          <w:sz w:val="16"/>
          <w:szCs w:val="16"/>
          <w:b w:val="1"/>
          <w:bCs w:val="1"/>
          <w:color w:val="auto"/>
        </w:rPr>
        <w:t xml:space="preserve"> </w:t>
      </w:r>
      <w:r>
        <w:rPr>
          <w:rFonts w:ascii="Arial" w:cs="Arial" w:eastAsia="Arial" w:hAnsi="Arial"/>
          <w:sz w:val="16"/>
          <w:szCs w:val="16"/>
          <w:color w:val="auto"/>
        </w:rPr>
        <w:t>offered an opportunity to participate in, any Excluded Opportunity. An “</w:t>
      </w:r>
      <w:r>
        <w:rPr>
          <w:rFonts w:ascii="Arial" w:cs="Arial" w:eastAsia="Arial" w:hAnsi="Arial"/>
          <w:sz w:val="16"/>
          <w:szCs w:val="16"/>
          <w:b w:val="1"/>
          <w:bCs w:val="1"/>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the persons referred to in clauses</w:t>
      </w:r>
    </w:p>
    <w:p>
      <w:pPr>
        <w:spacing w:after="0" w:line="2" w:lineRule="exact"/>
        <w:rPr>
          <w:sz w:val="20"/>
          <w:szCs w:val="20"/>
          <w:color w:val="auto"/>
        </w:rPr>
      </w:pPr>
    </w:p>
    <w:p>
      <w:pPr>
        <w:ind w:right="120" w:firstLine="7"/>
        <w:spacing w:after="0" w:line="249" w:lineRule="auto"/>
        <w:tabs>
          <w:tab w:leader="none" w:pos="21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and (ii) are “</w:t>
      </w:r>
      <w:r>
        <w:rPr>
          <w:rFonts w:ascii="Arial" w:cs="Arial" w:eastAsia="Arial" w:hAnsi="Arial"/>
          <w:sz w:val="18"/>
          <w:szCs w:val="18"/>
          <w:b w:val="1"/>
          <w:bCs w:val="1"/>
          <w:color w:val="auto"/>
        </w:rPr>
        <w:t>Covered Persons</w:t>
      </w:r>
      <w:r>
        <w:rPr>
          <w:rFonts w:ascii="Arial" w:cs="Arial" w:eastAsia="Arial" w:hAnsi="Arial"/>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Restated Certificate, the affirmative vote of the Requisite Holders will be required to amend or repeal, or to adopt any provisions inconsistent with this Article Eleventh.</w:t>
      </w:r>
    </w:p>
    <w:p>
      <w:pPr>
        <w:spacing w:after="0" w:line="193" w:lineRule="exact"/>
        <w:rPr>
          <w:sz w:val="20"/>
          <w:szCs w:val="20"/>
          <w:color w:val="auto"/>
        </w:rPr>
      </w:pPr>
    </w:p>
    <w:p>
      <w:pPr>
        <w:ind w:firstLine="436"/>
        <w:spacing w:after="0" w:line="282" w:lineRule="auto"/>
        <w:rPr>
          <w:sz w:val="20"/>
          <w:szCs w:val="20"/>
          <w:color w:val="auto"/>
        </w:rPr>
      </w:pPr>
      <w:r>
        <w:rPr>
          <w:rFonts w:ascii="Arial" w:cs="Arial" w:eastAsia="Arial" w:hAnsi="Arial"/>
          <w:sz w:val="16"/>
          <w:szCs w:val="16"/>
          <w:b w:val="1"/>
          <w:bCs w:val="1"/>
          <w:color w:val="auto"/>
        </w:rPr>
        <w:t>TWELFTH</w:t>
      </w:r>
      <w:r>
        <w:rPr>
          <w:rFonts w:ascii="Arial" w:cs="Arial" w:eastAsia="Arial" w:hAnsi="Arial"/>
          <w:sz w:val="16"/>
          <w:szCs w:val="16"/>
          <w:color w:val="auto"/>
        </w:rPr>
        <w:t>: Unless the Corporation consents in writing to the selection of an alternative forum, the Court of Chancery in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w:t>
      </w:r>
    </w:p>
    <w:p>
      <w:pPr>
        <w:spacing w:after="0" w:line="4" w:lineRule="exact"/>
        <w:rPr>
          <w:sz w:val="20"/>
          <w:szCs w:val="20"/>
          <w:color w:val="auto"/>
        </w:rPr>
      </w:pPr>
    </w:p>
    <w:p>
      <w:pPr>
        <w:ind w:right="100" w:firstLine="7"/>
        <w:spacing w:after="0" w:line="265" w:lineRule="auto"/>
        <w:tabs>
          <w:tab w:leader="none" w:pos="213"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80" w:top="269" w:right="499" w:bottom="1440" w:gutter="0" w:footer="0" w:header="0"/>
        </w:sectPr>
      </w:pPr>
    </w:p>
    <w:bookmarkStart w:id="290" w:name="page291"/>
    <w:bookmarkEnd w:id="290"/>
    <w:p>
      <w:pPr>
        <w:ind w:firstLine="436"/>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THIRTEENTH</w:t>
      </w:r>
      <w:r>
        <w:rPr>
          <w:rFonts w:ascii="Arial" w:cs="Arial" w:eastAsia="Arial" w:hAnsi="Arial"/>
          <w:sz w:val="16"/>
          <w:szCs w:val="16"/>
          <w:color w:val="auto"/>
        </w:rPr>
        <w:t>: For purposes of Section 500 of the California Corporations Code (to the extent applicable), in connection with any repurchase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permitted under this Restated Certificate from employees, officers, directors or consultants of the Corporation in connection with a termination of employment or services pursuant to agreements or arrangements approved by the Board (in addition to any other consent required under this Restated Certificate), such repurchase may be made without regard to any “preferential dividends arrears amount” or “preferential rights amount” (as those terms are defined in Section 500 of the California Corporations Code). Accordingly, for purposes of making any calculation under California Corporations Code Section 500 in connection with such repurchase, the amount of any “preferential dividends arrears amount” or “preferential rights amount” (as those terms are defined therein) shall be deemed to be zero.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ind w:right="240" w:firstLine="444"/>
        <w:spacing w:after="0" w:line="271" w:lineRule="auto"/>
        <w:tabs>
          <w:tab w:leader="none" w:pos="614"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The foregoing amendment and restatement was approved by Board of Directors of the corporation and the holders of the requisite number of shares of this Corporation in accordance with Section 228 of the General Corporation Law.</w:t>
      </w:r>
    </w:p>
    <w:p>
      <w:pPr>
        <w:spacing w:after="0" w:line="174" w:lineRule="exact"/>
        <w:rPr>
          <w:rFonts w:ascii="Arial" w:cs="Arial" w:eastAsia="Arial" w:hAnsi="Arial"/>
          <w:sz w:val="18"/>
          <w:szCs w:val="18"/>
          <w:b w:val="1"/>
          <w:bCs w:val="1"/>
          <w:color w:val="auto"/>
        </w:rPr>
      </w:pPr>
    </w:p>
    <w:p>
      <w:pPr>
        <w:ind w:right="60" w:firstLine="444"/>
        <w:spacing w:after="0" w:line="259" w:lineRule="auto"/>
        <w:tabs>
          <w:tab w:leader="none" w:pos="614"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This Fourth Amended and Restated Certificate of Incorporation, which restates and integrates and further amends the provisions of this Corporation’s Third Amended and Restated Certificate of Incorporation, has been duly adopted in accordance with Sections 242 and 245 of the General Corporation Law.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480" w:top="268" w:right="519" w:bottom="1440" w:gutter="0" w:footer="0" w:header="0"/>
        </w:sectPr>
      </w:pPr>
    </w:p>
    <w:bookmarkStart w:id="291" w:name="page292"/>
    <w:bookmarkEnd w:id="29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This Fourth Amended and Restated Certificate of Incorporation has been executed by a duly authorized officer of this Corporation on October 27,</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Marshall Fordyce</w:t>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Marshall Fordyce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-130175</wp:posOffset>
            </wp:positionV>
            <wp:extent cx="257302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5">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ind w:left="6920"/>
        <w:spacing w:after="0"/>
        <w:rPr>
          <w:sz w:val="20"/>
          <w:szCs w:val="20"/>
          <w:color w:val="auto"/>
        </w:rPr>
      </w:pPr>
      <w:r>
        <w:rPr>
          <w:rFonts w:ascii="Arial" w:cs="Arial" w:eastAsia="Arial" w:hAnsi="Arial"/>
          <w:sz w:val="18"/>
          <w:szCs w:val="18"/>
          <w:color w:val="auto"/>
        </w:rPr>
        <w:t>Chief Executive Officer</w:t>
      </w:r>
    </w:p>
    <w:p>
      <w:pPr>
        <w:spacing w:after="0" w:line="141" w:lineRule="exact"/>
        <w:rPr>
          <w:sz w:val="20"/>
          <w:szCs w:val="20"/>
          <w:color w:val="auto"/>
        </w:rPr>
      </w:pPr>
    </w:p>
    <w:p>
      <w:pPr>
        <w:ind w:left="3360"/>
        <w:spacing w:after="0"/>
        <w:rPr>
          <w:sz w:val="20"/>
          <w:szCs w:val="20"/>
          <w:color w:val="auto"/>
        </w:rPr>
      </w:pPr>
      <w:r>
        <w:rPr>
          <w:rFonts w:ascii="Arial" w:cs="Arial" w:eastAsia="Arial" w:hAnsi="Arial"/>
          <w:sz w:val="18"/>
          <w:szCs w:val="18"/>
          <w:b w:val="1"/>
          <w:bCs w:val="1"/>
          <w:i w:val="1"/>
          <w:iCs w:val="1"/>
          <w:color w:val="auto"/>
        </w:rPr>
        <w:t>[Signature Page to 4</w:t>
      </w:r>
      <w:r>
        <w:rPr>
          <w:rFonts w:ascii="Arial" w:cs="Arial" w:eastAsia="Arial" w:hAnsi="Arial"/>
          <w:sz w:val="15"/>
          <w:szCs w:val="15"/>
          <w:b w:val="1"/>
          <w:bCs w:val="1"/>
          <w:i w:val="1"/>
          <w:iCs w:val="1"/>
          <w:color w:val="auto"/>
        </w:rPr>
        <w:t>th</w:t>
      </w:r>
      <w:r>
        <w:rPr>
          <w:rFonts w:ascii="Arial" w:cs="Arial" w:eastAsia="Arial" w:hAnsi="Arial"/>
          <w:sz w:val="18"/>
          <w:szCs w:val="18"/>
          <w:b w:val="1"/>
          <w:bCs w:val="1"/>
          <w:i w:val="1"/>
          <w:iCs w:val="1"/>
          <w:color w:val="auto"/>
        </w:rPr>
        <w:t xml:space="preserve"> A&amp;R Certificate of Incorporation]</w:t>
      </w:r>
    </w:p>
    <w:p>
      <w:pPr>
        <w:sectPr>
          <w:pgSz w:w="11900" w:h="16838" w:orient="portrait"/>
          <w:cols w:equalWidth="0" w:num="1">
            <w:col w:w="10860"/>
          </w:cols>
          <w:pgMar w:left="480" w:top="272" w:right="55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CERTIFICATE OF AMENDMENT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THERAPEUTICS, INC.</w:t>
      </w:r>
    </w:p>
    <w:p>
      <w:pPr>
        <w:spacing w:after="0" w:line="208"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Vera Therapeutics,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a corporation organized and existing under and by virtue of the provisions of the General Corporation Law of the State of Delaware (the “</w:t>
      </w:r>
      <w:r>
        <w:rPr>
          <w:rFonts w:ascii="Arial" w:cs="Arial" w:eastAsia="Arial" w:hAnsi="Arial"/>
          <w:sz w:val="18"/>
          <w:szCs w:val="18"/>
          <w:b w:val="1"/>
          <w:bCs w:val="1"/>
          <w:i w:val="1"/>
          <w:iCs w:val="1"/>
          <w:color w:val="auto"/>
        </w:rPr>
        <w:t>General Corporation Law</w:t>
      </w:r>
      <w:r>
        <w:rPr>
          <w:rFonts w:ascii="Arial" w:cs="Arial" w:eastAsia="Arial" w:hAnsi="Arial"/>
          <w:sz w:val="18"/>
          <w:szCs w:val="18"/>
          <w:color w:val="auto"/>
        </w:rPr>
        <w:t>”), does hereby certify as follows:</w:t>
      </w:r>
    </w:p>
    <w:p>
      <w:pPr>
        <w:spacing w:after="0" w:line="175" w:lineRule="exact"/>
        <w:rPr>
          <w:sz w:val="20"/>
          <w:szCs w:val="20"/>
          <w:color w:val="auto"/>
        </w:rPr>
      </w:pPr>
    </w:p>
    <w:p>
      <w:pPr>
        <w:ind w:right="820" w:firstLine="444"/>
        <w:spacing w:after="0" w:line="271" w:lineRule="auto"/>
        <w:tabs>
          <w:tab w:leader="none" w:pos="614"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The name of this corporation is Vera Therapeutics, Inc., and that this corporation was originally incorporated pursuant to the General Corporation Law of the State of Delaware on May 12, 2016 under the name CDF Therapeutics, Inc.</w:t>
      </w:r>
    </w:p>
    <w:p>
      <w:pPr>
        <w:spacing w:after="0" w:line="174" w:lineRule="exact"/>
        <w:rPr>
          <w:rFonts w:ascii="Arial" w:cs="Arial" w:eastAsia="Arial" w:hAnsi="Arial"/>
          <w:sz w:val="18"/>
          <w:szCs w:val="18"/>
          <w:b w:val="1"/>
          <w:bCs w:val="1"/>
          <w:color w:val="auto"/>
        </w:rPr>
      </w:pPr>
    </w:p>
    <w:p>
      <w:pPr>
        <w:ind w:right="180" w:firstLine="444"/>
        <w:spacing w:after="0" w:line="271" w:lineRule="auto"/>
        <w:tabs>
          <w:tab w:leader="none" w:pos="614"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A Fourth Amended and Restated Certificate of Incorporation of the Corporation was filed with the Secretary of State of the State of Delaware on October 27, 2020 (the “</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w:t>
      </w:r>
    </w:p>
    <w:p>
      <w:pPr>
        <w:spacing w:after="0" w:line="174" w:lineRule="exact"/>
        <w:rPr>
          <w:rFonts w:ascii="Arial" w:cs="Arial" w:eastAsia="Arial" w:hAnsi="Arial"/>
          <w:sz w:val="18"/>
          <w:szCs w:val="18"/>
          <w:b w:val="1"/>
          <w:bCs w:val="1"/>
          <w:color w:val="auto"/>
        </w:rPr>
      </w:pPr>
    </w:p>
    <w:p>
      <w:pPr>
        <w:ind w:left="620" w:hanging="176"/>
        <w:spacing w:after="0"/>
        <w:tabs>
          <w:tab w:leader="none" w:pos="620"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The Restated Certificate is hereby amended as follows:</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first paragraph of Article FOURTH of the Restated Certificate is hereby amended by adding the following at the end of such paragraph:</w:t>
      </w:r>
    </w:p>
    <w:p>
      <w:pPr>
        <w:spacing w:after="0" w:line="125" w:lineRule="exact"/>
        <w:rPr>
          <w:sz w:val="20"/>
          <w:szCs w:val="20"/>
          <w:color w:val="auto"/>
        </w:rPr>
      </w:pPr>
    </w:p>
    <w:p>
      <w:pPr>
        <w:ind w:left="440" w:right="20" w:firstLine="419"/>
        <w:spacing w:after="0" w:line="267" w:lineRule="auto"/>
        <w:rPr>
          <w:sz w:val="20"/>
          <w:szCs w:val="20"/>
          <w:color w:val="auto"/>
        </w:rPr>
      </w:pPr>
      <w:r>
        <w:rPr>
          <w:rFonts w:ascii="Arial" w:cs="Arial" w:eastAsia="Arial" w:hAnsi="Arial"/>
          <w:sz w:val="17"/>
          <w:szCs w:val="17"/>
          <w:color w:val="auto"/>
        </w:rPr>
        <w:t>“Effective at the time this Certificate of Amendment to this Restated Certificate is filed with and accepted by the Secretary of State of the State of Delaware, each 11.5869 shares of Class A Common Stock shall, automatically and without any action on the part of the Corporation or the respective holders thereof, be converted into one share of Class A Common Stock, without increasing or decreasing the par value of each share of Class A Common Stock (the “</w:t>
      </w:r>
      <w:r>
        <w:rPr>
          <w:rFonts w:ascii="Arial" w:cs="Arial" w:eastAsia="Arial" w:hAnsi="Arial"/>
          <w:sz w:val="17"/>
          <w:szCs w:val="17"/>
          <w:b w:val="1"/>
          <w:bCs w:val="1"/>
          <w:i w:val="1"/>
          <w:iCs w:val="1"/>
          <w:color w:val="auto"/>
        </w:rPr>
        <w:t>Reverse Split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Corporation shall issue no fractional shares of Class A Common Stock as a result of the Reverse Split, but shall instead pay to any stockholder who would be entitled to receive a fractional share as a result of the actions set forth herein a sum in cash equal to the fair market value of the shares constituting such fractional share as determined by the Board of Directors of the Corporation. The number of authorized shares of Class A Common Stock of the Corporation shall remain as set forth in this Restated Certificate. The Reverse Split shall occur whether or not the certificates representing such shares of Class A Common Stock are surrendered to the Corporation or its transfer agent. The Reverse Stock Split shall be effected on a certificate-by-certificate basis and each certificate share number will then be rounded down.”</w:t>
      </w:r>
    </w:p>
    <w:p>
      <w:pPr>
        <w:spacing w:after="0" w:line="179" w:lineRule="exact"/>
        <w:rPr>
          <w:sz w:val="20"/>
          <w:szCs w:val="20"/>
          <w:color w:val="auto"/>
        </w:rPr>
      </w:pPr>
    </w:p>
    <w:p>
      <w:pPr>
        <w:ind w:right="500" w:firstLine="444"/>
        <w:spacing w:after="0" w:line="271" w:lineRule="auto"/>
        <w:tabs>
          <w:tab w:leader="none" w:pos="614"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This Certificate of Amendment to the Restated Certificate has been duly approved by the Board of Directors of the Corporation, acting in accordance with the provisions of Sections 141 and 242 of the General Corporation Law.</w:t>
      </w:r>
    </w:p>
    <w:p>
      <w:pPr>
        <w:spacing w:after="0" w:line="174" w:lineRule="exact"/>
        <w:rPr>
          <w:rFonts w:ascii="Arial" w:cs="Arial" w:eastAsia="Arial" w:hAnsi="Arial"/>
          <w:sz w:val="18"/>
          <w:szCs w:val="18"/>
          <w:b w:val="1"/>
          <w:bCs w:val="1"/>
          <w:color w:val="auto"/>
        </w:rPr>
      </w:pPr>
    </w:p>
    <w:p>
      <w:pPr>
        <w:ind w:right="160" w:firstLine="444"/>
        <w:spacing w:after="0" w:line="307" w:lineRule="auto"/>
        <w:tabs>
          <w:tab w:leader="none" w:pos="614" w:val="left"/>
        </w:tabs>
        <w:numPr>
          <w:ilvl w:val="0"/>
          <w:numId w:val="206"/>
        </w:numPr>
        <w:rPr>
          <w:rFonts w:ascii="Arial" w:cs="Arial" w:eastAsia="Arial" w:hAnsi="Arial"/>
          <w:sz w:val="16"/>
          <w:szCs w:val="16"/>
          <w:b w:val="1"/>
          <w:bCs w:val="1"/>
          <w:color w:val="auto"/>
        </w:rPr>
      </w:pPr>
      <w:r>
        <w:rPr>
          <w:rFonts w:ascii="Arial" w:cs="Arial" w:eastAsia="Arial" w:hAnsi="Arial"/>
          <w:sz w:val="16"/>
          <w:szCs w:val="16"/>
          <w:color w:val="auto"/>
        </w:rPr>
        <w:t>This Certificate of Amendment to the Restated Certificate was approved by the holders of the requisite number of shares of the Corporation in accordance with Section 228 of the General Corporation Law. This Certificate of Amendment to the Restated Certificate has been duly adopted in accordance with the provisions of Sections 228 and 242 of the General Corporation Law by the stockholders of the Corporation.</w:t>
      </w:r>
    </w:p>
    <w:p>
      <w:pPr>
        <w:sectPr>
          <w:pgSz w:w="11900" w:h="16838" w:orient="portrait"/>
          <w:cols w:equalWidth="0" w:num="1">
            <w:col w:w="10920"/>
          </w:cols>
          <w:pgMar w:left="480" w:top="268" w:right="499" w:bottom="1440" w:gutter="0" w:footer="0" w:header="0"/>
        </w:sectPr>
      </w:pPr>
    </w:p>
    <w:bookmarkStart w:id="293" w:name="page294"/>
    <w:bookmarkEnd w:id="293"/>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Vera Therapeutics, Inc. has caused this Certificate of Amendment to Amended and Restated Certificate of Incorporation to be signed by its Chief Executive Officer on May 7, 2021.</w:t>
      </w:r>
    </w:p>
    <w:p>
      <w:pPr>
        <w:spacing w:after="0" w:line="19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VERA THERAPEUTICS, INC.</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Marshall Fordyce</w:t>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Marshall Fordyce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-130175</wp:posOffset>
            </wp:positionV>
            <wp:extent cx="25730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8">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ind w:left="69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800"/>
          </w:cols>
          <w:pgMar w:left="480" w:top="272" w:right="61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AMENDED AND RESTATED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THERAPEUTICS, INC.</w:t>
      </w:r>
    </w:p>
    <w:p>
      <w:pPr>
        <w:spacing w:after="0" w:line="208"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Vera Therapeutics, Inc., a corporation organized and existing under and by virtue of the General Corporation Law of the State of the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hereby certifies that:</w:t>
      </w:r>
    </w:p>
    <w:p>
      <w:pPr>
        <w:spacing w:after="0" w:line="171" w:lineRule="exact"/>
        <w:rPr>
          <w:sz w:val="20"/>
          <w:szCs w:val="20"/>
          <w:color w:val="auto"/>
        </w:rPr>
      </w:pPr>
    </w:p>
    <w:p>
      <w:pPr>
        <w:ind w:right="200" w:firstLine="436"/>
        <w:spacing w:after="0" w:line="306" w:lineRule="auto"/>
        <w:rPr>
          <w:sz w:val="20"/>
          <w:szCs w:val="20"/>
          <w:color w:val="auto"/>
        </w:rPr>
      </w:pPr>
      <w:r>
        <w:rPr>
          <w:rFonts w:ascii="Arial" w:cs="Arial" w:eastAsia="Arial" w:hAnsi="Arial"/>
          <w:sz w:val="17"/>
          <w:szCs w:val="17"/>
          <w:b w:val="1"/>
          <w:bCs w:val="1"/>
          <w:color w:val="auto"/>
        </w:rPr>
        <w:t xml:space="preserve">ONE: </w:t>
      </w:r>
      <w:r>
        <w:rPr>
          <w:rFonts w:ascii="Arial" w:cs="Arial" w:eastAsia="Arial" w:hAnsi="Arial"/>
          <w:sz w:val="17"/>
          <w:szCs w:val="17"/>
          <w:color w:val="auto"/>
        </w:rPr>
        <w:t>The name of this corporation is Vera Therapeutics, Inc. The original name of this corporation was CDF Therapeutics, Inc. and the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filing the original Certificate of Incorporation of this corporation with the Secretary of State of the State of Delaware was May 12, 2016.</w:t>
      </w:r>
    </w:p>
    <w:p>
      <w:pPr>
        <w:spacing w:after="0" w:line="143" w:lineRule="exact"/>
        <w:rPr>
          <w:sz w:val="20"/>
          <w:szCs w:val="20"/>
          <w:color w:val="auto"/>
        </w:rPr>
      </w:pPr>
    </w:p>
    <w:p>
      <w:pPr>
        <w:ind w:right="200" w:firstLine="436"/>
        <w:spacing w:after="0" w:line="261" w:lineRule="auto"/>
        <w:rPr>
          <w:sz w:val="20"/>
          <w:szCs w:val="20"/>
          <w:color w:val="auto"/>
        </w:rPr>
      </w:pPr>
      <w:r>
        <w:rPr>
          <w:rFonts w:ascii="Arial" w:cs="Arial" w:eastAsia="Arial" w:hAnsi="Arial"/>
          <w:sz w:val="18"/>
          <w:szCs w:val="18"/>
          <w:b w:val="1"/>
          <w:bCs w:val="1"/>
          <w:color w:val="auto"/>
        </w:rPr>
        <w:t xml:space="preserve">TWO: </w:t>
      </w:r>
      <w:r>
        <w:rPr>
          <w:rFonts w:ascii="Arial" w:cs="Arial" w:eastAsia="Arial" w:hAnsi="Arial"/>
          <w:sz w:val="18"/>
          <w:szCs w:val="18"/>
          <w:color w:val="auto"/>
        </w:rPr>
        <w:t>The Fifth Amended and Restated Certificate of Incorporation of this corporation, attached hereto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is incorporated herein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and restates, integrates and further amends the provisions of the Fourth Amended and Restated Certificate of Incorporation of this corporation, as previously amended or supplemented.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THREE: </w:t>
      </w:r>
      <w:r>
        <w:rPr>
          <w:rFonts w:ascii="Arial" w:cs="Arial" w:eastAsia="Arial" w:hAnsi="Arial"/>
          <w:sz w:val="17"/>
          <w:szCs w:val="17"/>
          <w:color w:val="auto"/>
        </w:rPr>
        <w:t>This Fifth Amended and Restated Certificate of Incorporation has been duly approved by the board of directors of this corporation.</w:t>
      </w:r>
    </w:p>
    <w:p>
      <w:pPr>
        <w:spacing w:after="0" w:line="232" w:lineRule="exact"/>
        <w:rPr>
          <w:sz w:val="20"/>
          <w:szCs w:val="20"/>
          <w:color w:val="auto"/>
        </w:rPr>
      </w:pPr>
    </w:p>
    <w:p>
      <w:pPr>
        <w:ind w:right="500" w:firstLine="436"/>
        <w:spacing w:after="0" w:line="275" w:lineRule="auto"/>
        <w:rPr>
          <w:sz w:val="20"/>
          <w:szCs w:val="20"/>
          <w:color w:val="auto"/>
        </w:rPr>
      </w:pPr>
      <w:r>
        <w:rPr>
          <w:rFonts w:ascii="Arial" w:cs="Arial" w:eastAsia="Arial" w:hAnsi="Arial"/>
          <w:sz w:val="18"/>
          <w:szCs w:val="18"/>
          <w:b w:val="1"/>
          <w:bCs w:val="1"/>
          <w:color w:val="auto"/>
        </w:rPr>
        <w:t xml:space="preserve">FOUR: </w:t>
      </w:r>
      <w:r>
        <w:rPr>
          <w:rFonts w:ascii="Arial" w:cs="Arial" w:eastAsia="Arial" w:hAnsi="Arial"/>
          <w:sz w:val="18"/>
          <w:szCs w:val="18"/>
          <w:color w:val="auto"/>
        </w:rPr>
        <w:t>This Fifth Amended and Restated Certificate of Incorporation was approved by the holders of the requisite number of shares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in accordance with Sections 228, 242 and 245 of the DGCL.</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Corporation has caused this Fifth Amended and Restated Certificate of Incorporation to be signed by its duly authorized officer 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_________, 2021.</w:t>
      </w:r>
    </w:p>
    <w:p>
      <w:pPr>
        <w:spacing w:after="0" w:line="23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ERA</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9">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Marshall Fordyce</w:t>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President and Chief Executive Officer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295" w:name="page296"/>
    <w:bookmarkEnd w:id="29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FIFTH AMENDED AND RESTATED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INCORPORATION</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THERAPEUTICS, INC.</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name of the corporation is </w:t>
      </w:r>
      <w:r>
        <w:rPr>
          <w:rFonts w:ascii="Arial" w:cs="Arial" w:eastAsia="Arial" w:hAnsi="Arial"/>
          <w:sz w:val="18"/>
          <w:szCs w:val="18"/>
          <w:b w:val="1"/>
          <w:bCs w:val="1"/>
          <w:color w:val="auto"/>
        </w:rPr>
        <w:t>V</w:t>
      </w:r>
      <w:r>
        <w:rPr>
          <w:rFonts w:ascii="Arial" w:cs="Arial" w:eastAsia="Arial" w:hAnsi="Arial"/>
          <w:sz w:val="14"/>
          <w:szCs w:val="14"/>
          <w:b w:val="1"/>
          <w:bCs w:val="1"/>
          <w:color w:val="auto"/>
        </w:rPr>
        <w:t>ERA</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II.</w:t>
      </w:r>
    </w:p>
    <w:p>
      <w:pPr>
        <w:spacing w:after="0" w:line="225" w:lineRule="exact"/>
        <w:rPr>
          <w:sz w:val="20"/>
          <w:szCs w:val="20"/>
          <w:color w:val="auto"/>
        </w:rPr>
      </w:pPr>
    </w:p>
    <w:p>
      <w:pPr>
        <w:ind w:firstLine="436"/>
        <w:spacing w:after="0" w:line="335" w:lineRule="auto"/>
        <w:rPr>
          <w:sz w:val="20"/>
          <w:szCs w:val="20"/>
          <w:color w:val="auto"/>
        </w:rPr>
      </w:pPr>
      <w:r>
        <w:rPr>
          <w:rFonts w:ascii="Arial" w:cs="Arial" w:eastAsia="Arial" w:hAnsi="Arial"/>
          <w:sz w:val="16"/>
          <w:szCs w:val="16"/>
          <w:color w:val="auto"/>
        </w:rPr>
        <w:t>The address of the registered office of the Corporation in the State of Delaware is 1209 Orange Street, City of Wilmington, County of New Castle, Delaware 19801, and the name of the registered agent of the Corporation in the State of Delaware at such address is The Corporation Trust Company.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III.</w:t>
      </w:r>
    </w:p>
    <w:p>
      <w:pPr>
        <w:spacing w:after="0" w:line="225" w:lineRule="exact"/>
        <w:rPr>
          <w:sz w:val="20"/>
          <w:szCs w:val="20"/>
          <w:color w:val="auto"/>
        </w:rPr>
      </w:pPr>
    </w:p>
    <w:p>
      <w:pPr>
        <w:ind w:right="40" w:firstLine="436"/>
        <w:spacing w:after="0" w:line="271"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IV.</w:t>
      </w:r>
    </w:p>
    <w:p>
      <w:pPr>
        <w:spacing w:after="0" w:line="221" w:lineRule="exact"/>
        <w:rPr>
          <w:sz w:val="20"/>
          <w:szCs w:val="20"/>
          <w:color w:val="auto"/>
        </w:rPr>
      </w:pPr>
    </w:p>
    <w:p>
      <w:pPr>
        <w:ind w:right="20" w:firstLine="436"/>
        <w:spacing w:after="0" w:line="277"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The Corporation is authorized to issue three classes of stock to be designated, respectively,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w:t>
      </w:r>
      <w:r>
        <w:rPr>
          <w:rFonts w:ascii="Arial" w:cs="Arial" w:eastAsia="Arial" w:hAnsi="Arial"/>
          <w:sz w:val="17"/>
          <w:szCs w:val="17"/>
          <w:b w:val="1"/>
          <w:bCs w:val="1"/>
          <w:i w:val="1"/>
          <w:iCs w:val="1"/>
          <w:color w:val="auto"/>
        </w:rPr>
        <w:t>Class B Common</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and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The total number of shares that the Corporation is authorized to issue is 524,600,000 shares. Of such shares, 500,000,000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shall be Class A Common Stock, each having a par value of $0.001, 14,600,000 shares shall be Class B Common Stock, each having a par value of $0.001, and 10,000,000 shares shall be Preferred Stock, each having a par value of $0.001.</w:t>
      </w:r>
    </w:p>
    <w:p>
      <w:pPr>
        <w:spacing w:after="0" w:line="167" w:lineRule="exact"/>
        <w:rPr>
          <w:sz w:val="20"/>
          <w:szCs w:val="20"/>
          <w:color w:val="auto"/>
        </w:rPr>
      </w:pPr>
    </w:p>
    <w:p>
      <w:pPr>
        <w:ind w:right="20" w:firstLine="436"/>
        <w:spacing w:after="0" w:line="280"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The Preferred Stock may be issued from time to time in one or more series. The board of directors of the Corporation (the “</w:t>
      </w:r>
      <w:r>
        <w:rPr>
          <w:rFonts w:ascii="Arial" w:cs="Arial" w:eastAsia="Arial" w:hAnsi="Arial"/>
          <w:sz w:val="16"/>
          <w:szCs w:val="16"/>
          <w:b w:val="1"/>
          <w:bCs w:val="1"/>
          <w:i w:val="1"/>
          <w:iCs w:val="1"/>
          <w:color w:val="auto"/>
        </w:rPr>
        <w:t>Board of</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Directors</w:t>
      </w:r>
      <w:r>
        <w:rPr>
          <w:rFonts w:ascii="Arial" w:cs="Arial" w:eastAsia="Arial" w:hAnsi="Arial"/>
          <w:sz w:val="16"/>
          <w:szCs w:val="16"/>
          <w:color w:val="auto"/>
        </w:rPr>
        <w:t>”) is hereby expressly authorized to provide for the issue of all or any of the shares of the Preferred Stock in one or more series, and to fix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shares for each such series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and not by more than the number of remaining authorized but undesignated shares of Preferred Stock. In case the number of shares of any series shall be decreased in accordance with the foregoing sentence, the shares constituting such decrease shall resume the status that they had prior to the adoption of the resolution originally fixing the number of shares of such series. The number of authorized shares of Preferred Stock, or any series thereof, may be increased or decreased (but not below the number of shares thereof then outstanding) by the affirmative vote of the holders of a majority of the voting power of the outstanding shares of stock of the Corporation entitled to vote thereon, without a separate vote of the holders of the Preferred Stock, or of any series thereof irrespective of Section 242(b)</w:t>
      </w:r>
    </w:p>
    <w:p>
      <w:pPr>
        <w:spacing w:after="0" w:line="9" w:lineRule="exact"/>
        <w:rPr>
          <w:sz w:val="20"/>
          <w:szCs w:val="20"/>
          <w:color w:val="auto"/>
        </w:rPr>
      </w:pPr>
    </w:p>
    <w:p>
      <w:pPr>
        <w:ind w:right="180" w:firstLine="7"/>
        <w:spacing w:after="0" w:line="256" w:lineRule="auto"/>
        <w:tabs>
          <w:tab w:leader="none" w:pos="25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of the DGCL, unless a vote of any such holders is required pursuant to the terms of any certificate of designation filed with respect to any series of Preferred Stock.</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68" w:right="519" w:bottom="1440" w:gutter="0" w:footer="0" w:header="0"/>
        </w:sectPr>
      </w:pPr>
    </w:p>
    <w:bookmarkStart w:id="296" w:name="page297"/>
    <w:bookmarkEnd w:id="296"/>
    <w:p>
      <w:pPr>
        <w:ind w:firstLine="436"/>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 </w:t>
      </w:r>
      <w:r>
        <w:rPr>
          <w:rFonts w:ascii="Arial" w:cs="Arial" w:eastAsia="Arial" w:hAnsi="Arial"/>
          <w:sz w:val="16"/>
          <w:szCs w:val="16"/>
          <w:color w:val="auto"/>
        </w:rPr>
        <w:t>Each outstanding share of Class A Common Stock shall entitle the holder thereof to one vote on each matter properly submitted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Corporation for their vote; provided, however, that, except as otherwise required by law, holders of Class A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159" w:lineRule="exact"/>
        <w:rPr>
          <w:sz w:val="20"/>
          <w:szCs w:val="20"/>
          <w:color w:val="auto"/>
        </w:rPr>
      </w:pPr>
    </w:p>
    <w:p>
      <w:pPr>
        <w:ind w:right="120" w:firstLine="436"/>
        <w:spacing w:after="0" w:line="277" w:lineRule="auto"/>
        <w:rPr>
          <w:sz w:val="20"/>
          <w:szCs w:val="20"/>
          <w:color w:val="auto"/>
        </w:rPr>
      </w:pPr>
      <w:r>
        <w:rPr>
          <w:rFonts w:ascii="Arial" w:cs="Arial" w:eastAsia="Arial" w:hAnsi="Arial"/>
          <w:sz w:val="17"/>
          <w:szCs w:val="17"/>
          <w:b w:val="1"/>
          <w:bCs w:val="1"/>
          <w:color w:val="auto"/>
        </w:rPr>
        <w:t xml:space="preserve">D. </w:t>
      </w:r>
      <w:r>
        <w:rPr>
          <w:rFonts w:ascii="Arial" w:cs="Arial" w:eastAsia="Arial" w:hAnsi="Arial"/>
          <w:sz w:val="17"/>
          <w:szCs w:val="17"/>
          <w:color w:val="auto"/>
        </w:rPr>
        <w:t>Except as otherwise required by law, holders of Class B Common Stock shall not be entitled to vote on any matter, including any matter on</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the holders of Class A Common Stock or Preferred Stock shall be entitled to vote, and shares of Class B Common Stock shall not be included in determining the number of shares of Common Stock voting or entitled to vote on any such matters. Shares of Class B Common Stock shall not be certificated, but shall instead be held in book-entry form on the books and records of the Corporation.</w:t>
      </w:r>
    </w:p>
    <w:p>
      <w:pPr>
        <w:spacing w:after="0" w:line="167" w:lineRule="exact"/>
        <w:rPr>
          <w:sz w:val="20"/>
          <w:szCs w:val="20"/>
          <w:color w:val="auto"/>
        </w:rPr>
      </w:pPr>
    </w:p>
    <w:p>
      <w:pPr>
        <w:ind w:right="40" w:firstLine="436"/>
        <w:spacing w:after="0" w:line="294" w:lineRule="auto"/>
        <w:rPr>
          <w:sz w:val="20"/>
          <w:szCs w:val="20"/>
          <w:color w:val="auto"/>
        </w:rPr>
      </w:pPr>
      <w:r>
        <w:rPr>
          <w:rFonts w:ascii="Arial" w:cs="Arial" w:eastAsia="Arial" w:hAnsi="Arial"/>
          <w:sz w:val="16"/>
          <w:szCs w:val="16"/>
          <w:b w:val="1"/>
          <w:bCs w:val="1"/>
          <w:color w:val="auto"/>
        </w:rPr>
        <w:t xml:space="preserve">E. </w:t>
      </w:r>
      <w:r>
        <w:rPr>
          <w:rFonts w:ascii="Arial" w:cs="Arial" w:eastAsia="Arial" w:hAnsi="Arial"/>
          <w:sz w:val="16"/>
          <w:szCs w:val="16"/>
          <w:color w:val="auto"/>
        </w:rPr>
        <w:t>Except as expressly set forth in this Article IV with respect to voting rights only and as set forth in Article V, the Class B Common Stock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same rights and powers of, rank equally to, share ratably with and be identical in all respects and as to all matters to Class A Common Stock. If the Corporation in any manner subdivides or combines the shares of Class A Common Stock, then the shares of Class B Common Stock will be subdivided or combined in the same proportion and manner, and if the Corporation in any manner subdivides or combines the shares of Class B Common Stock, then the outstanding shares of Class A Common Stock will be subdivided or combined in the same proportion and manner.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w:t>
      </w:r>
    </w:p>
    <w:p>
      <w:pPr>
        <w:spacing w:after="0" w:line="225" w:lineRule="exact"/>
        <w:rPr>
          <w:sz w:val="20"/>
          <w:szCs w:val="20"/>
          <w:color w:val="auto"/>
        </w:rPr>
      </w:pPr>
    </w:p>
    <w:p>
      <w:pPr>
        <w:ind w:right="340" w:firstLine="436"/>
        <w:spacing w:after="0" w:line="271" w:lineRule="auto"/>
        <w:rPr>
          <w:sz w:val="20"/>
          <w:szCs w:val="20"/>
          <w:color w:val="auto"/>
        </w:rPr>
      </w:pPr>
      <w:r>
        <w:rPr>
          <w:rFonts w:ascii="Arial" w:cs="Arial" w:eastAsia="Arial" w:hAnsi="Arial"/>
          <w:sz w:val="18"/>
          <w:szCs w:val="18"/>
          <w:color w:val="auto"/>
        </w:rPr>
        <w:t>Subject to the terms of this Article V, shares of Class B Common Stock shall be convertible into a corresponding number of Class A Common Stock upon written notice by the holder thereof.</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Notwithstanding anything to the contrary herein (but subject to Section B of this Article V), no holder of Class B Common Stock shall be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entitled to receive, and the Corporation shall not deliver to any such holder, any Class A Common Stock upon conversion of the Class B Common Stock</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to the extent (but only to the extent) that, after such receipt, such converting holder and its Affiliates (as defined below) (together, the “</w:t>
      </w:r>
      <w:r>
        <w:rPr>
          <w:rFonts w:ascii="Arial" w:cs="Arial" w:eastAsia="Arial" w:hAnsi="Arial"/>
          <w:sz w:val="17"/>
          <w:szCs w:val="17"/>
          <w:b w:val="1"/>
          <w:bCs w:val="1"/>
          <w:i w:val="1"/>
          <w:iCs w:val="1"/>
          <w:color w:val="auto"/>
        </w:rPr>
        <w:t>Related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w:t>
      </w:r>
      <w:r>
        <w:rPr>
          <w:rFonts w:ascii="Arial" w:cs="Arial" w:eastAsia="Arial" w:hAnsi="Arial"/>
          <w:sz w:val="16"/>
          <w:szCs w:val="16"/>
          <w:color w:val="auto"/>
        </w:rPr>
        <w:t>”) would beneficially own in the aggregate, directly or indirectly, shares of Class A Common Stock in excess of 9.9% of such shares outstanding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at such time (the “</w:t>
      </w:r>
      <w:r>
        <w:rPr>
          <w:rFonts w:ascii="Arial" w:cs="Arial" w:eastAsia="Arial" w:hAnsi="Arial"/>
          <w:sz w:val="16"/>
          <w:szCs w:val="16"/>
          <w:b w:val="1"/>
          <w:bCs w:val="1"/>
          <w:i w:val="1"/>
          <w:iCs w:val="1"/>
          <w:color w:val="auto"/>
        </w:rPr>
        <w:t>Section 16 Limitation</w:t>
      </w:r>
      <w:r>
        <w:rPr>
          <w:rFonts w:ascii="Arial" w:cs="Arial" w:eastAsia="Arial" w:hAnsi="Arial"/>
          <w:sz w:val="16"/>
          <w:szCs w:val="16"/>
          <w:color w:val="auto"/>
        </w:rPr>
        <w:t>”). Any holder of Class B Common Stock may elect to increase the Beneficial Ownership Limitation applicable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to such holder (and only such holder and its Related Holders) upon 61 days’ prior written notice of such election to the Corporation and may decrease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Beneficial Ownership Limitation applicable to such holder (and only such holder and its Related Holders) at any time upon providing written notice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of such election to the Corporation.</w:t>
      </w:r>
    </w:p>
    <w:p>
      <w:pPr>
        <w:spacing w:after="0" w:line="204" w:lineRule="exact"/>
        <w:rPr>
          <w:sz w:val="20"/>
          <w:szCs w:val="20"/>
          <w:color w:val="auto"/>
        </w:rPr>
      </w:pPr>
    </w:p>
    <w:p>
      <w:pPr>
        <w:ind w:right="140" w:firstLine="436"/>
        <w:spacing w:after="0" w:line="271"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For avoidance of doubt, in the event that the Related Holders beneficially own in the aggregate, directly or indirectly, shares of Class A</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in excess of the Section 16 Limitation without taking into account the conversion of Class B Common Stock, then none of the Class B Common Stock shall be convertible until such time as the Related Holders no longer beneficially own in the aggregate, directly or indirectly, shares of Class A Common Stock in excess of the Section 16 Limitation. Any conversion notice provided by a converting holder under this Article V shall constitute the holder’s acknowledgement and confirmation to the Corporation that (i) the acquisition of the shares of Class A Common Stock sought in the conversion notice will not result in Related Holders becoming in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80" w:top="268" w:right="519" w:bottom="1440" w:gutter="0" w:footer="0" w:header="0"/>
        </w:sectPr>
      </w:pPr>
    </w:p>
    <w:bookmarkStart w:id="297" w:name="page298"/>
    <w:bookmarkEnd w:id="297"/>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aggregate, directly or indirectly, the beneficial owner of more shares of Class A Common Stock than permitted by the Section 16 Limitation and (ii) any Class A Common Stock to which the holder would be entitled but for the Section 16 Limitation will remain Class B Common Stock. Any purported delivery of shares of Class A Common Stock upon conversion of Class B Common Stock shall be void ab initio and shall have no effect to the extent (but only to the extent) that such delivery would result in the Related Holders becoming in the aggregate, directly or indirectly, the beneficial owner of more shares of Class A Common Stock than permitted by the Section 16 Limitation. Before any holder shall be entitled to exchange any shares of such Class B Common Stock pursuant to this provision, such holder shall give written notice to the Corporation at its principal corporate office, of the election to exchange the same and shall state therein the name or names in which the certificate or certificates for shares of Class A Common Stock are to be issued. The Corporation shall, as soon as practicable thereafter, issue and deliver to the holder, or to the nominee or nominees of such holder, a certificate or certificates (unless shares of Class A Common Stock are then maintained in book-entry form) for the number of shares of Class A Common Stock to which such holder shall be entitled as aforesaid. Such exchange shall be deemed to have been made immediately prior to the close of business on the date of such written notice, and the person or persons entitled to receive the shares of Class A Common Stock issuable upon such exchange shall be treated for all purposes as the record holder or holders of such shares of Class A Common Stock as of such date. Each share of Class B Common Stock that is exchanged pursuant to this Section A of Article V shall be retired by the Corporation and shall not be available for reissuance. Within two business days of any request by a holder of Class B Common Stock, the Corporation shall inform such holder in writing of the then current number of outstanding shares of Class A Common Stock and Class B Common Stock.</w:t>
      </w:r>
    </w:p>
    <w:p>
      <w:pPr>
        <w:spacing w:after="0" w:line="165" w:lineRule="exact"/>
        <w:rPr>
          <w:sz w:val="20"/>
          <w:szCs w:val="20"/>
          <w:color w:val="auto"/>
        </w:rPr>
      </w:pPr>
    </w:p>
    <w:p>
      <w:pPr>
        <w:ind w:right="20" w:firstLine="436"/>
        <w:spacing w:after="0" w:line="267" w:lineRule="auto"/>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color w:val="auto"/>
        </w:rPr>
        <w:t>Any shares of Class B Common Stock shall be exchanged for a corresponding number of fully paid and nonassessable shares of Class A</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immediately upon request following a Non-Affiliate Transfer. A “</w:t>
      </w:r>
      <w:r>
        <w:rPr>
          <w:rFonts w:ascii="Arial" w:cs="Arial" w:eastAsia="Arial" w:hAnsi="Arial"/>
          <w:sz w:val="17"/>
          <w:szCs w:val="17"/>
          <w:b w:val="1"/>
          <w:bCs w:val="1"/>
          <w:i w:val="1"/>
          <w:iCs w:val="1"/>
          <w:color w:val="auto"/>
        </w:rPr>
        <w:t>Non-Affiliate Transfer</w:t>
      </w:r>
      <w:r>
        <w:rPr>
          <w:rFonts w:ascii="Arial" w:cs="Arial" w:eastAsia="Arial" w:hAnsi="Arial"/>
          <w:sz w:val="17"/>
          <w:szCs w:val="17"/>
          <w:color w:val="auto"/>
        </w:rPr>
        <w:t>” shall mean a transfer of shares of Class B Common Stock to any Person (as defined below) that is not an Affiliate of a holder of the Class B Common Stock immediately following the issuance thereof. The Corporation shall, upon the request of each such holder and a certification from such transferee holder of such holder’s non-affiliation with the original holder of such Class B Common Stock, issue and deliver to such holder new certificates (unless shares of Class A Common Stock are then maintained in book-entry form) representing such non-Affiliate holder’s shares of Class A Common Stock. Such exchange shall be deemed to have been made immediately prior to the close of business on the date of such request and certification, and the person or persons entitled to receive the shares of Class A Common Stock issuable upon such exchange shall be treated for all purposes as the record holder or holders of such shares of Class A Common Stock as of such date. Each share of Class B Common Stock that is exchanged pursuant to this Section B of Article V shall be retired and canceled by the Corporation and shall not be available for reissuance.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The following terms used in this Article V shall be construed to have the meanings set forth or referenced below.</w:t>
      </w:r>
    </w:p>
    <w:p>
      <w:pPr>
        <w:spacing w:after="0" w:line="225" w:lineRule="exact"/>
        <w:rPr>
          <w:sz w:val="20"/>
          <w:szCs w:val="20"/>
          <w:color w:val="auto"/>
        </w:rPr>
      </w:pPr>
    </w:p>
    <w:p>
      <w:pPr>
        <w:ind w:right="40" w:firstLine="43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with respect to any specified Person, any other Person who directly or indirectly, controls, is controlled by or is under common control with such Person, including, without limitation/n, any general partner, managing member, officer, director or trustee of such Person, or any venture capital fund or other investment fund or account or registered investment company now or hereafter existing which is controlled by one (1) or more general partners, managing members or investment advisers of, or shares the same management company or investment adviser with, such Person.</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15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2" w:right="499" w:bottom="1440" w:gutter="0" w:footer="0" w:header="0"/>
        </w:sectPr>
      </w:pPr>
    </w:p>
    <w:bookmarkStart w:id="298" w:name="page299"/>
    <w:bookmarkEnd w:id="2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VI.</w:t>
      </w:r>
    </w:p>
    <w:p>
      <w:pPr>
        <w:spacing w:after="0" w:line="225" w:lineRule="exact"/>
        <w:rPr>
          <w:sz w:val="20"/>
          <w:szCs w:val="20"/>
          <w:color w:val="auto"/>
        </w:rPr>
      </w:pPr>
    </w:p>
    <w:p>
      <w:pPr>
        <w:ind w:right="480"/>
        <w:spacing w:after="0" w:line="301" w:lineRule="auto"/>
        <w:rPr>
          <w:sz w:val="20"/>
          <w:szCs w:val="20"/>
          <w:color w:val="auto"/>
        </w:rPr>
      </w:pPr>
      <w:r>
        <w:rPr>
          <w:rFonts w:ascii="Arial" w:cs="Arial" w:eastAsia="Arial" w:hAnsi="Arial"/>
          <w:sz w:val="17"/>
          <w:szCs w:val="17"/>
          <w:color w:val="auto"/>
        </w:rPr>
        <w:t>For the management of the business and for the conduct of the affairs of the Corporation, and in further definition, limitation and regulation of the powers of the Corporation, of its directors and of its stockholders or any class thereof, as the case may be, it is further provided that: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 M</w:t>
      </w:r>
      <w:r>
        <w:rPr>
          <w:rFonts w:ascii="Arial" w:cs="Arial" w:eastAsia="Arial" w:hAnsi="Arial"/>
          <w:sz w:val="14"/>
          <w:szCs w:val="14"/>
          <w:b w:val="1"/>
          <w:bCs w:val="1"/>
          <w:color w:val="auto"/>
        </w:rPr>
        <w:t>ANAGEMENT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w:t>
      </w:r>
    </w:p>
    <w:p>
      <w:pPr>
        <w:spacing w:after="0" w:line="225"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The management of the business and the conduct of the affairs of the Corporation shall be vested in its Board of Directors. Subject to any rights of the holders of shares of any series of Preferred Stock then outstanding to elect additional directors under specified circumstances, the number of directors that shall constitute the Board of Directors shall be fixed exclusively by resolutions adopted by a majority of the authorized number of directors constituting the Board of Directors.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w:t>
      </w:r>
    </w:p>
    <w:p>
      <w:pPr>
        <w:spacing w:after="0" w:line="22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Subject to the rights of the holders of any series of Preferred Stock to elect additional directors under specified circumstances, following the closing of the initial public offering of the Corporation’s Class A Common Stock (the “</w:t>
      </w:r>
      <w:r>
        <w:rPr>
          <w:rFonts w:ascii="Arial" w:cs="Arial" w:eastAsia="Arial" w:hAnsi="Arial"/>
          <w:sz w:val="16"/>
          <w:szCs w:val="16"/>
          <w:b w:val="1"/>
          <w:bCs w:val="1"/>
          <w:i w:val="1"/>
          <w:iCs w:val="1"/>
          <w:color w:val="auto"/>
        </w:rPr>
        <w:t>Initial Public Offering</w:t>
      </w:r>
      <w:r>
        <w:rPr>
          <w:rFonts w:ascii="Arial" w:cs="Arial" w:eastAsia="Arial" w:hAnsi="Arial"/>
          <w:sz w:val="16"/>
          <w:szCs w:val="16"/>
          <w:color w:val="auto"/>
        </w:rPr>
        <w:t>”) pursuant to an effective registration statement under the Securities Act of 1933, as amended (the “</w:t>
      </w:r>
      <w:r>
        <w:rPr>
          <w:rFonts w:ascii="Arial" w:cs="Arial" w:eastAsia="Arial" w:hAnsi="Arial"/>
          <w:sz w:val="16"/>
          <w:szCs w:val="16"/>
          <w:b w:val="1"/>
          <w:bCs w:val="1"/>
          <w:i w:val="1"/>
          <w:iCs w:val="1"/>
          <w:color w:val="auto"/>
        </w:rPr>
        <w:t>1933 Act</w:t>
      </w:r>
      <w:r>
        <w:rPr>
          <w:rFonts w:ascii="Arial" w:cs="Arial" w:eastAsia="Arial" w:hAnsi="Arial"/>
          <w:sz w:val="16"/>
          <w:szCs w:val="16"/>
          <w:color w:val="auto"/>
        </w:rPr>
        <w:t>”), the directors shall be divided into three classes designated as Class I, Class II and Class III, respectively. Each class will consist, as nearly as possible, of a number of directors equal to one-third of the number of members of the Board of Directors authorized as provided in Section A of this Article VI. The Board of Directors is authorized to assign members of the Board of Directors already in office to such classes at the time the classification becomes effective. At the first annual meeting of stockholders following the closing of the Initial Public Offering, the initial term of office of the Class I directors shall expire and Class I directors shall be elected for a full term of three years. At the second annual meeting of stockholders following the closing of the Initial Public Offering, the initial term of office of the Class II directors shall expire and Class II directors shall be elected for a full term of three years. At the third annual meeting of stockholders following the closing of the Initial Public Offering, the initial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Notwithstanding the foregoing provisions of this section,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 R</w:t>
      </w:r>
      <w:r>
        <w:rPr>
          <w:rFonts w:ascii="Arial" w:cs="Arial" w:eastAsia="Arial" w:hAnsi="Arial"/>
          <w:sz w:val="14"/>
          <w:szCs w:val="14"/>
          <w:b w:val="1"/>
          <w:bCs w:val="1"/>
          <w:color w:val="auto"/>
        </w:rPr>
        <w:t>EMOVAL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w:t>
      </w:r>
    </w:p>
    <w:p>
      <w:pPr>
        <w:spacing w:after="0" w:line="225"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color w:val="auto"/>
        </w:rPr>
        <w:t>Subject to the rights of any series of Preferred Stock to remove directors elected by the holders of such series of Preferred Stock, following the closing of the Initial Public Offering, neither the entire Board of Directors nor any individual director may be removed from office without cause. Subject to the rights of any series of Preferred Stock to remove directors elected by the holders of such series of Preferred Stock and any limitation imposed by applicable law, any individual director or the entire Board of Directors may be removed from office with cause by the affirmative vote of the holders of at least 66 2/3% of the voting power of all then outstanding shares of capital stock of the Corporation entitled to vote on the election of such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80" w:top="268" w:right="519" w:bottom="1440" w:gutter="0" w:footer="0" w:header="0"/>
        </w:sectPr>
      </w:pPr>
    </w:p>
    <w:bookmarkStart w:id="299" w:name="page300"/>
    <w:bookmarkEnd w:id="299"/>
    <w:p>
      <w:pPr>
        <w:ind w:left="660" w:hanging="216"/>
        <w:spacing w:after="0"/>
        <w:tabs>
          <w:tab w:leader="none" w:pos="6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w:t>
      </w:r>
      <w:r>
        <w:rPr>
          <w:rFonts w:ascii="Arial" w:cs="Arial" w:eastAsia="Arial" w:hAnsi="Arial"/>
          <w:sz w:val="14"/>
          <w:szCs w:val="14"/>
          <w:b w:val="1"/>
          <w:bCs w:val="1"/>
          <w:color w:val="auto"/>
        </w:rPr>
        <w:t>ACANCIES</w:t>
      </w:r>
      <w:r>
        <w:rPr>
          <w:rFonts w:ascii="Arial" w:cs="Arial" w:eastAsia="Arial" w:hAnsi="Arial"/>
          <w:sz w:val="18"/>
          <w:szCs w:val="18"/>
          <w:b w:val="1"/>
          <w:bCs w:val="1"/>
          <w:color w:val="auto"/>
        </w:rPr>
        <w:t>.</w:t>
      </w:r>
    </w:p>
    <w:p>
      <w:pPr>
        <w:spacing w:after="0" w:line="225"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color w:val="auto"/>
        </w:rPr>
        <w:t>Subject to any limitations imposed by applicable law and subject to the rights of the holders of any series of Preferred Stock to elect additional directors or fill vacancies in respect of such directors,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 only by the affirmative vote of a majority of the directors then in office, even though less than a quorum of the Board of Directors or by the sole remaining director,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or until such director’s earlier death, resignation or removal.</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 B</w:t>
      </w:r>
      <w:r>
        <w:rPr>
          <w:rFonts w:ascii="Arial" w:cs="Arial" w:eastAsia="Arial" w:hAnsi="Arial"/>
          <w:sz w:val="14"/>
          <w:szCs w:val="14"/>
          <w:b w:val="1"/>
          <w:bCs w:val="1"/>
          <w:color w:val="auto"/>
        </w:rPr>
        <w:t>YLAW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MENDMENTS</w:t>
      </w:r>
      <w:r>
        <w:rPr>
          <w:rFonts w:ascii="Arial" w:cs="Arial" w:eastAsia="Arial" w:hAnsi="Arial"/>
          <w:sz w:val="18"/>
          <w:szCs w:val="18"/>
          <w:b w:val="1"/>
          <w:bCs w:val="1"/>
          <w:color w:val="auto"/>
        </w:rPr>
        <w:t>.</w:t>
      </w:r>
    </w:p>
    <w:p>
      <w:pPr>
        <w:spacing w:after="0" w:line="225" w:lineRule="exact"/>
        <w:rPr>
          <w:sz w:val="20"/>
          <w:szCs w:val="20"/>
          <w:color w:val="auto"/>
        </w:rPr>
      </w:pPr>
    </w:p>
    <w:p>
      <w:pPr>
        <w:ind w:right="220" w:firstLine="436"/>
        <w:spacing w:after="0" w:line="290" w:lineRule="auto"/>
        <w:rPr>
          <w:sz w:val="20"/>
          <w:szCs w:val="20"/>
          <w:color w:val="auto"/>
        </w:rPr>
      </w:pPr>
      <w:r>
        <w:rPr>
          <w:rFonts w:ascii="Arial" w:cs="Arial" w:eastAsia="Arial" w:hAnsi="Arial"/>
          <w:sz w:val="16"/>
          <w:szCs w:val="16"/>
          <w:color w:val="auto"/>
        </w:rPr>
        <w:t>The Board of Directors is expressly authorized and empowered to adopt, amend or repeal the Bylaws of the Corporation or any provision or provisions thereof. Any adoption, amendment or repeal of the Bylaws of the Corporation or any provision or provisions thereof by the Board of Directors shall require the approval of a majority of the authorized number of directors. The stockholders shall also have power to adopt, amend or repeal the Bylaws of the Corporation; provided, however, that, in addition to any vote of the holders of any class or series of stock of the Corporation required by law, such action by stockholders shall require the affirmative vote of the holders of at least 66 2/3% of the voting power of all of the then-outstanding shares of the capital stock of the Corporation entitled to vote generally in the election of directors, voting together as a single class.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 S</w:t>
      </w:r>
      <w:r>
        <w:rPr>
          <w:rFonts w:ascii="Arial" w:cs="Arial" w:eastAsia="Arial" w:hAnsi="Arial"/>
          <w:sz w:val="14"/>
          <w:szCs w:val="14"/>
          <w:b w:val="1"/>
          <w:bCs w:val="1"/>
          <w:color w:val="auto"/>
        </w:rPr>
        <w:t>TOCKHOLDER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w:t>
      </w:r>
    </w:p>
    <w:p>
      <w:pPr>
        <w:spacing w:after="0" w:line="118" w:lineRule="exact"/>
        <w:rPr>
          <w:sz w:val="20"/>
          <w:szCs w:val="20"/>
          <w:color w:val="auto"/>
        </w:rPr>
      </w:pPr>
    </w:p>
    <w:p>
      <w:pPr>
        <w:ind w:left="1160" w:hanging="170"/>
        <w:spacing w:after="0"/>
        <w:tabs>
          <w:tab w:leader="none" w:pos="1160"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The directors of the Corporation need not be elected by written ballot unless the Bylaws so provide.</w:t>
      </w:r>
    </w:p>
    <w:p>
      <w:pPr>
        <w:spacing w:after="0" w:line="113" w:lineRule="exact"/>
        <w:rPr>
          <w:rFonts w:ascii="Arial" w:cs="Arial" w:eastAsia="Arial" w:hAnsi="Arial"/>
          <w:sz w:val="18"/>
          <w:szCs w:val="18"/>
          <w:b w:val="1"/>
          <w:bCs w:val="1"/>
          <w:color w:val="auto"/>
        </w:rPr>
      </w:pPr>
    </w:p>
    <w:p>
      <w:pPr>
        <w:ind w:right="660" w:firstLine="990"/>
        <w:spacing w:after="0" w:line="271" w:lineRule="auto"/>
        <w:tabs>
          <w:tab w:leader="none" w:pos="1160"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No action shall be taken by the stockholders of the Corporation except at an annual or special meeting of stockholders called in accordance with the Bylaws, and no action shall be taken by the stockholders by written consent.</w:t>
      </w:r>
    </w:p>
    <w:p>
      <w:pPr>
        <w:spacing w:after="0" w:line="67" w:lineRule="exact"/>
        <w:rPr>
          <w:rFonts w:ascii="Arial" w:cs="Arial" w:eastAsia="Arial" w:hAnsi="Arial"/>
          <w:sz w:val="18"/>
          <w:szCs w:val="18"/>
          <w:b w:val="1"/>
          <w:bCs w:val="1"/>
          <w:color w:val="auto"/>
        </w:rPr>
      </w:pPr>
    </w:p>
    <w:p>
      <w:pPr>
        <w:ind w:right="520" w:firstLine="990"/>
        <w:spacing w:after="0" w:line="301" w:lineRule="auto"/>
        <w:tabs>
          <w:tab w:leader="none" w:pos="1160" w:val="left"/>
        </w:tabs>
        <w:numPr>
          <w:ilvl w:val="0"/>
          <w:numId w:val="209"/>
        </w:numPr>
        <w:rPr>
          <w:rFonts w:ascii="Arial" w:cs="Arial" w:eastAsia="Arial" w:hAnsi="Arial"/>
          <w:sz w:val="17"/>
          <w:szCs w:val="17"/>
          <w:b w:val="1"/>
          <w:bCs w:val="1"/>
          <w:color w:val="auto"/>
        </w:rPr>
      </w:pPr>
      <w:r>
        <w:rPr>
          <w:rFonts w:ascii="Arial" w:cs="Arial" w:eastAsia="Arial" w:hAnsi="Arial"/>
          <w:sz w:val="17"/>
          <w:szCs w:val="17"/>
          <w:color w:val="auto"/>
        </w:rPr>
        <w:t>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w:t>
      </w:r>
    </w:p>
    <w:p>
      <w:pPr>
        <w:spacing w:after="0" w:line="114" w:lineRule="exact"/>
        <w:rPr>
          <w:sz w:val="20"/>
          <w:szCs w:val="20"/>
          <w:color w:val="auto"/>
        </w:rPr>
      </w:pPr>
    </w:p>
    <w:p>
      <w:pPr>
        <w:ind w:right="180" w:firstLine="436"/>
        <w:spacing w:after="0" w:line="289"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The liability of the directors for monetary damages shall be eliminated to the fullest extent permitted under applicable law. In furtherance</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Any repeal or modification of the foregoing two sentences shall not adversely affect any right or protection of a director of the Corporation existing hereunder with respect to any act or omission occurring prior to such repeal or modification. If applicable law is amended after approval by the stockholders of this Article VII to authorize corporate action further eliminating or limiting the personal liability of directors, then the liability of a director to the Corporation shall be eliminated or limited to the fullest extent permitted by applicable law as so amended.</w:t>
      </w:r>
    </w:p>
    <w:p>
      <w:pPr>
        <w:spacing w:after="0" w:line="161" w:lineRule="exact"/>
        <w:rPr>
          <w:sz w:val="20"/>
          <w:szCs w:val="20"/>
          <w:color w:val="auto"/>
        </w:rPr>
      </w:pPr>
    </w:p>
    <w:p>
      <w:pPr>
        <w:ind w:right="40" w:firstLine="436"/>
        <w:spacing w:after="0" w:line="257"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To the fullest extent permitted by applicable law, the Corporation is authorized to provide indemnification of (and advancement of expenses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and agents of the Corporation (and any other persons to which applicable law permits the Corporation to provide indemnification) through Bylaw provisions, agreements with such agents or other persons, vote of stockholders or disinterested directors or otherwise in excess of the indemnification and advancement otherwise permitted by such applicable law.</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68" w:right="519" w:bottom="1440" w:gutter="0" w:footer="0" w:header="0"/>
        </w:sectPr>
      </w:pPr>
    </w:p>
    <w:bookmarkStart w:id="300" w:name="page301"/>
    <w:bookmarkEnd w:id="300"/>
    <w:p>
      <w:pPr>
        <w:ind w:right="220" w:firstLine="43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 </w:t>
      </w:r>
      <w:r>
        <w:rPr>
          <w:rFonts w:ascii="Arial" w:cs="Arial" w:eastAsia="Arial" w:hAnsi="Arial"/>
          <w:sz w:val="18"/>
          <w:szCs w:val="18"/>
          <w:color w:val="auto"/>
        </w:rPr>
        <w:t>Any repeal or modification of this Article VII shall only be prospective and shall not affect adversely the rights or protections or increase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of any officer or director under this Article VII as in effect at the time of the alleged occurrence of any act or omission to act giving rise to liability or indemnification.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VIII.</w:t>
      </w:r>
    </w:p>
    <w:p>
      <w:pPr>
        <w:spacing w:after="0" w:line="225" w:lineRule="exact"/>
        <w:rPr>
          <w:sz w:val="20"/>
          <w:szCs w:val="20"/>
          <w:color w:val="auto"/>
        </w:rPr>
      </w:pPr>
    </w:p>
    <w:p>
      <w:pPr>
        <w:ind w:firstLine="436"/>
        <w:spacing w:after="0" w:line="265" w:lineRule="auto"/>
        <w:rPr>
          <w:sz w:val="20"/>
          <w:szCs w:val="20"/>
          <w:color w:val="auto"/>
        </w:rPr>
      </w:pPr>
      <w:r>
        <w:rPr>
          <w:rFonts w:ascii="Arial" w:cs="Arial" w:eastAsia="Arial" w:hAnsi="Arial"/>
          <w:sz w:val="17"/>
          <w:szCs w:val="17"/>
          <w:color w:val="auto"/>
        </w:rPr>
        <w:t>Unless the Corporation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Corporation; (B) any claim or cause of action for breach of a fiduciary duty owed by any current or former director, officer or other employee of the Corporation to the Corporation or the Corporation’s stockholders; (C) any claim or cause of action against the Corporation or any current or former director, officer or other employee of the Corporation, arising out of or pursuant to any provision of the DGCL, this Amended and Restated Certificate of Incorporation or the Bylaws of the Corporation (as each may be amended from time to time); (D) any claim or cause of action seeking to interpret, apply, enforce or determine the validity of this Amended and Restated Certificate of Incorporation or the Bylaws of the Corporation (as each may be amended from time to time, including any right, obligation or remedy thereunder); (E) any claim or cause of action as to which the DGCL confers jurisdiction on the Court of Chancery of the State of Delaware; and (F)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law and subject to the court having personal jurisdiction over the indispensable parties named as defendants. This Section A of Article VIII shall not apply to claims or causes of action brought to enforce a duty or liability created by the 1933 Act or the Securities Exchange Act of 1934, as amended, or any other claim for which the federal courts have exclusive jurisdiction.</w:t>
      </w:r>
    </w:p>
    <w:p>
      <w:pPr>
        <w:spacing w:after="0" w:line="184" w:lineRule="exact"/>
        <w:rPr>
          <w:sz w:val="20"/>
          <w:szCs w:val="20"/>
          <w:color w:val="auto"/>
        </w:rPr>
      </w:pPr>
    </w:p>
    <w:p>
      <w:pPr>
        <w:ind w:right="40" w:firstLine="436"/>
        <w:spacing w:after="0" w:line="270" w:lineRule="auto"/>
        <w:rPr>
          <w:sz w:val="20"/>
          <w:szCs w:val="20"/>
          <w:color w:val="auto"/>
        </w:rPr>
      </w:pPr>
      <w:r>
        <w:rPr>
          <w:rFonts w:ascii="Arial" w:cs="Arial" w:eastAsia="Arial" w:hAnsi="Arial"/>
          <w:sz w:val="17"/>
          <w:szCs w:val="17"/>
          <w:color w:val="auto"/>
        </w:rPr>
        <w:t>Unless the Corporation consents in writing to the selection of an alternative forum, to the fullest extent permitted by law, the federal district courts of the United States of America shall be the exclusive forum for the resolution of any complaint asserting a cause or causes of action arising under the 1933 Act, including all causes of action asserted against any defendant named in such complaint. For the avoidance of doubt, this provision is intended to benefit and may be enforced by the Corporation, any officer or director of the Corporation,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78"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Any person or entity holding, owning or otherwise acquiring any interest in any security of the Corporation shall be deemed to have notice of and consented to the provisions of this Fifth Amended and Restated Certificate of Incorporation.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69" w:right="499" w:bottom="1440" w:gutter="0" w:footer="0" w:header="0"/>
        </w:sectPr>
      </w:pPr>
    </w:p>
    <w:bookmarkStart w:id="301" w:name="page302"/>
    <w:bookmarkEnd w:id="30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IX.</w:t>
      </w:r>
    </w:p>
    <w:p>
      <w:pPr>
        <w:spacing w:after="0" w:line="221"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Corporation reserves the right to amend, alter, change or repeal, at any time and from time to time, any provision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Certificate of Incorporation, in the manner now or hereafter prescribed by statute, except as provided in paragraph B. of this Article IX, and all rights, preferences and privileges of whatsoever nature conferred upon the stockholders, directors or any other persons whomsoever by and pursuant to this Amended and Restated Certificate of Incorporation in its present form or as hereafter amended herein are granted subject to this reservation.</w:t>
      </w:r>
    </w:p>
    <w:p>
      <w:pPr>
        <w:spacing w:after="0" w:line="184"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Notwithstanding any other provisions of this Amended and Restated Certificate of Incorporation or any provision of law that might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permit a lesser vote or no vote, but in addition to any affirmative vote of the holders of any particular class or series of capital stock of the Corporation required by law or by this Amended and Restated Certificate of Incorporation or any certificate of designation filed with respect to a series of Preferred Stock, (i) the affirmative vote of the holders of at least 66 2/3% of the voting power of all of the then outstanding shares of capital stock of the Corporation entitled to vote generally in the election of directors, voting together as a single class, shall be required to waive, alter, amend or repeal (whether by merger, consolidation or otherwise) Articles VI, VII, VIII and IX; and (ii) neither paragraph D. or E. of Article IV nor Article V nor this proviso of paragraph B. of Article IX shall be waived, altered, amended or repealed (whether by merger, consolidation or otherwise) without the unanimous vote of the holders of the outstanding shares Class B Common Stock.</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00"/>
          </w:cols>
          <w:pgMar w:left="480" w:top="269" w:right="61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3.4</w:t>
      </w:r>
    </w:p>
    <w:p>
      <w:pPr>
        <w:spacing w:after="0" w:line="221" w:lineRule="exact"/>
        <w:rPr>
          <w:sz w:val="20"/>
          <w:szCs w:val="20"/>
          <w:color w:val="auto"/>
        </w:rPr>
      </w:pPr>
    </w:p>
    <w:p>
      <w:pPr>
        <w:jc w:val="center"/>
        <w:ind w:right="960"/>
        <w:spacing w:after="0"/>
        <w:rPr>
          <w:sz w:val="20"/>
          <w:szCs w:val="20"/>
          <w:color w:val="auto"/>
        </w:rPr>
      </w:pPr>
      <w:r>
        <w:rPr>
          <w:rFonts w:ascii="Arial" w:cs="Arial" w:eastAsia="Arial" w:hAnsi="Arial"/>
          <w:sz w:val="17"/>
          <w:szCs w:val="17"/>
          <w:b w:val="1"/>
          <w:bCs w:val="1"/>
          <w:color w:val="auto"/>
        </w:rPr>
        <w:t>THIRD AMENDED AND RESTATED BYLAWS</w:t>
      </w:r>
    </w:p>
    <w:p>
      <w:pPr>
        <w:spacing w:after="0" w:line="232"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OF</w:t>
      </w:r>
    </w:p>
    <w:p>
      <w:pPr>
        <w:spacing w:after="0" w:line="221"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VERA THERAPEUTICS, INC.</w:t>
      </w:r>
    </w:p>
    <w:p>
      <w:pPr>
        <w:spacing w:after="0" w:line="24"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(A DELAWARE CORPORATION)</w:t>
      </w:r>
    </w:p>
    <w:p>
      <w:pPr>
        <w:spacing w:after="0" w:line="20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[________], 2021</w:t>
      </w:r>
    </w:p>
    <w:p>
      <w:pPr>
        <w:sectPr>
          <w:pgSz w:w="11900" w:h="16838" w:orient="portrait"/>
          <w:cols w:equalWidth="0" w:num="1">
            <w:col w:w="9960"/>
          </w:cols>
          <w:pgMar w:left="1440" w:top="121" w:right="499"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231"/>
        </w:trPr>
        <w:tc>
          <w:tcPr>
            <w:tcW w:w="1240" w:type="dxa"/>
            <w:vAlign w:val="bottom"/>
          </w:tcPr>
          <w:p>
            <w:pPr>
              <w:spacing w:after="0"/>
              <w:rPr>
                <w:sz w:val="20"/>
                <w:szCs w:val="20"/>
                <w:color w:val="auto"/>
              </w:rPr>
            </w:pPr>
          </w:p>
        </w:tc>
        <w:tc>
          <w:tcPr>
            <w:tcW w:w="770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20"/>
                <w:szCs w:val="20"/>
                <w:color w:val="auto"/>
              </w:rPr>
            </w:pPr>
          </w:p>
        </w:tc>
      </w:tr>
      <w:tr>
        <w:trPr>
          <w:trHeight w:val="438"/>
        </w:trPr>
        <w:tc>
          <w:tcPr>
            <w:tcW w:w="12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31"/>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I OFFICES</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0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rPr>
              <w:t>Section 1.</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Registered Office</w:t>
            </w: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1"/>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rPr>
              <w:t>Section 2.</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Other Offices</w:t>
            </w: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1"/>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II CORPORATE SEAL</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1"/>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rPr>
              <w:t>Section 3.</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Corporate Seal</w:t>
            </w: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1"/>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III STOCKHOLDERS’ MEETINGS</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0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rPr>
              <w:t>Section 4.</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Place of Meetings</w:t>
            </w: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rPr>
              <w:t>Section 5.</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Annual Meetings</w:t>
            </w:r>
          </w:p>
        </w:tc>
        <w:tc>
          <w:tcPr>
            <w:tcW w:w="1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rPr>
              <w:t>Section 6.</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Special Meetings</w:t>
            </w:r>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rPr>
              <w:t>Section 7.</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Notice of Meetings</w:t>
            </w:r>
          </w:p>
        </w:tc>
        <w:tc>
          <w:tcPr>
            <w:tcW w:w="1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rPr>
              <w:t>Section 8.</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Quorum and Vote Requried</w:t>
            </w:r>
          </w:p>
        </w:tc>
        <w:tc>
          <w:tcPr>
            <w:tcW w:w="1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rPr>
              <w:t>Section 9.</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Adjournment and Notice of Adjourned Meetings</w:t>
            </w:r>
          </w:p>
        </w:tc>
        <w:tc>
          <w:tcPr>
            <w:tcW w:w="1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10.</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Voting Rights</w:t>
            </w:r>
          </w:p>
        </w:tc>
        <w:tc>
          <w:tcPr>
            <w:tcW w:w="1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11.</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Joint Owners of Stock</w:t>
            </w:r>
          </w:p>
        </w:tc>
        <w:tc>
          <w:tcPr>
            <w:tcW w:w="1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12.</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List of Stockholders</w:t>
            </w:r>
          </w:p>
        </w:tc>
        <w:tc>
          <w:tcPr>
            <w:tcW w:w="1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13.</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Action without Meeting</w:t>
            </w:r>
          </w:p>
        </w:tc>
        <w:tc>
          <w:tcPr>
            <w:tcW w:w="1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1"/>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14.</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Organization</w:t>
            </w:r>
          </w:p>
        </w:tc>
        <w:tc>
          <w:tcPr>
            <w:tcW w:w="1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1"/>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IV DIRECTORS</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0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15.</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Number and Term of Office</w:t>
            </w:r>
          </w:p>
        </w:tc>
        <w:tc>
          <w:tcPr>
            <w:tcW w:w="1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16.</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Powers</w:t>
            </w:r>
          </w:p>
        </w:tc>
        <w:tc>
          <w:tcPr>
            <w:tcW w:w="1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17.</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Classes of Directors</w:t>
            </w:r>
          </w:p>
        </w:tc>
        <w:tc>
          <w:tcPr>
            <w:tcW w:w="1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18.</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Vacancies</w:t>
            </w:r>
          </w:p>
        </w:tc>
        <w:tc>
          <w:tcPr>
            <w:tcW w:w="1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19.</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Resignation</w:t>
            </w:r>
          </w:p>
        </w:tc>
        <w:tc>
          <w:tcPr>
            <w:tcW w:w="1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20.</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Removal</w:t>
            </w:r>
          </w:p>
        </w:tc>
        <w:tc>
          <w:tcPr>
            <w:tcW w:w="1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21.</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Meetings</w:t>
            </w:r>
          </w:p>
        </w:tc>
        <w:tc>
          <w:tcPr>
            <w:tcW w:w="1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22.</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Quorum and Voting</w:t>
            </w:r>
          </w:p>
        </w:tc>
        <w:tc>
          <w:tcPr>
            <w:tcW w:w="1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23.</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Action without Meeting</w:t>
            </w:r>
          </w:p>
        </w:tc>
        <w:tc>
          <w:tcPr>
            <w:tcW w:w="1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24.</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Fees and Compensation</w:t>
            </w:r>
          </w:p>
        </w:tc>
        <w:tc>
          <w:tcPr>
            <w:tcW w:w="1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25.</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Committees</w:t>
            </w:r>
          </w:p>
        </w:tc>
        <w:tc>
          <w:tcPr>
            <w:tcW w:w="1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26.</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Duties of Chairperson of the Board of Directors and Lead Independent Director</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1"/>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27.</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Organization</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1"/>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V OFFICERS</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21"/>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28.</w:t>
            </w:r>
          </w:p>
        </w:tc>
        <w:tc>
          <w:tcPr>
            <w:tcW w:w="7700" w:type="dxa"/>
            <w:vAlign w:val="bottom"/>
          </w:tcPr>
          <w:p>
            <w:pPr>
              <w:ind w:left="60"/>
              <w:spacing w:after="0"/>
              <w:rPr>
                <w:sz w:val="20"/>
                <w:szCs w:val="20"/>
                <w:color w:val="auto"/>
              </w:rPr>
            </w:pPr>
            <w:r>
              <w:rPr>
                <w:rFonts w:ascii="Arial" w:cs="Arial" w:eastAsia="Arial" w:hAnsi="Arial"/>
                <w:sz w:val="18"/>
                <w:szCs w:val="18"/>
                <w:b w:val="1"/>
                <w:bCs w:val="1"/>
                <w:color w:val="auto"/>
              </w:rPr>
              <w:t>Officers Designated</w:t>
            </w:r>
          </w:p>
        </w:tc>
        <w:tc>
          <w:tcPr>
            <w:tcW w:w="1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61"/>
        </w:trPr>
        <w:tc>
          <w:tcPr>
            <w:tcW w:w="1240" w:type="dxa"/>
            <w:vAlign w:val="bottom"/>
          </w:tcPr>
          <w:p>
            <w:pPr>
              <w:spacing w:after="0"/>
              <w:rPr>
                <w:sz w:val="24"/>
                <w:szCs w:val="24"/>
                <w:color w:val="auto"/>
              </w:rPr>
            </w:pPr>
          </w:p>
        </w:tc>
        <w:tc>
          <w:tcPr>
            <w:tcW w:w="7700" w:type="dxa"/>
            <w:vAlign w:val="bottom"/>
          </w:tcPr>
          <w:p>
            <w:pPr>
              <w:ind w:left="4140"/>
              <w:spacing w:after="0"/>
              <w:rPr>
                <w:sz w:val="20"/>
                <w:szCs w:val="20"/>
                <w:color w:val="auto"/>
              </w:rPr>
            </w:pPr>
            <w:r>
              <w:rPr>
                <w:rFonts w:ascii="Arial" w:cs="Arial" w:eastAsia="Arial" w:hAnsi="Arial"/>
                <w:sz w:val="18"/>
                <w:szCs w:val="18"/>
                <w:color w:val="auto"/>
              </w:rPr>
              <w:t>-i-</w:t>
            </w:r>
          </w:p>
        </w:tc>
        <w:tc>
          <w:tcPr>
            <w:tcW w:w="19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60"/>
          </w:cols>
          <w:pgMar w:left="480" w:top="268" w:right="55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304" w:name="page305"/>
    <w:bookmarkEnd w:id="304"/>
    <w:tbl>
      <w:tblPr>
        <w:tblLayout w:type="fixed"/>
        <w:tblInd w:w="0" w:type="dxa"/>
        <w:tblCellMar>
          <w:top w:w="0" w:type="dxa"/>
          <w:left w:w="0" w:type="dxa"/>
          <w:bottom w:w="0" w:type="dxa"/>
          <w:right w:w="0" w:type="dxa"/>
        </w:tblCellMar>
      </w:tblPr>
      <w:tr>
        <w:trPr>
          <w:trHeight w:val="218"/>
        </w:trPr>
        <w:tc>
          <w:tcPr>
            <w:tcW w:w="1240" w:type="dxa"/>
            <w:vAlign w:val="bottom"/>
          </w:tcPr>
          <w:p>
            <w:pPr>
              <w:spacing w:after="0"/>
              <w:rPr>
                <w:sz w:val="18"/>
                <w:szCs w:val="18"/>
                <w:color w:val="auto"/>
              </w:rPr>
            </w:pPr>
          </w:p>
        </w:tc>
        <w:tc>
          <w:tcPr>
            <w:tcW w:w="854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240" w:type="dxa"/>
            <w:vAlign w:val="bottom"/>
          </w:tcPr>
          <w:p>
            <w:pPr>
              <w:spacing w:after="0"/>
              <w:rPr>
                <w:sz w:val="19"/>
                <w:szCs w:val="19"/>
                <w:color w:val="auto"/>
              </w:rPr>
            </w:pPr>
          </w:p>
        </w:tc>
        <w:tc>
          <w:tcPr>
            <w:tcW w:w="8540" w:type="dxa"/>
            <w:vAlign w:val="bottom"/>
          </w:tcPr>
          <w:p>
            <w:pPr>
              <w:ind w:left="3820"/>
              <w:spacing w:after="0"/>
              <w:rPr>
                <w:sz w:val="20"/>
                <w:szCs w:val="20"/>
                <w:color w:val="auto"/>
              </w:rPr>
            </w:pPr>
            <w:r>
              <w:rPr>
                <w:rFonts w:ascii="Arial" w:cs="Arial" w:eastAsia="Arial" w:hAnsi="Arial"/>
                <w:sz w:val="18"/>
                <w:szCs w:val="18"/>
                <w:color w:val="auto"/>
              </w:rPr>
              <w:t>(continued)</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978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Section 29. Tenure and Duties of Officers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9780" w:type="dxa"/>
            <w:vAlign w:val="bottom"/>
            <w:gridSpan w:val="2"/>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97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30. Delegation of Authority</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31.</w:t>
            </w:r>
          </w:p>
        </w:tc>
        <w:tc>
          <w:tcPr>
            <w:tcW w:w="8540" w:type="dxa"/>
            <w:vAlign w:val="bottom"/>
          </w:tcPr>
          <w:p>
            <w:pPr>
              <w:ind w:left="60"/>
              <w:spacing w:after="0"/>
              <w:rPr>
                <w:sz w:val="20"/>
                <w:szCs w:val="20"/>
                <w:color w:val="auto"/>
              </w:rPr>
            </w:pPr>
            <w:r>
              <w:rPr>
                <w:rFonts w:ascii="Arial" w:cs="Arial" w:eastAsia="Arial" w:hAnsi="Arial"/>
                <w:sz w:val="18"/>
                <w:szCs w:val="18"/>
                <w:b w:val="1"/>
                <w:bCs w:val="1"/>
                <w:color w:val="auto"/>
              </w:rPr>
              <w:t>Resignations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1"/>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32.</w:t>
            </w:r>
          </w:p>
        </w:tc>
        <w:tc>
          <w:tcPr>
            <w:tcW w:w="8540" w:type="dxa"/>
            <w:vAlign w:val="bottom"/>
          </w:tcPr>
          <w:p>
            <w:pPr>
              <w:ind w:left="60"/>
              <w:spacing w:after="0"/>
              <w:rPr>
                <w:sz w:val="20"/>
                <w:szCs w:val="20"/>
                <w:color w:val="auto"/>
              </w:rPr>
            </w:pPr>
            <w:r>
              <w:rPr>
                <w:rFonts w:ascii="Arial" w:cs="Arial" w:eastAsia="Arial" w:hAnsi="Arial"/>
                <w:sz w:val="18"/>
                <w:szCs w:val="18"/>
                <w:b w:val="1"/>
                <w:bCs w:val="1"/>
                <w:color w:val="auto"/>
              </w:rPr>
              <w:t>Removal</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ARTICLE VI EXECUTION OF CORPORATE INSTRUMENTS AND VOTING OF SECURITIES OWNED BY THE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9780" w:type="dxa"/>
            <w:vAlign w:val="bottom"/>
            <w:gridSpan w:val="2"/>
          </w:tcPr>
          <w:p>
            <w:pPr>
              <w:ind w:left="180"/>
              <w:spacing w:after="0"/>
              <w:rPr>
                <w:sz w:val="20"/>
                <w:szCs w:val="20"/>
                <w:color w:val="auto"/>
              </w:rPr>
            </w:pPr>
            <w:r>
              <w:rPr>
                <w:rFonts w:ascii="Arial" w:cs="Arial" w:eastAsia="Arial" w:hAnsi="Arial"/>
                <w:sz w:val="18"/>
                <w:szCs w:val="18"/>
                <w:b w:val="1"/>
                <w:bCs w:val="1"/>
                <w:color w:val="auto"/>
              </w:rPr>
              <w:t>CORPORATION</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304"/>
        </w:trPr>
        <w:tc>
          <w:tcPr>
            <w:tcW w:w="97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33. Execution of Corporate Instruments</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1"/>
        </w:trPr>
        <w:tc>
          <w:tcPr>
            <w:tcW w:w="97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34. Voting of Securities Owned By the Corporation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1"/>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ARTICLE VII SHARES OF STOCK</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304"/>
        </w:trPr>
        <w:tc>
          <w:tcPr>
            <w:tcW w:w="97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35. Form and Execution of Certificates</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36.</w:t>
            </w:r>
          </w:p>
        </w:tc>
        <w:tc>
          <w:tcPr>
            <w:tcW w:w="8540" w:type="dxa"/>
            <w:vAlign w:val="bottom"/>
          </w:tcPr>
          <w:p>
            <w:pPr>
              <w:ind w:left="60"/>
              <w:spacing w:after="0"/>
              <w:rPr>
                <w:sz w:val="20"/>
                <w:szCs w:val="20"/>
                <w:color w:val="auto"/>
              </w:rPr>
            </w:pPr>
            <w:r>
              <w:rPr>
                <w:rFonts w:ascii="Arial" w:cs="Arial" w:eastAsia="Arial" w:hAnsi="Arial"/>
                <w:sz w:val="18"/>
                <w:szCs w:val="18"/>
                <w:b w:val="1"/>
                <w:bCs w:val="1"/>
                <w:color w:val="auto"/>
              </w:rPr>
              <w:t>Lost Certificates</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37.</w:t>
            </w:r>
          </w:p>
        </w:tc>
        <w:tc>
          <w:tcPr>
            <w:tcW w:w="8540" w:type="dxa"/>
            <w:vAlign w:val="bottom"/>
          </w:tcPr>
          <w:p>
            <w:pPr>
              <w:ind w:left="60"/>
              <w:spacing w:after="0"/>
              <w:rPr>
                <w:sz w:val="20"/>
                <w:szCs w:val="20"/>
                <w:color w:val="auto"/>
              </w:rPr>
            </w:pPr>
            <w:r>
              <w:rPr>
                <w:rFonts w:ascii="Arial" w:cs="Arial" w:eastAsia="Arial" w:hAnsi="Arial"/>
                <w:sz w:val="18"/>
                <w:szCs w:val="18"/>
                <w:b w:val="1"/>
                <w:bCs w:val="1"/>
                <w:color w:val="auto"/>
              </w:rPr>
              <w:t>Transfers</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4"/>
        </w:trPr>
        <w:tc>
          <w:tcPr>
            <w:tcW w:w="97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38. Fixing Record Dates</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4"/>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39.</w:t>
            </w:r>
          </w:p>
        </w:tc>
        <w:tc>
          <w:tcPr>
            <w:tcW w:w="8540" w:type="dxa"/>
            <w:vAlign w:val="bottom"/>
          </w:tcPr>
          <w:p>
            <w:pPr>
              <w:ind w:left="60"/>
              <w:spacing w:after="0"/>
              <w:rPr>
                <w:sz w:val="20"/>
                <w:szCs w:val="20"/>
                <w:color w:val="auto"/>
              </w:rPr>
            </w:pPr>
            <w:r>
              <w:rPr>
                <w:rFonts w:ascii="Arial" w:cs="Arial" w:eastAsia="Arial" w:hAnsi="Arial"/>
                <w:sz w:val="18"/>
                <w:szCs w:val="18"/>
                <w:b w:val="1"/>
                <w:bCs w:val="1"/>
                <w:color w:val="auto"/>
              </w:rPr>
              <w:t>Registered Stockholders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1"/>
        </w:trPr>
        <w:tc>
          <w:tcPr>
            <w:tcW w:w="97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40. Additional Powers of the Board</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1"/>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ARTICLE VIII OTHER SECURITIES OF THE CORPORATION</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321"/>
        </w:trPr>
        <w:tc>
          <w:tcPr>
            <w:tcW w:w="97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41. Execution of Other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1"/>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ARTICLE IX DIVIDENDS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304"/>
        </w:trPr>
        <w:tc>
          <w:tcPr>
            <w:tcW w:w="97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42. Declaration of Dividends</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1"/>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43.</w:t>
            </w:r>
          </w:p>
        </w:tc>
        <w:tc>
          <w:tcPr>
            <w:tcW w:w="8540" w:type="dxa"/>
            <w:vAlign w:val="bottom"/>
          </w:tcPr>
          <w:p>
            <w:pPr>
              <w:ind w:left="60"/>
              <w:spacing w:after="0"/>
              <w:rPr>
                <w:sz w:val="20"/>
                <w:szCs w:val="20"/>
                <w:color w:val="auto"/>
              </w:rPr>
            </w:pPr>
            <w:r>
              <w:rPr>
                <w:rFonts w:ascii="Arial" w:cs="Arial" w:eastAsia="Arial" w:hAnsi="Arial"/>
                <w:sz w:val="18"/>
                <w:szCs w:val="18"/>
                <w:b w:val="1"/>
                <w:bCs w:val="1"/>
                <w:color w:val="auto"/>
              </w:rPr>
              <w:t>Dividend Reserve</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1"/>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ARTICLE X FISCAL YEAR</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321"/>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44.</w:t>
            </w:r>
          </w:p>
        </w:tc>
        <w:tc>
          <w:tcPr>
            <w:tcW w:w="8540" w:type="dxa"/>
            <w:vAlign w:val="bottom"/>
          </w:tcPr>
          <w:p>
            <w:pPr>
              <w:ind w:left="60"/>
              <w:spacing w:after="0"/>
              <w:rPr>
                <w:sz w:val="20"/>
                <w:szCs w:val="20"/>
                <w:color w:val="auto"/>
              </w:rPr>
            </w:pPr>
            <w:r>
              <w:rPr>
                <w:rFonts w:ascii="Arial" w:cs="Arial" w:eastAsia="Arial" w:hAnsi="Arial"/>
                <w:sz w:val="18"/>
                <w:szCs w:val="18"/>
                <w:b w:val="1"/>
                <w:bCs w:val="1"/>
                <w:color w:val="auto"/>
              </w:rPr>
              <w:t>Fiscal Year</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1"/>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ARTICLE XI INDEMNIFICATION</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321"/>
        </w:trPr>
        <w:tc>
          <w:tcPr>
            <w:tcW w:w="97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45. Indemnification of Directors, Executive Officers, Other Officers, Employees and Other Agents.</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1"/>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ARTICLE XII NOTICES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321"/>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46.</w:t>
            </w:r>
          </w:p>
        </w:tc>
        <w:tc>
          <w:tcPr>
            <w:tcW w:w="8540" w:type="dxa"/>
            <w:vAlign w:val="bottom"/>
          </w:tcPr>
          <w:p>
            <w:pPr>
              <w:ind w:left="60"/>
              <w:spacing w:after="0"/>
              <w:rPr>
                <w:sz w:val="20"/>
                <w:szCs w:val="20"/>
                <w:color w:val="auto"/>
              </w:rPr>
            </w:pPr>
            <w:r>
              <w:rPr>
                <w:rFonts w:ascii="Arial" w:cs="Arial" w:eastAsia="Arial" w:hAnsi="Arial"/>
                <w:sz w:val="18"/>
                <w:szCs w:val="18"/>
                <w:b w:val="1"/>
                <w:bCs w:val="1"/>
                <w:color w:val="auto"/>
              </w:rPr>
              <w:t>Notices</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1"/>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ARTICLE XIII AMENDMENTS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321"/>
        </w:trPr>
        <w:tc>
          <w:tcPr>
            <w:tcW w:w="1240" w:type="dxa"/>
            <w:vAlign w:val="bottom"/>
          </w:tcPr>
          <w:p>
            <w:pPr>
              <w:ind w:left="360"/>
              <w:spacing w:after="0"/>
              <w:rPr>
                <w:sz w:val="20"/>
                <w:szCs w:val="20"/>
                <w:color w:val="auto"/>
              </w:rPr>
            </w:pPr>
            <w:r>
              <w:rPr>
                <w:rFonts w:ascii="Arial" w:cs="Arial" w:eastAsia="Arial" w:hAnsi="Arial"/>
                <w:sz w:val="18"/>
                <w:szCs w:val="18"/>
                <w:b w:val="1"/>
                <w:bCs w:val="1"/>
                <w:color w:val="auto"/>
                <w:w w:val="90"/>
              </w:rPr>
              <w:t>Section 47.</w:t>
            </w:r>
          </w:p>
        </w:tc>
        <w:tc>
          <w:tcPr>
            <w:tcW w:w="8540" w:type="dxa"/>
            <w:vAlign w:val="bottom"/>
          </w:tcPr>
          <w:p>
            <w:pPr>
              <w:ind w:left="60"/>
              <w:spacing w:after="0"/>
              <w:rPr>
                <w:sz w:val="20"/>
                <w:szCs w:val="20"/>
                <w:color w:val="auto"/>
              </w:rPr>
            </w:pPr>
            <w:r>
              <w:rPr>
                <w:rFonts w:ascii="Arial" w:cs="Arial" w:eastAsia="Arial" w:hAnsi="Arial"/>
                <w:sz w:val="18"/>
                <w:szCs w:val="18"/>
                <w:b w:val="1"/>
                <w:bCs w:val="1"/>
                <w:color w:val="auto"/>
              </w:rPr>
              <w:t>Amendments</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1"/>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ARTICLE XIV LOANS TO OFFICERS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321"/>
        </w:trPr>
        <w:tc>
          <w:tcPr>
            <w:tcW w:w="97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48. Loans to Officers</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8">
                      <a:extLst>
                        <a:ext uri="{28A0092B-C50C-407E-A947-70E740481C1C}"/>
                      </a:extLst>
                    </a:blip>
                    <a:srcRect/>
                    <a:stretch>
                      <a:fillRect/>
                    </a:stretch>
                  </pic:blipFill>
                  <pic:spPr bwMode="auto">
                    <a:xfrm>
                      <a:off x="0" y="0"/>
                      <a:ext cx="7176135" cy="37465"/>
                    </a:xfrm>
                    <a:prstGeom prst="rect">
                      <a:avLst/>
                    </a:prstGeom>
                    <a:noFill/>
                  </pic:spPr>
                </pic:pic>
              </a:graphicData>
            </a:graphic>
          </wp:anchor>
        </w:drawing>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60"/>
          </w:cols>
          <w:pgMar w:left="480" w:top="268" w:right="559" w:bottom="1440" w:gutter="0" w:footer="0" w:header="0"/>
        </w:sectPr>
      </w:pPr>
    </w:p>
    <w:bookmarkStart w:id="305" w:name="page306"/>
    <w:bookmarkEnd w:id="3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THIRD AMENDED AND RESTATED BYLAWS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THERAPEUTICS,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DELAWARE CORPORATION)</w:t>
      </w:r>
    </w:p>
    <w:p>
      <w:pPr>
        <w:spacing w:after="0" w:line="20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[_______], 2021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114" w:lineRule="exact"/>
        <w:rPr>
          <w:sz w:val="20"/>
          <w:szCs w:val="20"/>
          <w:color w:val="auto"/>
        </w:rPr>
      </w:pPr>
    </w:p>
    <w:p>
      <w:pPr>
        <w:ind w:firstLine="436"/>
        <w:spacing w:after="0" w:line="340" w:lineRule="auto"/>
        <w:rPr>
          <w:sz w:val="20"/>
          <w:szCs w:val="20"/>
          <w:color w:val="auto"/>
        </w:rPr>
      </w:pPr>
      <w:r>
        <w:rPr>
          <w:rFonts w:ascii="Arial" w:cs="Arial" w:eastAsia="Arial" w:hAnsi="Arial"/>
          <w:sz w:val="16"/>
          <w:szCs w:val="16"/>
          <w:b w:val="1"/>
          <w:bCs w:val="1"/>
          <w:color w:val="auto"/>
        </w:rPr>
        <w:t xml:space="preserve">Section 1. Registered Office. </w:t>
      </w:r>
      <w:r>
        <w:rPr>
          <w:rFonts w:ascii="Arial" w:cs="Arial" w:eastAsia="Arial" w:hAnsi="Arial"/>
          <w:sz w:val="16"/>
          <w:szCs w:val="16"/>
          <w:color w:val="auto"/>
        </w:rPr>
        <w:t>The registered office of Vera Therapeutics, Inc.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in the State of Delaware shall as set forth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of the Corporation, as the same may be amended or restated from time to time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w:t>
      </w:r>
    </w:p>
    <w:p>
      <w:pPr>
        <w:spacing w:after="0" w:line="121" w:lineRule="exact"/>
        <w:rPr>
          <w:sz w:val="20"/>
          <w:szCs w:val="20"/>
          <w:color w:val="auto"/>
        </w:rPr>
      </w:pPr>
    </w:p>
    <w:p>
      <w:pPr>
        <w:ind w:firstLine="436"/>
        <w:spacing w:after="0" w:line="284" w:lineRule="auto"/>
        <w:rPr>
          <w:sz w:val="20"/>
          <w:szCs w:val="20"/>
          <w:color w:val="auto"/>
        </w:rPr>
      </w:pPr>
      <w:r>
        <w:rPr>
          <w:rFonts w:ascii="Arial" w:cs="Arial" w:eastAsia="Arial" w:hAnsi="Arial"/>
          <w:sz w:val="17"/>
          <w:szCs w:val="17"/>
          <w:b w:val="1"/>
          <w:bCs w:val="1"/>
          <w:color w:val="auto"/>
        </w:rPr>
        <w:t xml:space="preserve">Section 2. Other Offices. </w:t>
      </w:r>
      <w:r>
        <w:rPr>
          <w:rFonts w:ascii="Arial" w:cs="Arial" w:eastAsia="Arial" w:hAnsi="Arial"/>
          <w:sz w:val="17"/>
          <w:szCs w:val="17"/>
          <w:color w:val="auto"/>
        </w:rPr>
        <w:t>The Corporation shall also have and maintain an office or principal place of business at such place as may be fixed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of the Corporation (the “</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and may also have offices at such other places, both within and without the State of Delaware, as the Board of Directors may from time to time determine or the business of the Corporation may require.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SEAL</w:t>
      </w:r>
    </w:p>
    <w:p>
      <w:pPr>
        <w:spacing w:after="0" w:line="221" w:lineRule="exact"/>
        <w:rPr>
          <w:sz w:val="20"/>
          <w:szCs w:val="20"/>
          <w:color w:val="auto"/>
        </w:rPr>
      </w:pPr>
    </w:p>
    <w:p>
      <w:pPr>
        <w:ind w:right="180" w:firstLine="436"/>
        <w:spacing w:after="0" w:line="261" w:lineRule="auto"/>
        <w:rPr>
          <w:sz w:val="20"/>
          <w:szCs w:val="20"/>
          <w:color w:val="auto"/>
        </w:rPr>
      </w:pPr>
      <w:r>
        <w:rPr>
          <w:rFonts w:ascii="Arial" w:cs="Arial" w:eastAsia="Arial" w:hAnsi="Arial"/>
          <w:sz w:val="18"/>
          <w:szCs w:val="18"/>
          <w:b w:val="1"/>
          <w:bCs w:val="1"/>
          <w:color w:val="auto"/>
        </w:rPr>
        <w:t xml:space="preserve">Section 3. Corporate Seal. </w:t>
      </w:r>
      <w:r>
        <w:rPr>
          <w:rFonts w:ascii="Arial" w:cs="Arial" w:eastAsia="Arial" w:hAnsi="Arial"/>
          <w:sz w:val="18"/>
          <w:szCs w:val="18"/>
          <w:color w:val="auto"/>
        </w:rPr>
        <w:t>The Board of Directors may adopt a corporate seal. If adopted, the corporate seal shall consist of a die bearing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the Corporation and the inscription, “Corporate Seal-Delaware.” Said seal may be used by causing it or a facsimile thereof to be impressed or affixed or reproduced or otherwise.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MEETINGS</w:t>
      </w:r>
    </w:p>
    <w:p>
      <w:pPr>
        <w:spacing w:after="0" w:line="221" w:lineRule="exact"/>
        <w:rPr>
          <w:sz w:val="20"/>
          <w:szCs w:val="20"/>
          <w:color w:val="auto"/>
        </w:rPr>
      </w:pPr>
    </w:p>
    <w:p>
      <w:pPr>
        <w:ind w:right="20" w:firstLine="436"/>
        <w:spacing w:after="0" w:line="257" w:lineRule="auto"/>
        <w:rPr>
          <w:sz w:val="20"/>
          <w:szCs w:val="20"/>
          <w:color w:val="auto"/>
        </w:rPr>
      </w:pPr>
      <w:r>
        <w:rPr>
          <w:rFonts w:ascii="Arial" w:cs="Arial" w:eastAsia="Arial" w:hAnsi="Arial"/>
          <w:sz w:val="18"/>
          <w:szCs w:val="18"/>
          <w:b w:val="1"/>
          <w:bCs w:val="1"/>
          <w:color w:val="auto"/>
        </w:rPr>
        <w:t xml:space="preserve">Section 4. Place of Meetings. </w:t>
      </w:r>
      <w:r>
        <w:rPr>
          <w:rFonts w:ascii="Arial" w:cs="Arial" w:eastAsia="Arial" w:hAnsi="Arial"/>
          <w:sz w:val="18"/>
          <w:szCs w:val="18"/>
          <w:color w:val="auto"/>
        </w:rPr>
        <w:t>Meetings of the stockholders of the Corporation may be held at such place, if any, either within or without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as may be determined from time to time by the Board of Directors. The Board of Directors may, in its sole discretion, determine that the meeting shall not be held at any place, but may instead be held solely by means of remote communication as provided under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Section 14 below.</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480" w:top="268" w:right="519" w:bottom="1440" w:gutter="0" w:footer="0" w:header="0"/>
        </w:sectPr>
      </w:pPr>
    </w:p>
    <w:bookmarkStart w:id="306" w:name="page307"/>
    <w:bookmarkEnd w:id="306"/>
    <w:p>
      <w:pPr>
        <w:ind w:left="43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5. Annual Meetings.</w:t>
      </w:r>
    </w:p>
    <w:p>
      <w:pPr>
        <w:spacing w:after="0" w:line="118" w:lineRule="exact"/>
        <w:rPr>
          <w:sz w:val="20"/>
          <w:szCs w:val="20"/>
          <w:color w:val="auto"/>
        </w:rPr>
      </w:pPr>
    </w:p>
    <w:p>
      <w:pPr>
        <w:ind w:left="-7" w:right="40" w:firstLine="990"/>
        <w:spacing w:after="0" w:line="266" w:lineRule="auto"/>
        <w:tabs>
          <w:tab w:leader="none" w:pos="1227" w:val="left"/>
        </w:tabs>
        <w:numPr>
          <w:ilvl w:val="1"/>
          <w:numId w:val="210"/>
        </w:numPr>
        <w:rPr>
          <w:rFonts w:ascii="Arial" w:cs="Arial" w:eastAsia="Arial" w:hAnsi="Arial"/>
          <w:sz w:val="17"/>
          <w:szCs w:val="17"/>
          <w:b w:val="1"/>
          <w:bCs w:val="1"/>
          <w:color w:val="auto"/>
        </w:rPr>
      </w:pPr>
      <w:r>
        <w:rPr>
          <w:rFonts w:ascii="Arial" w:cs="Arial" w:eastAsia="Arial" w:hAnsi="Arial"/>
          <w:sz w:val="17"/>
          <w:szCs w:val="17"/>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and proposals of business to be considered by the stockholders may be made at an annual meeting of stockholders: (i) pursuant to the Corporation’s notice of meeting of stockholders; (ii) by or at the direction of the Board of Directors or any duly authorized committee thereof; or (iii) by any stockholder of the Corporation who was a stockholder of record (and, with respect to any beneficial owner, if different, on whose behalf such business is proposed or such nomination or nominations are made, only if such beneficial owner was the beneficial owner of shares of the Corporation) at the 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Arial" w:cs="Arial" w:eastAsia="Arial" w:hAnsi="Arial"/>
          <w:sz w:val="17"/>
          <w:szCs w:val="17"/>
          <w:b w:val="1"/>
          <w:bCs w:val="1"/>
          <w:i w:val="1"/>
          <w:iCs w:val="1"/>
          <w:color w:val="auto"/>
        </w:rPr>
        <w:t>1934 Act</w:t>
      </w:r>
      <w:r>
        <w:rPr>
          <w:rFonts w:ascii="Arial" w:cs="Arial" w:eastAsia="Arial" w:hAnsi="Arial"/>
          <w:sz w:val="17"/>
          <w:szCs w:val="17"/>
          <w:color w:val="auto"/>
        </w:rPr>
        <w:t>”)) before an annual meeting of stockholders.</w:t>
      </w:r>
    </w:p>
    <w:p>
      <w:pPr>
        <w:spacing w:after="0" w:line="77" w:lineRule="exact"/>
        <w:rPr>
          <w:rFonts w:ascii="Arial" w:cs="Arial" w:eastAsia="Arial" w:hAnsi="Arial"/>
          <w:sz w:val="17"/>
          <w:szCs w:val="17"/>
          <w:b w:val="1"/>
          <w:bCs w:val="1"/>
          <w:color w:val="auto"/>
        </w:rPr>
      </w:pPr>
    </w:p>
    <w:p>
      <w:pPr>
        <w:ind w:left="-7" w:right="280" w:firstLine="990"/>
        <w:spacing w:after="0" w:line="281" w:lineRule="auto"/>
        <w:tabs>
          <w:tab w:leader="none" w:pos="1237" w:val="left"/>
        </w:tabs>
        <w:numPr>
          <w:ilvl w:val="1"/>
          <w:numId w:val="210"/>
        </w:numPr>
        <w:rPr>
          <w:rFonts w:ascii="Arial" w:cs="Arial" w:eastAsia="Arial" w:hAnsi="Arial"/>
          <w:sz w:val="17"/>
          <w:szCs w:val="17"/>
          <w:b w:val="1"/>
          <w:bCs w:val="1"/>
          <w:color w:val="auto"/>
        </w:rPr>
      </w:pPr>
      <w:r>
        <w:rPr>
          <w:rFonts w:ascii="Arial" w:cs="Arial" w:eastAsia="Arial" w:hAnsi="Arial"/>
          <w:sz w:val="17"/>
          <w:szCs w:val="17"/>
          <w:color w:val="auto"/>
        </w:rPr>
        <w:t>At an annual meeting of the stockholders, only such business shall be conducted as is a proper matter for stockholder action under Delaware law, the Certificate of Incorporation and these Third Amended and Restated Bylaws, as the same may be amended or restated from time to time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and as shall have been properly brought before the meeting in accordance therewith.</w:t>
      </w:r>
    </w:p>
    <w:p>
      <w:pPr>
        <w:spacing w:after="0" w:line="62" w:lineRule="exact"/>
        <w:rPr>
          <w:rFonts w:ascii="Arial" w:cs="Arial" w:eastAsia="Arial" w:hAnsi="Arial"/>
          <w:sz w:val="17"/>
          <w:szCs w:val="17"/>
          <w:b w:val="1"/>
          <w:bCs w:val="1"/>
          <w:color w:val="auto"/>
        </w:rPr>
      </w:pPr>
    </w:p>
    <w:p>
      <w:pPr>
        <w:ind w:left="-7" w:firstLine="1426"/>
        <w:spacing w:after="0" w:line="283" w:lineRule="auto"/>
        <w:tabs>
          <w:tab w:leader="none" w:pos="1624" w:val="left"/>
        </w:tabs>
        <w:numPr>
          <w:ilvl w:val="2"/>
          <w:numId w:val="210"/>
        </w:numPr>
        <w:rPr>
          <w:rFonts w:ascii="Arial" w:cs="Arial" w:eastAsia="Arial" w:hAnsi="Arial"/>
          <w:sz w:val="16"/>
          <w:szCs w:val="16"/>
          <w:b w:val="1"/>
          <w:bCs w:val="1"/>
          <w:color w:val="auto"/>
        </w:rPr>
      </w:pPr>
      <w:r>
        <w:rPr>
          <w:rFonts w:ascii="Arial" w:cs="Arial" w:eastAsia="Arial" w:hAnsi="Arial"/>
          <w:sz w:val="16"/>
          <w:szCs w:val="16"/>
          <w:color w:val="auto"/>
        </w:rPr>
        <w:t>For nominations for the election to the Board of Directors to be properly brought before an annual meeting by a stockholder pursuant to clause (iii) of Section 5(a) of the Bylaws, the stockholder must deliver written notice to the Secretary of the Corporation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w:t>
      </w:r>
    </w:p>
    <w:p>
      <w:pPr>
        <w:jc w:val="both"/>
        <w:ind w:left="-7" w:right="140" w:firstLine="7"/>
        <w:spacing w:after="0" w:line="318" w:lineRule="auto"/>
        <w:tabs>
          <w:tab w:leader="none" w:pos="245" w:val="left"/>
        </w:tabs>
        <w:numPr>
          <w:ilvl w:val="0"/>
          <w:numId w:val="211"/>
        </w:numPr>
        <w:rPr>
          <w:rFonts w:ascii="Arial" w:cs="Arial" w:eastAsia="Arial" w:hAnsi="Arial"/>
          <w:sz w:val="14"/>
          <w:szCs w:val="14"/>
          <w:color w:val="auto"/>
        </w:rPr>
      </w:pPr>
      <w:r>
        <w:rPr>
          <w:rFonts w:ascii="Arial" w:cs="Arial" w:eastAsia="Arial" w:hAnsi="Arial"/>
          <w:sz w:val="14"/>
          <w:szCs w:val="14"/>
          <w:color w:val="auto"/>
        </w:rPr>
        <w:t>the name, age, business address and residence address of such nominee; (2) the principal occupation or employment of such nominee; (3) the class and series and number of shares of each class and series of capital stock of the Corporation that are owned of record and beneficially by such nominee;</w:t>
      </w:r>
    </w:p>
    <w:p>
      <w:pPr>
        <w:spacing w:after="0" w:line="1" w:lineRule="exact"/>
        <w:rPr>
          <w:rFonts w:ascii="Arial" w:cs="Arial" w:eastAsia="Arial" w:hAnsi="Arial"/>
          <w:sz w:val="14"/>
          <w:szCs w:val="14"/>
          <w:color w:val="auto"/>
        </w:rPr>
      </w:pPr>
    </w:p>
    <w:p>
      <w:pPr>
        <w:ind w:left="-7" w:firstLine="7"/>
        <w:spacing w:after="0" w:line="284" w:lineRule="auto"/>
        <w:tabs>
          <w:tab w:leader="none" w:pos="24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date or dates on which such shares were acquired and the investment intent of such acquisition; and (5) such other information concerning such nominee as would be required to be disclosed in a proxy statement soliciting proxies for the election of such nominee as a director in an election contest (even if an election contest is not involved and whether or not proxies are being or will be solicited), or that is otherwise required to be disclosed pursuant to Section 14 of the 1934 Act and the rules and regulations promulgated thereunder (including such person’s written consent to being named in the Corporation’s proxy statement and associated proxy card as a nominee of the stockholder and to serving as a director if elected); and (B) all of the information required by Section 5(b)(iv). The Corporation may require any proposed nominee to furnish such other information as it may reasonably require to determine the eligibility of such proposed nominee to serve as an independent director of the Corporation or as an independent member of any committee of the Board of Directors (in both cases as defined any applicable stock exchange listing requirements or applicable law) or that could be material to a reasonable stockholder’s understanding of the independence, or lack thereof, of such proposed nominee.</w:t>
      </w:r>
    </w:p>
    <w:p>
      <w:pPr>
        <w:spacing w:after="0" w:line="60" w:lineRule="exact"/>
        <w:rPr>
          <w:rFonts w:ascii="Arial" w:cs="Arial" w:eastAsia="Arial" w:hAnsi="Arial"/>
          <w:sz w:val="16"/>
          <w:szCs w:val="16"/>
          <w:color w:val="auto"/>
        </w:rPr>
      </w:pPr>
    </w:p>
    <w:p>
      <w:pPr>
        <w:ind w:left="-7" w:right="100" w:firstLine="1426"/>
        <w:spacing w:after="0" w:line="293" w:lineRule="auto"/>
        <w:tabs>
          <w:tab w:leader="none" w:pos="1674" w:val="left"/>
        </w:tabs>
        <w:numPr>
          <w:ilvl w:val="2"/>
          <w:numId w:val="212"/>
        </w:numPr>
        <w:rPr>
          <w:rFonts w:ascii="Arial" w:cs="Arial" w:eastAsia="Arial" w:hAnsi="Arial"/>
          <w:sz w:val="16"/>
          <w:szCs w:val="16"/>
          <w:b w:val="1"/>
          <w:bCs w:val="1"/>
          <w:color w:val="auto"/>
        </w:rPr>
      </w:pPr>
      <w:r>
        <w:rPr>
          <w:rFonts w:ascii="Arial" w:cs="Arial" w:eastAsia="Arial" w:hAnsi="Arial"/>
          <w:sz w:val="16"/>
          <w:szCs w:val="16"/>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of the Bylaws, the stockholder must deliver written notice to the Secretary of the Corporation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w:t>
      </w:r>
    </w:p>
    <w:p>
      <w:pPr>
        <w:spacing w:after="0" w:line="94"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93"/>
          </w:cols>
          <w:pgMar w:left="487" w:top="268" w:right="519" w:bottom="1440" w:gutter="0" w:footer="0" w:header="0"/>
        </w:sectPr>
      </w:pPr>
    </w:p>
    <w:bookmarkStart w:id="307" w:name="page308"/>
    <w:bookmarkEnd w:id="307"/>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w:t>
      </w:r>
    </w:p>
    <w:p>
      <w:pPr>
        <w:spacing w:after="0" w:line="54" w:lineRule="exact"/>
        <w:rPr>
          <w:sz w:val="20"/>
          <w:szCs w:val="20"/>
          <w:color w:val="auto"/>
        </w:rPr>
      </w:pPr>
    </w:p>
    <w:p>
      <w:pPr>
        <w:ind w:firstLine="1426"/>
        <w:spacing w:after="0" w:line="281" w:lineRule="auto"/>
        <w:tabs>
          <w:tab w:leader="none" w:pos="1731" w:val="left"/>
        </w:tabs>
        <w:numPr>
          <w:ilvl w:val="0"/>
          <w:numId w:val="213"/>
        </w:numPr>
        <w:rPr>
          <w:rFonts w:ascii="Arial" w:cs="Arial" w:eastAsia="Arial" w:hAnsi="Arial"/>
          <w:sz w:val="16"/>
          <w:szCs w:val="16"/>
          <w:b w:val="1"/>
          <w:bCs w:val="1"/>
          <w:color w:val="auto"/>
        </w:rPr>
      </w:pPr>
      <w:r>
        <w:rPr>
          <w:rFonts w:ascii="Arial" w:cs="Arial" w:eastAsia="Arial" w:hAnsi="Arial"/>
          <w:sz w:val="16"/>
          <w:szCs w:val="16"/>
          <w:color w:val="auto"/>
        </w:rPr>
        <w:t>To be timely, the written notice required by Section 5(b)(i) or 5(b)(ii) must be received by the Secretary of the Corporation at the principal executive offices of the Corporation not later than the close of business on the 90</w:t>
      </w:r>
      <w:r>
        <w:rPr>
          <w:rFonts w:ascii="Arial" w:cs="Arial" w:eastAsia="Arial" w:hAnsi="Arial"/>
          <w:sz w:val="13"/>
          <w:szCs w:val="13"/>
          <w:color w:val="auto"/>
        </w:rPr>
        <w:t>th</w:t>
      </w:r>
      <w:r>
        <w:rPr>
          <w:rFonts w:ascii="Arial" w:cs="Arial" w:eastAsia="Arial" w:hAnsi="Arial"/>
          <w:sz w:val="16"/>
          <w:szCs w:val="16"/>
          <w:color w:val="auto"/>
        </w:rPr>
        <w:t xml:space="preserve"> day nor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(or, in the case of the Corporation’s annual meeting of stockholders in 2022, not later than the close of business on the 90</w:t>
      </w:r>
      <w:r>
        <w:rPr>
          <w:rFonts w:ascii="Arial" w:cs="Arial" w:eastAsia="Arial" w:hAnsi="Arial"/>
          <w:sz w:val="13"/>
          <w:szCs w:val="13"/>
          <w:color w:val="auto"/>
        </w:rPr>
        <w:t>th</w:t>
      </w:r>
      <w:r>
        <w:rPr>
          <w:rFonts w:ascii="Arial" w:cs="Arial" w:eastAsia="Arial" w:hAnsi="Arial"/>
          <w:sz w:val="16"/>
          <w:szCs w:val="16"/>
          <w:color w:val="auto"/>
        </w:rPr>
        <w:t xml:space="preserve"> day prior to June 4, 2022 nor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June 4, 2022; provided, however, that, subject to the last sentence of this Section 5(b)(iii), in the event that the date of the annual meeting is advanced more than 30 days prior to or delayed by more than 30 days after the anniversary of the preceding year’s annual meeting (or, in the case of the Corporation’s annual meeting of stockholders in 2022, the date of such meeting is advanced by more than 30 days prior to or delayed by more than 30 days after June 4,</w:t>
      </w:r>
    </w:p>
    <w:p>
      <w:pPr>
        <w:spacing w:after="0" w:line="2" w:lineRule="exact"/>
        <w:rPr>
          <w:rFonts w:ascii="Arial" w:cs="Arial" w:eastAsia="Arial" w:hAnsi="Arial"/>
          <w:sz w:val="16"/>
          <w:szCs w:val="16"/>
          <w:b w:val="1"/>
          <w:bCs w:val="1"/>
          <w:color w:val="auto"/>
        </w:rPr>
      </w:pPr>
    </w:p>
    <w:p>
      <w:pPr>
        <w:ind w:right="2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2022), notice by the stockholder to be timely must be so received not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if later than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the closing of business on the tenth day following the day on which public announcement of the date of such meeting is first made. In no event shall an adjournment or a postponement of an annual meeting for which notice has been given, or the public announcement thereof has been made, commence a new time period (or extend any time period) for the giving of a stockholder’s notice as described above.</w:t>
      </w:r>
    </w:p>
    <w:p>
      <w:pPr>
        <w:spacing w:after="0" w:line="60" w:lineRule="exact"/>
        <w:rPr>
          <w:rFonts w:ascii="Arial" w:cs="Arial" w:eastAsia="Arial" w:hAnsi="Arial"/>
          <w:sz w:val="16"/>
          <w:szCs w:val="16"/>
          <w:b w:val="1"/>
          <w:bCs w:val="1"/>
          <w:color w:val="auto"/>
        </w:rPr>
      </w:pPr>
    </w:p>
    <w:p>
      <w:pPr>
        <w:ind w:right="40" w:firstLine="1426"/>
        <w:spacing w:after="0" w:line="265" w:lineRule="auto"/>
        <w:tabs>
          <w:tab w:leader="none" w:pos="1721" w:val="left"/>
        </w:tabs>
        <w:numPr>
          <w:ilvl w:val="0"/>
          <w:numId w:val="213"/>
        </w:numPr>
        <w:rPr>
          <w:rFonts w:ascii="Arial" w:cs="Arial" w:eastAsia="Arial" w:hAnsi="Arial"/>
          <w:sz w:val="17"/>
          <w:szCs w:val="17"/>
          <w:b w:val="1"/>
          <w:bCs w:val="1"/>
          <w:color w:val="auto"/>
        </w:rPr>
      </w:pPr>
      <w:r>
        <w:rPr>
          <w:rFonts w:ascii="Arial" w:cs="Arial" w:eastAsia="Arial" w:hAnsi="Arial"/>
          <w:sz w:val="17"/>
          <w:szCs w:val="17"/>
          <w:color w:val="auto"/>
        </w:rPr>
        <w:t>The written notice required by Section 5(b)(i) or 5(b)(ii) shall also set forth, as of the date of the notice and as to the stockholder giving the notice and the beneficial owner, if any, on whose behalf the nomination or proposal is made (each, a “</w:t>
      </w:r>
      <w:r>
        <w:rPr>
          <w:rFonts w:ascii="Arial" w:cs="Arial" w:eastAsia="Arial" w:hAnsi="Arial"/>
          <w:sz w:val="17"/>
          <w:szCs w:val="17"/>
          <w:b w:val="1"/>
          <w:bCs w:val="1"/>
          <w:i w:val="1"/>
          <w:iCs w:val="1"/>
          <w:color w:val="auto"/>
        </w:rPr>
        <w:t>Proponent</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Proponents</w:t>
      </w:r>
      <w:r>
        <w:rPr>
          <w:rFonts w:ascii="Arial" w:cs="Arial" w:eastAsia="Arial" w:hAnsi="Arial"/>
          <w:sz w:val="17"/>
          <w:szCs w:val="17"/>
          <w:color w:val="auto"/>
        </w:rPr>
        <w:t>”):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holders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and (G) a description of all Derivative Transactions (as defined below) by each Proponent during the previous 12-month period, including the date of the transactions and the class, series and number of securities involved in, and the material economic terms of, such Derivative Transactions.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308" w:name="page309"/>
    <w:bookmarkEnd w:id="308"/>
    <w:p>
      <w:pPr>
        <w:ind w:left="-20" w:right="60" w:firstLine="990"/>
        <w:spacing w:after="0" w:line="267" w:lineRule="auto"/>
        <w:tabs>
          <w:tab w:leader="none" w:pos="1204" w:val="left"/>
        </w:tabs>
        <w:numPr>
          <w:ilvl w:val="0"/>
          <w:numId w:val="21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 stockholder providing written notice required by Section 5(b)(i) or (ii) shall update and supplement such notice in writing, if necessary, so that the information provided or required to be provided in such notice is true and correct in all material respects as of (i) the record date for the meeting and (ii) the date that is five business days(as defined below) prior to the meeting and, in the event of any adjournment or postponement thereof, five business days prior to such adjourned or postponed meeting. In the case of an update and supplement pursuant to clause (i) of this Section 5(c), such update and supplement shall be received by the Secretary of the Corporation at the principal executive offices of the Corporation not later than five business days after the record date for the meeting. In the case of an update and supplement pursuant to clause (ii) of this Section 5(c), such update and supplement shall be received by the Secretary of the Corporation at the principal executive offices of the Corporation not later than two business days prior to the date for the meeting, and, in the event of any adjournment or postponement thereof, two business days prior to such adjourned or postponed meeting.</w:t>
      </w:r>
    </w:p>
    <w:p>
      <w:pPr>
        <w:spacing w:after="0" w:line="75" w:lineRule="exact"/>
        <w:rPr>
          <w:rFonts w:ascii="Arial" w:cs="Arial" w:eastAsia="Arial" w:hAnsi="Arial"/>
          <w:sz w:val="17"/>
          <w:szCs w:val="17"/>
          <w:b w:val="1"/>
          <w:bCs w:val="1"/>
          <w:color w:val="auto"/>
        </w:rPr>
      </w:pPr>
    </w:p>
    <w:p>
      <w:pPr>
        <w:ind w:left="-20" w:firstLine="990"/>
        <w:spacing w:after="0" w:line="287" w:lineRule="auto"/>
        <w:tabs>
          <w:tab w:leader="none" w:pos="1225" w:val="left"/>
        </w:tabs>
        <w:numPr>
          <w:ilvl w:val="0"/>
          <w:numId w:val="214"/>
        </w:numPr>
        <w:rPr>
          <w:rFonts w:ascii="Arial" w:cs="Arial" w:eastAsia="Arial" w:hAnsi="Arial"/>
          <w:sz w:val="16"/>
          <w:szCs w:val="16"/>
          <w:b w:val="1"/>
          <w:bCs w:val="1"/>
          <w:color w:val="auto"/>
        </w:rPr>
      </w:pPr>
      <w:r>
        <w:rPr>
          <w:rFonts w:ascii="Arial" w:cs="Arial" w:eastAsia="Arial" w:hAnsi="Arial"/>
          <w:sz w:val="16"/>
          <w:szCs w:val="16"/>
          <w:color w:val="auto"/>
        </w:rPr>
        <w:t>Notwithstanding anything in Section 5(b)(iii) to the contrary, in the event that the number of directors in an Expiring Class (as defined below) is increased and there is no public announcement of the appointment of a director to such class, or, if no appointment was made, of the vacancy in such class, made by the Corporation at least ten days before the last day a stockholder may deliver a notice of nomination in accordance with Section 5(b)(iii), a stockholder’s notice required by this Section 5 and that complies with the requirements in Section 5(b)(i), other than the timing requirements in Section 5(b)(iii), shall also be considered timely, but only with respect to nominees for any new positions in such Expiring Class created by such increase, if it shall be received by the Secretary of the Corporation at the principal executive offices of the Corporation not later than the close of business on the tenth day following the day on which such public announcement is first made by the Corporation. For purposes of this section, an “</w:t>
      </w:r>
      <w:r>
        <w:rPr>
          <w:rFonts w:ascii="Arial" w:cs="Arial" w:eastAsia="Arial" w:hAnsi="Arial"/>
          <w:sz w:val="16"/>
          <w:szCs w:val="16"/>
          <w:b w:val="1"/>
          <w:bCs w:val="1"/>
          <w:i w:val="1"/>
          <w:iCs w:val="1"/>
          <w:color w:val="auto"/>
        </w:rPr>
        <w:t>Expiring Class</w:t>
      </w:r>
      <w:r>
        <w:rPr>
          <w:rFonts w:ascii="Arial" w:cs="Arial" w:eastAsia="Arial" w:hAnsi="Arial"/>
          <w:sz w:val="16"/>
          <w:szCs w:val="16"/>
          <w:color w:val="auto"/>
        </w:rPr>
        <w:t>” shall mean a class of directors whose term will expire at the next annual meeting of stockholders.</w:t>
      </w:r>
    </w:p>
    <w:p>
      <w:pPr>
        <w:spacing w:after="0" w:line="58" w:lineRule="exact"/>
        <w:rPr>
          <w:rFonts w:ascii="Arial" w:cs="Arial" w:eastAsia="Arial" w:hAnsi="Arial"/>
          <w:sz w:val="16"/>
          <w:szCs w:val="16"/>
          <w:b w:val="1"/>
          <w:bCs w:val="1"/>
          <w:color w:val="auto"/>
        </w:rPr>
      </w:pPr>
    </w:p>
    <w:p>
      <w:pPr>
        <w:ind w:left="-20" w:right="140" w:firstLine="990"/>
        <w:spacing w:after="0" w:line="285" w:lineRule="auto"/>
        <w:tabs>
          <w:tab w:leader="none" w:pos="1204" w:val="left"/>
        </w:tabs>
        <w:numPr>
          <w:ilvl w:val="0"/>
          <w:numId w:val="214"/>
        </w:numPr>
        <w:rPr>
          <w:rFonts w:ascii="Arial" w:cs="Arial" w:eastAsia="Arial" w:hAnsi="Arial"/>
          <w:sz w:val="16"/>
          <w:szCs w:val="16"/>
          <w:b w:val="1"/>
          <w:bCs w:val="1"/>
          <w:color w:val="auto"/>
        </w:rPr>
      </w:pPr>
      <w:r>
        <w:rPr>
          <w:rFonts w:ascii="Arial" w:cs="Arial" w:eastAsia="Arial" w:hAnsi="Arial"/>
          <w:sz w:val="16"/>
          <w:szCs w:val="16"/>
          <w:color w:val="auto"/>
        </w:rPr>
        <w:t>A person shall not be eligible for election or re-election as a director at an annual meeting unless the person is nominated either in accordance with either clause (ii) of Section 5(a), or in accordance with clause (iii) of Section 5(a) and in accordance with the procedures set forth in Section 5(b), Section 5(c), and Section 5(d), as applicable. Only such business shall be conducted at any annual meeting of the stockholders of the Corporation as shall have been brought before the meeting in accordance with clauses (i), (ii), or (iii) of Section 5(a) and in accordance with the procedures set forth in Section 5(b) and Section 5(c), as applicable. Except as otherwise required by law, the chairperson of the meeting shall have the power and duty to determine whether a nomination or any business proposed to be brought before the meeting was made, or proposed, as the case may be, in accordance with the procedures set forth in the Bylaws and, if any proposed nomination or business is not in compliance with the Bylaws, or the Proponent does not act in accordance with the representations in Sections 5(b)(iv)(D) and 5(b)(iv)(E), to declare that such proposal or nomination shall not be presented for stockholder action at the meeting and shall be disregarded, or that such business shall not be transacted, notwithstanding that proxies in respect of such nominations or such business may have been solicited or received.</w:t>
      </w:r>
    </w:p>
    <w:p>
      <w:pPr>
        <w:spacing w:after="0" w:line="61" w:lineRule="exact"/>
        <w:rPr>
          <w:rFonts w:ascii="Arial" w:cs="Arial" w:eastAsia="Arial" w:hAnsi="Arial"/>
          <w:sz w:val="16"/>
          <w:szCs w:val="16"/>
          <w:b w:val="1"/>
          <w:bCs w:val="1"/>
          <w:color w:val="auto"/>
        </w:rPr>
      </w:pPr>
    </w:p>
    <w:p>
      <w:pPr>
        <w:ind w:left="-20" w:right="20" w:firstLine="990"/>
        <w:spacing w:after="0" w:line="288" w:lineRule="auto"/>
        <w:tabs>
          <w:tab w:leader="none" w:pos="1185" w:val="left"/>
        </w:tabs>
        <w:numPr>
          <w:ilvl w:val="0"/>
          <w:numId w:val="214"/>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 Bylaws shall be deemed to affect any rights of stockholders to request inclusion of proposals in the Corporation’s proxy statement pursuant to Rule 14a-8 under the 1934 Act;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references in the Bylaws to the 1934 Act or the rules and regulations thereunder are not intended to and shall not limit the requirements applicable to proposals and/or nominations to be considered pursuant to Section 5(a)(iii) of the Bylaws. Nothing in the Bylaws shall be deemed to affect any rights of holders of any class or series of preferred stock to nominate and elect directors pursuant to and to the extent provided in any applicable provision of the Certificate of Incorporation.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500" w:top="272" w:right="499" w:bottom="1440" w:gutter="0" w:footer="0" w:header="0"/>
        </w:sectPr>
      </w:pPr>
    </w:p>
    <w:bookmarkStart w:id="309" w:name="page310"/>
    <w:bookmarkEnd w:id="309"/>
    <w:p>
      <w:pPr>
        <w:ind w:left="1240" w:hanging="250"/>
        <w:spacing w:after="0"/>
        <w:tabs>
          <w:tab w:leader="none" w:pos="1240"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purposes of Sections 5 and 6,</w:t>
      </w:r>
    </w:p>
    <w:p>
      <w:pPr>
        <w:spacing w:after="0" w:line="113" w:lineRule="exact"/>
        <w:rPr>
          <w:rFonts w:ascii="Arial" w:cs="Arial" w:eastAsia="Arial" w:hAnsi="Arial"/>
          <w:sz w:val="18"/>
          <w:szCs w:val="18"/>
          <w:b w:val="1"/>
          <w:bCs w:val="1"/>
          <w:color w:val="auto"/>
        </w:rPr>
      </w:pPr>
    </w:p>
    <w:p>
      <w:pPr>
        <w:ind w:left="1640" w:hanging="214"/>
        <w:spacing w:after="0"/>
        <w:tabs>
          <w:tab w:leader="none" w:pos="1640" w:val="left"/>
        </w:tabs>
        <w:numPr>
          <w:ilvl w:val="1"/>
          <w:numId w:val="2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associates</w:t>
      </w:r>
      <w:r>
        <w:rPr>
          <w:rFonts w:ascii="Arial" w:cs="Arial" w:eastAsia="Arial" w:hAnsi="Arial"/>
          <w:sz w:val="16"/>
          <w:szCs w:val="16"/>
          <w:color w:val="auto"/>
        </w:rPr>
        <w:t>” shall have the meanings set forth in Rule 405 under the Securities Act of 1933, as amended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w:t>
      </w:r>
    </w:p>
    <w:p>
      <w:pPr>
        <w:spacing w:after="0" w:line="101" w:lineRule="exact"/>
        <w:rPr>
          <w:sz w:val="20"/>
          <w:szCs w:val="20"/>
          <w:color w:val="auto"/>
        </w:rPr>
      </w:pPr>
    </w:p>
    <w:p>
      <w:pPr>
        <w:ind w:left="1680" w:hanging="254"/>
        <w:spacing w:after="0"/>
        <w:tabs>
          <w:tab w:leader="none" w:pos="1680" w:val="left"/>
        </w:tabs>
        <w:numPr>
          <w:ilvl w:val="1"/>
          <w:numId w:val="21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any date other than a Saturday, Sunday or a day on which banks are closed in New York City, New York.</w:t>
      </w:r>
    </w:p>
    <w:p>
      <w:pPr>
        <w:spacing w:after="0" w:line="136" w:lineRule="exact"/>
        <w:rPr>
          <w:rFonts w:ascii="Arial" w:cs="Arial" w:eastAsia="Arial" w:hAnsi="Arial"/>
          <w:sz w:val="16"/>
          <w:szCs w:val="16"/>
          <w:b w:val="1"/>
          <w:bCs w:val="1"/>
          <w:color w:val="auto"/>
        </w:rPr>
      </w:pPr>
    </w:p>
    <w:p>
      <w:pPr>
        <w:ind w:right="540" w:firstLine="1426"/>
        <w:spacing w:after="0" w:line="271" w:lineRule="auto"/>
        <w:tabs>
          <w:tab w:leader="none" w:pos="1731" w:val="left"/>
        </w:tabs>
        <w:numPr>
          <w:ilvl w:val="1"/>
          <w:numId w:val="2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means 5:00 p.m. local time at the principal executive offices of the Corporation on any calendar day, whether or not the day is a Business Day.</w:t>
      </w:r>
    </w:p>
    <w:p>
      <w:pPr>
        <w:spacing w:after="0" w:line="67" w:lineRule="exact"/>
        <w:rPr>
          <w:rFonts w:ascii="Arial" w:cs="Arial" w:eastAsia="Arial" w:hAnsi="Arial"/>
          <w:sz w:val="18"/>
          <w:szCs w:val="18"/>
          <w:b w:val="1"/>
          <w:bCs w:val="1"/>
          <w:color w:val="auto"/>
        </w:rPr>
      </w:pPr>
    </w:p>
    <w:p>
      <w:pPr>
        <w:ind w:right="120" w:firstLine="1426"/>
        <w:spacing w:after="0" w:line="271" w:lineRule="auto"/>
        <w:tabs>
          <w:tab w:leader="none" w:pos="1721" w:val="left"/>
        </w:tabs>
        <w:numPr>
          <w:ilvl w:val="1"/>
          <w:numId w:val="2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Derivative Transaction</w:t>
      </w:r>
      <w:r>
        <w:rPr>
          <w:rFonts w:ascii="Arial" w:cs="Arial" w:eastAsia="Arial" w:hAnsi="Arial"/>
          <w:sz w:val="18"/>
          <w:szCs w:val="18"/>
          <w:color w:val="auto"/>
        </w:rPr>
        <w:t>” means any agreement, arrangement, interest or understanding entered into by, or on behalf or for the benefit of, any Proponent or any of its affiliates or associates, whether record or beneficial:</w:t>
      </w:r>
    </w:p>
    <w:p>
      <w:pPr>
        <w:spacing w:after="0" w:line="67" w:lineRule="exact"/>
        <w:rPr>
          <w:rFonts w:ascii="Arial" w:cs="Arial" w:eastAsia="Arial" w:hAnsi="Arial"/>
          <w:sz w:val="18"/>
          <w:szCs w:val="18"/>
          <w:b w:val="1"/>
          <w:bCs w:val="1"/>
          <w:color w:val="auto"/>
        </w:rPr>
      </w:pPr>
    </w:p>
    <w:p>
      <w:pPr>
        <w:ind w:left="700" w:hanging="256"/>
        <w:spacing w:after="0"/>
        <w:tabs>
          <w:tab w:leader="none" w:pos="7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value of which is derived in whole or in part from the value of any class or series of shares or other securities of the Corporation,</w:t>
      </w:r>
    </w:p>
    <w:p>
      <w:pPr>
        <w:spacing w:after="0" w:line="125" w:lineRule="exact"/>
        <w:rPr>
          <w:rFonts w:ascii="Arial" w:cs="Arial" w:eastAsia="Arial" w:hAnsi="Arial"/>
          <w:sz w:val="17"/>
          <w:szCs w:val="17"/>
          <w:color w:val="auto"/>
        </w:rPr>
      </w:pPr>
    </w:p>
    <w:p>
      <w:pPr>
        <w:ind w:left="440" w:right="240" w:firstLine="4"/>
        <w:spacing w:after="0" w:line="271" w:lineRule="auto"/>
        <w:tabs>
          <w:tab w:leader="none" w:pos="69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that otherwise provides any direct or indirect opportunity to gain or share in any gain derived from a change in the value of securities of the Corporation,</w:t>
      </w:r>
    </w:p>
    <w:p>
      <w:pPr>
        <w:spacing w:after="0" w:line="67" w:lineRule="exact"/>
        <w:rPr>
          <w:rFonts w:ascii="Arial" w:cs="Arial" w:eastAsia="Arial" w:hAnsi="Arial"/>
          <w:sz w:val="18"/>
          <w:szCs w:val="18"/>
          <w:color w:val="auto"/>
        </w:rPr>
      </w:pPr>
    </w:p>
    <w:p>
      <w:pPr>
        <w:ind w:left="700" w:hanging="256"/>
        <w:spacing w:after="0"/>
        <w:tabs>
          <w:tab w:leader="none" w:pos="7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effect or intent of which is to mitigate loss, manage risk or benefit of security value or price changes, or</w:t>
      </w:r>
    </w:p>
    <w:p>
      <w:pPr>
        <w:spacing w:after="0" w:line="113" w:lineRule="exact"/>
        <w:rPr>
          <w:rFonts w:ascii="Arial" w:cs="Arial" w:eastAsia="Arial" w:hAnsi="Arial"/>
          <w:sz w:val="18"/>
          <w:szCs w:val="18"/>
          <w:color w:val="auto"/>
        </w:rPr>
      </w:pPr>
    </w:p>
    <w:p>
      <w:pPr>
        <w:ind w:left="440" w:right="60" w:firstLine="4"/>
        <w:spacing w:after="0" w:line="271" w:lineRule="auto"/>
        <w:tabs>
          <w:tab w:leader="none" w:pos="69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that provides the right to vote or increase or decrease the voting power of, such Proponent, or any of its affiliates or associates, with respect to any securities of the Corporation,</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which agreement, arrangement, interest or understanding may include, without limitation, any option, warrant, debt position, note, bond, convertible security, swap, stock appreciation or similar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w:t>
      </w:r>
    </w:p>
    <w:p>
      <w:pPr>
        <w:spacing w:after="0" w:line="69" w:lineRule="exact"/>
        <w:rPr>
          <w:sz w:val="20"/>
          <w:szCs w:val="20"/>
          <w:color w:val="auto"/>
        </w:rPr>
      </w:pPr>
    </w:p>
    <w:p>
      <w:pPr>
        <w:ind w:right="20" w:firstLine="1426"/>
        <w:spacing w:after="0" w:line="297" w:lineRule="auto"/>
        <w:tabs>
          <w:tab w:leader="none" w:pos="1671" w:val="left"/>
        </w:tabs>
        <w:numPr>
          <w:ilvl w:val="0"/>
          <w:numId w:val="21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public announcement</w:t>
      </w:r>
      <w:r>
        <w:rPr>
          <w:rFonts w:ascii="Arial" w:cs="Arial" w:eastAsia="Arial" w:hAnsi="Arial"/>
          <w:sz w:val="16"/>
          <w:szCs w:val="16"/>
          <w:color w:val="auto"/>
        </w:rPr>
        <w:t>” shall mean disclosure in a press release reported by the Dow Jones News Service, Associated Press, Business Wire, GlobeNewswire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 and</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6. Special Meetings</w:t>
      </w:r>
      <w:r>
        <w:rPr>
          <w:rFonts w:ascii="Arial" w:cs="Arial" w:eastAsia="Arial" w:hAnsi="Arial"/>
          <w:sz w:val="18"/>
          <w:szCs w:val="18"/>
          <w:color w:val="auto"/>
        </w:rPr>
        <w:t>.</w:t>
      </w:r>
    </w:p>
    <w:p>
      <w:pPr>
        <w:spacing w:after="0" w:line="118" w:lineRule="exact"/>
        <w:rPr>
          <w:sz w:val="20"/>
          <w:szCs w:val="20"/>
          <w:color w:val="auto"/>
        </w:rPr>
      </w:pPr>
    </w:p>
    <w:p>
      <w:pPr>
        <w:ind w:firstLine="990"/>
        <w:spacing w:after="0" w:line="253" w:lineRule="auto"/>
        <w:tabs>
          <w:tab w:leader="none" w:pos="1234"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as is a proper matter for stockholder action under Delaware law, by (i) the Chairperson of the Board of Directors, (ii) the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480" w:top="272" w:right="539" w:bottom="1440" w:gutter="0" w:footer="0" w:header="0"/>
        </w:sectPr>
      </w:pPr>
    </w:p>
    <w:bookmarkStart w:id="310" w:name="page311"/>
    <w:bookmarkEnd w:id="310"/>
    <w:p>
      <w:pPr>
        <w:ind w:firstLine="990"/>
        <w:spacing w:after="0" w:line="307" w:lineRule="auto"/>
        <w:tabs>
          <w:tab w:leader="none" w:pos="1245" w:val="left"/>
        </w:tabs>
        <w:numPr>
          <w:ilvl w:val="0"/>
          <w:numId w:val="22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Board of Directors shall determine the time and place, if any, of such special meeting. Upon determination of the time and place, if any, of the meeting, the Secretary of the Corporation shall cause a notice of meeting to be given to the stockholders entitled to vote, in accordance with the provisions of Section 7 of the Bylaws. No business may be transacted at such special meeting other than specified in the notice of meeting.</w:t>
      </w:r>
    </w:p>
    <w:p>
      <w:pPr>
        <w:spacing w:after="0" w:line="42" w:lineRule="exact"/>
        <w:rPr>
          <w:rFonts w:ascii="Arial" w:cs="Arial" w:eastAsia="Arial" w:hAnsi="Arial"/>
          <w:sz w:val="16"/>
          <w:szCs w:val="16"/>
          <w:b w:val="1"/>
          <w:bCs w:val="1"/>
          <w:color w:val="auto"/>
        </w:rPr>
      </w:pPr>
    </w:p>
    <w:p>
      <w:pPr>
        <w:ind w:firstLine="990"/>
        <w:spacing w:after="0" w:line="280" w:lineRule="auto"/>
        <w:tabs>
          <w:tab w:leader="none" w:pos="1224" w:val="left"/>
        </w:tabs>
        <w:numPr>
          <w:ilvl w:val="0"/>
          <w:numId w:val="220"/>
        </w:numPr>
        <w:rPr>
          <w:rFonts w:ascii="Arial" w:cs="Arial" w:eastAsia="Arial" w:hAnsi="Arial"/>
          <w:sz w:val="16"/>
          <w:szCs w:val="16"/>
          <w:b w:val="1"/>
          <w:bCs w:val="1"/>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5(b)(i).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5(b)(i) of the Bylaws shall be received by the Secretary of the Corporation at the principal executive offices of the Corporation not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meeting, or the tenth day following the day on which public announcement (as defined in Section 6) is first made of the date of the special meeting and of the nominees proposed by the Board of Directors to be elected at such meeting. The stockholder shall also update and supplement such information as required under</w:t>
      </w:r>
    </w:p>
    <w:p>
      <w:pPr>
        <w:spacing w:after="0" w:line="6" w:lineRule="exact"/>
        <w:rPr>
          <w:rFonts w:ascii="Arial" w:cs="Arial" w:eastAsia="Arial" w:hAnsi="Arial"/>
          <w:sz w:val="16"/>
          <w:szCs w:val="16"/>
          <w:b w:val="1"/>
          <w:bCs w:val="1"/>
          <w:color w:val="auto"/>
        </w:rPr>
      </w:pPr>
    </w:p>
    <w:p>
      <w:pPr>
        <w:ind w:right="360"/>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Section 5(c). In no event shall an adjournment or a postponement of a special meeting for which notice has been given, or the public announcement thereof has been made, commence a new time period for the giving of a stockholder’s notice as described above.</w:t>
      </w:r>
    </w:p>
    <w:p>
      <w:pPr>
        <w:spacing w:after="0" w:line="80" w:lineRule="exact"/>
        <w:rPr>
          <w:rFonts w:ascii="Arial" w:cs="Arial" w:eastAsia="Arial" w:hAnsi="Arial"/>
          <w:sz w:val="16"/>
          <w:szCs w:val="16"/>
          <w:b w:val="1"/>
          <w:bCs w:val="1"/>
          <w:color w:val="auto"/>
        </w:rPr>
      </w:pPr>
    </w:p>
    <w:p>
      <w:pPr>
        <w:ind w:right="120" w:firstLine="990"/>
        <w:spacing w:after="0" w:line="269" w:lineRule="auto"/>
        <w:tabs>
          <w:tab w:leader="none" w:pos="1245" w:val="left"/>
        </w:tabs>
        <w:numPr>
          <w:ilvl w:val="0"/>
          <w:numId w:val="220"/>
        </w:numPr>
        <w:rPr>
          <w:rFonts w:ascii="Arial" w:cs="Arial" w:eastAsia="Arial" w:hAnsi="Arial"/>
          <w:sz w:val="17"/>
          <w:szCs w:val="17"/>
          <w:b w:val="1"/>
          <w:bCs w:val="1"/>
          <w:color w:val="auto"/>
        </w:rPr>
      </w:pPr>
      <w:r>
        <w:rPr>
          <w:rFonts w:ascii="Arial" w:cs="Arial" w:eastAsia="Arial" w:hAnsi="Arial"/>
          <w:sz w:val="17"/>
          <w:szCs w:val="17"/>
          <w:color w:val="auto"/>
        </w:rPr>
        <w:t>A person shall not be eligible for election or re-election as a director at the special meeting unless the person is nominated either in accordance with clause (i) or clause (ii) of this Section 6(c). Except as otherwise required by law, the chairperson of the meeting shall have the power and duty to determine whether a nomination or any business proposed to be brought before the meeting was made, or proposed, as the case may be, in accordance with the procedures set forth in the Bylaws and, if any proposed nomination or business is not in compliance with the Bylaws, or if the Proponent does not act in accordance with the representations in Sections 5(b)(iv)(D) and 5(b)(iv)(E), to declare that such proposal or nomination shall not be presented for stockholder action at the meeting and shall be disregarded, notwithstanding that proxies in respect of such nominations or such business may have been solicited or received.</w:t>
      </w:r>
    </w:p>
    <w:p>
      <w:pPr>
        <w:spacing w:after="0" w:line="71" w:lineRule="exact"/>
        <w:rPr>
          <w:rFonts w:ascii="Arial" w:cs="Arial" w:eastAsia="Arial" w:hAnsi="Arial"/>
          <w:sz w:val="17"/>
          <w:szCs w:val="17"/>
          <w:b w:val="1"/>
          <w:bCs w:val="1"/>
          <w:color w:val="auto"/>
        </w:rPr>
      </w:pPr>
    </w:p>
    <w:p>
      <w:pPr>
        <w:ind w:right="20" w:firstLine="990"/>
        <w:spacing w:after="0" w:line="293" w:lineRule="auto"/>
        <w:tabs>
          <w:tab w:leader="none" w:pos="1224" w:val="left"/>
        </w:tabs>
        <w:numPr>
          <w:ilvl w:val="0"/>
          <w:numId w:val="220"/>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 Bylaws shall be deemed to affect any rights of stockholders to request inclusion of proposals in the Corporation’s proxy statement pursuant to Rule 14a-8 under the 1934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any references in the Bylaws to the 1934 Act or the rules and regulations thereunder are not intended to and shall not limit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applicable to nominations for the election to the Board of Directors to be considered pursuant to Section 6(c) of the Bylaws.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72" w:right="519" w:bottom="1440" w:gutter="0" w:footer="0" w:header="0"/>
        </w:sectPr>
      </w:pPr>
    </w:p>
    <w:bookmarkStart w:id="311" w:name="page312"/>
    <w:bookmarkEnd w:id="311"/>
    <w:p>
      <w:pPr>
        <w:ind w:firstLine="436"/>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7. Notice of Meetings. </w:t>
      </w:r>
      <w:r>
        <w:rPr>
          <w:rFonts w:ascii="Arial" w:cs="Arial" w:eastAsia="Arial" w:hAnsi="Arial"/>
          <w:sz w:val="16"/>
          <w:szCs w:val="16"/>
          <w:color w:val="auto"/>
        </w:rPr>
        <w:t>Except as otherwise provided by law, notice of each meeting of stockholders shall be given not less than ten nor</w:t>
      </w:r>
      <w:r>
        <w:rPr>
          <w:rFonts w:ascii="Arial" w:cs="Arial" w:eastAsia="Arial" w:hAnsi="Arial"/>
          <w:sz w:val="16"/>
          <w:szCs w:val="16"/>
          <w:b w:val="1"/>
          <w:bCs w:val="1"/>
          <w:color w:val="auto"/>
        </w:rPr>
        <w:t xml:space="preserve"> </w:t>
      </w:r>
      <w:r>
        <w:rPr>
          <w:rFonts w:ascii="Arial" w:cs="Arial" w:eastAsia="Arial" w:hAnsi="Arial"/>
          <w:sz w:val="16"/>
          <w:szCs w:val="16"/>
          <w:color w:val="auto"/>
        </w:rPr>
        <w:t>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Such notice may be given by personal delivery, mail or, with the consent of the stockholder entitled to receive notice, by facsimile or electronic transmission. If mailed, notice is given when deposited in the United States mail, postage prepaid, directed to the stockholder at such stockholder’s address as it appears on the records of the Corporation. If sent via electronic transmission, notice is given when sent to such stockholder’s electronic mail address appearing in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69" w:lineRule="exact"/>
        <w:rPr>
          <w:sz w:val="20"/>
          <w:szCs w:val="20"/>
          <w:color w:val="auto"/>
        </w:rPr>
      </w:pPr>
    </w:p>
    <w:p>
      <w:pPr>
        <w:ind w:right="40" w:firstLine="436"/>
        <w:spacing w:after="0" w:line="282" w:lineRule="auto"/>
        <w:rPr>
          <w:sz w:val="20"/>
          <w:szCs w:val="20"/>
          <w:color w:val="auto"/>
        </w:rPr>
      </w:pPr>
      <w:r>
        <w:rPr>
          <w:rFonts w:ascii="Arial" w:cs="Arial" w:eastAsia="Arial" w:hAnsi="Arial"/>
          <w:sz w:val="16"/>
          <w:szCs w:val="16"/>
          <w:b w:val="1"/>
          <w:bCs w:val="1"/>
          <w:color w:val="auto"/>
        </w:rPr>
        <w:t xml:space="preserve">Section 8. Quorum and Vote Required. </w:t>
      </w:r>
      <w:r>
        <w:rPr>
          <w:rFonts w:ascii="Arial" w:cs="Arial" w:eastAsia="Arial" w:hAnsi="Arial"/>
          <w:sz w:val="16"/>
          <w:szCs w:val="16"/>
          <w:color w:val="auto"/>
        </w:rPr>
        <w:t>At all meetings of stockholders, except where otherwise provided by statute or by the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or by the Bylaws, the presence, in person, by remote communication, if applicable, or by proxy, of the holders of a majority of the voting power of the outstanding shares of stock entitled to vote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 Bylaws, in all matters other than the election of directors, the affirmative vote of the holders of the majority of voting power of the shares present in person, by remote communication, if applicable, or represented by proxy at the meeting and voting affirmatively or negatively (excluding abstentions and broker non-votes) on such matter shall be the act of the stockholders. Except as otherwise provided by statute or by applicable stock exchange rules, the Certificate of Incorporation or the Bylaws, directors shall be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statute, applicable stock exchange rules, the Certificate of Incorporation or the Bylaws,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applicable stock exchange rules or by the Certificate of Incorporation or the Bylaws, the affirmative vote of the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abstentions and broker non-votes) on such matter shall be the act of such class or classes or series.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68" w:right="499" w:bottom="1440" w:gutter="0" w:footer="0" w:header="0"/>
        </w:sectPr>
      </w:pPr>
    </w:p>
    <w:bookmarkStart w:id="312" w:name="page313"/>
    <w:bookmarkEnd w:id="312"/>
    <w:p>
      <w:pPr>
        <w:ind w:right="100" w:firstLine="436"/>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9. Adjournment and Notice of Adjourned Meetings. </w:t>
      </w:r>
      <w:r>
        <w:rPr>
          <w:rFonts w:ascii="Arial" w:cs="Arial" w:eastAsia="Arial" w:hAnsi="Arial"/>
          <w:sz w:val="16"/>
          <w:szCs w:val="16"/>
          <w:color w:val="auto"/>
        </w:rPr>
        <w:t>Any meeting of stockholders, whether annual or special, may be adjourned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either by the chairperson of the meeting or by the vote of the holders of a majority of the voting power of the shares present in person, by remote communication, if applicable, or represented by proxy at the meeting and entitled to vote thereon. When a meeting is adjourned to another time or place, if any,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At the adjourned meeting, the Corporation may transact any business that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64" w:lineRule="exact"/>
        <w:rPr>
          <w:sz w:val="20"/>
          <w:szCs w:val="20"/>
          <w:color w:val="auto"/>
        </w:rPr>
      </w:pPr>
    </w:p>
    <w:p>
      <w:pPr>
        <w:ind w:right="40" w:firstLine="436"/>
        <w:spacing w:after="0" w:line="268" w:lineRule="auto"/>
        <w:rPr>
          <w:sz w:val="20"/>
          <w:szCs w:val="20"/>
          <w:color w:val="auto"/>
        </w:rPr>
      </w:pPr>
      <w:r>
        <w:rPr>
          <w:rFonts w:ascii="Arial" w:cs="Arial" w:eastAsia="Arial" w:hAnsi="Arial"/>
          <w:sz w:val="17"/>
          <w:szCs w:val="17"/>
          <w:b w:val="1"/>
          <w:bCs w:val="1"/>
          <w:color w:val="auto"/>
        </w:rPr>
        <w:t xml:space="preserve">Section 10. Voting Rights. </w:t>
      </w:r>
      <w:r>
        <w:rPr>
          <w:rFonts w:ascii="Arial" w:cs="Arial" w:eastAsia="Arial" w:hAnsi="Arial"/>
          <w:sz w:val="17"/>
          <w:szCs w:val="17"/>
          <w:color w:val="auto"/>
        </w:rPr>
        <w:t>For the purpose of determining those stockholders entitled to vote at any meeting of the stockholders or adjournment</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except as otherwise provided by law, only persons in whose names shares stand on the stock records of the Corporation on the record date, as provided in Section 12 of the Bylaws,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years from its date of creation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w:t>
      </w:r>
    </w:p>
    <w:p>
      <w:pPr>
        <w:spacing w:after="0" w:line="175" w:lineRule="exact"/>
        <w:rPr>
          <w:sz w:val="20"/>
          <w:szCs w:val="20"/>
          <w:color w:val="auto"/>
        </w:rPr>
      </w:pPr>
    </w:p>
    <w:p>
      <w:pPr>
        <w:ind w:firstLine="436"/>
        <w:spacing w:after="0" w:line="251" w:lineRule="auto"/>
        <w:rPr>
          <w:sz w:val="20"/>
          <w:szCs w:val="20"/>
          <w:color w:val="auto"/>
        </w:rPr>
      </w:pPr>
      <w:r>
        <w:rPr>
          <w:rFonts w:ascii="Arial" w:cs="Arial" w:eastAsia="Arial" w:hAnsi="Arial"/>
          <w:sz w:val="18"/>
          <w:szCs w:val="18"/>
          <w:b w:val="1"/>
          <w:bCs w:val="1"/>
          <w:color w:val="auto"/>
        </w:rPr>
        <w:t xml:space="preserve">Section 11. Joint Owners of Stock. </w:t>
      </w:r>
      <w:r>
        <w:rPr>
          <w:rFonts w:ascii="Arial" w:cs="Arial" w:eastAsia="Arial" w:hAnsi="Arial"/>
          <w:sz w:val="18"/>
          <w:szCs w:val="18"/>
          <w:color w:val="auto"/>
        </w:rPr>
        <w:t>If shares or other securities having voting power stand of record in the names of two or more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 (a) if only one votes, his or her act binds all; (b) if more than one votes, the act of the majority so voting binds all; (c) if more than one votes, but the vote is evenly split on any particular matter, each faction may vote the securities in question proportionally, or may apply to the Delaware Court of Chancery for relief as provided in Section 217(b) of the DGCL. If the instrument filed with the Secretary of the Corporation shows that any such tenancy is held in unequal interests, a majority or even-split for the purpose of subsection (c) of Section 11 shall be a majority or even-split in interest.</w:t>
      </w:r>
    </w:p>
    <w:p>
      <w:pPr>
        <w:spacing w:after="0" w:line="192" w:lineRule="exact"/>
        <w:rPr>
          <w:sz w:val="20"/>
          <w:szCs w:val="20"/>
          <w:color w:val="auto"/>
        </w:rPr>
      </w:pPr>
    </w:p>
    <w:p>
      <w:pPr>
        <w:ind w:right="40" w:firstLine="436"/>
        <w:spacing w:after="0" w:line="268" w:lineRule="auto"/>
        <w:rPr>
          <w:sz w:val="20"/>
          <w:szCs w:val="20"/>
          <w:color w:val="auto"/>
        </w:rPr>
      </w:pPr>
      <w:r>
        <w:rPr>
          <w:rFonts w:ascii="Arial" w:cs="Arial" w:eastAsia="Arial" w:hAnsi="Arial"/>
          <w:sz w:val="17"/>
          <w:szCs w:val="17"/>
          <w:b w:val="1"/>
          <w:bCs w:val="1"/>
          <w:color w:val="auto"/>
        </w:rPr>
        <w:t xml:space="preserve">Section 12. </w:t>
      </w:r>
      <w:r>
        <w:rPr>
          <w:rFonts w:ascii="Arial" w:cs="Arial" w:eastAsia="Arial" w:hAnsi="Arial"/>
          <w:sz w:val="17"/>
          <w:szCs w:val="17"/>
          <w:color w:val="auto"/>
        </w:rPr>
        <w:t>The Secretary of the Corporation shall prepare, at least ten days before every meeting of stockholders, a complete list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entitled to vote at said meeting, arranged in alphabetical order, showing the address of each stockholder and the number and class of shares registered in the name of each stockholder; provided, however, if the record date for determining the stockholders entitled to vote is less than ten days before the meeting date, the list shall reflect all of the stockholders entitled to vote as of the tenth day before the meeting date.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80" w:top="268" w:right="519" w:bottom="1440" w:gutter="0" w:footer="0" w:header="0"/>
        </w:sectPr>
      </w:pPr>
    </w:p>
    <w:bookmarkStart w:id="313" w:name="page314"/>
    <w:bookmarkEnd w:id="313"/>
    <w:p>
      <w:pPr>
        <w:ind w:right="220" w:firstLine="436"/>
        <w:spacing w:after="0" w:line="30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13. Action without Meeting. </w:t>
      </w:r>
      <w:r>
        <w:rPr>
          <w:rFonts w:ascii="Arial" w:cs="Arial" w:eastAsia="Arial" w:hAnsi="Arial"/>
          <w:sz w:val="17"/>
          <w:szCs w:val="17"/>
          <w:color w:val="auto"/>
        </w:rPr>
        <w:t>No action shall be taken by the stockholders of the Corporation except at an annual or special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duly called in accordance with the Bylaws, and no action shall be taken by the stockholders by written consent.</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14. Organization.</w:t>
      </w:r>
    </w:p>
    <w:p>
      <w:pPr>
        <w:spacing w:after="0" w:line="118" w:lineRule="exact"/>
        <w:rPr>
          <w:sz w:val="20"/>
          <w:szCs w:val="20"/>
          <w:color w:val="auto"/>
        </w:rPr>
      </w:pPr>
    </w:p>
    <w:p>
      <w:pPr>
        <w:ind w:firstLine="990"/>
        <w:spacing w:after="0" w:line="270" w:lineRule="auto"/>
        <w:tabs>
          <w:tab w:leader="none" w:pos="1234" w:val="left"/>
        </w:tabs>
        <w:numPr>
          <w:ilvl w:val="0"/>
          <w:numId w:val="221"/>
        </w:numPr>
        <w:rPr>
          <w:rFonts w:ascii="Arial" w:cs="Arial" w:eastAsia="Arial" w:hAnsi="Arial"/>
          <w:sz w:val="17"/>
          <w:szCs w:val="17"/>
          <w:b w:val="1"/>
          <w:bCs w:val="1"/>
          <w:color w:val="auto"/>
        </w:rPr>
      </w:pPr>
      <w:r>
        <w:rPr>
          <w:rFonts w:ascii="Arial" w:cs="Arial" w:eastAsia="Arial" w:hAnsi="Arial"/>
          <w:sz w:val="17"/>
          <w:szCs w:val="17"/>
          <w:color w:val="auto"/>
        </w:rPr>
        <w:t>At every meeting of stockholders, the Chairperson of the Board of Directors, or, if a Chairperson has not been appointed or is absent or refuses to act, the Chief Executive Officer, or if no Chief Executive Officer is then serving or is absent or refuses to act, the President, or, if the President is absent or refuses to act, a chairperson of the meeting chosen by a majority in interest of the stockholders entitled to vote, present in person or by proxy, shall act as chairperson. The Chairperson of the Board may appoint the Chief Executive Officer as chairperson of the meeting. The Secretary of the Corporation, or, in his or her absence, an Assistant Secretary of the Corporation or other officer or other person directed to do so by the chairperson of the meeting, shall act as secretary of the meeting.</w:t>
      </w:r>
    </w:p>
    <w:p>
      <w:pPr>
        <w:spacing w:after="0" w:line="71" w:lineRule="exact"/>
        <w:rPr>
          <w:rFonts w:ascii="Arial" w:cs="Arial" w:eastAsia="Arial" w:hAnsi="Arial"/>
          <w:sz w:val="17"/>
          <w:szCs w:val="17"/>
          <w:b w:val="1"/>
          <w:bCs w:val="1"/>
          <w:color w:val="auto"/>
        </w:rPr>
      </w:pPr>
    </w:p>
    <w:p>
      <w:pPr>
        <w:ind w:right="100" w:firstLine="990"/>
        <w:spacing w:after="0" w:line="266" w:lineRule="auto"/>
        <w:tabs>
          <w:tab w:leader="none" w:pos="1245" w:val="left"/>
        </w:tabs>
        <w:numPr>
          <w:ilvl w:val="0"/>
          <w:numId w:val="221"/>
        </w:numPr>
        <w:rPr>
          <w:rFonts w:ascii="Arial" w:cs="Arial" w:eastAsia="Arial" w:hAnsi="Arial"/>
          <w:sz w:val="17"/>
          <w:szCs w:val="17"/>
          <w:b w:val="1"/>
          <w:bCs w:val="1"/>
          <w:color w:val="auto"/>
        </w:rPr>
      </w:pPr>
      <w:r>
        <w:rPr>
          <w:rFonts w:ascii="Arial" w:cs="Arial" w:eastAsia="Arial" w:hAnsi="Arial"/>
          <w:sz w:val="17"/>
          <w:szCs w:val="17"/>
          <w:color w:val="auto"/>
        </w:rPr>
        <w:t>The Board of Directors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1" w:lineRule="exact"/>
        <w:rPr>
          <w:sz w:val="20"/>
          <w:szCs w:val="20"/>
          <w:color w:val="auto"/>
        </w:rPr>
      </w:pPr>
    </w:p>
    <w:p>
      <w:pPr>
        <w:ind w:right="40" w:firstLine="436"/>
        <w:spacing w:after="0" w:line="257" w:lineRule="auto"/>
        <w:rPr>
          <w:sz w:val="20"/>
          <w:szCs w:val="20"/>
          <w:color w:val="auto"/>
        </w:rPr>
      </w:pPr>
      <w:r>
        <w:rPr>
          <w:rFonts w:ascii="Arial" w:cs="Arial" w:eastAsia="Arial" w:hAnsi="Arial"/>
          <w:sz w:val="18"/>
          <w:szCs w:val="18"/>
          <w:b w:val="1"/>
          <w:bCs w:val="1"/>
          <w:color w:val="auto"/>
        </w:rPr>
        <w:t xml:space="preserve">Section 15. Number and Term of Office. </w:t>
      </w:r>
      <w:r>
        <w:rPr>
          <w:rFonts w:ascii="Arial" w:cs="Arial" w:eastAsia="Arial" w:hAnsi="Arial"/>
          <w:sz w:val="18"/>
          <w:szCs w:val="18"/>
          <w:color w:val="auto"/>
        </w:rPr>
        <w:t>The authorized number of directors of the Corporation shall be fixed in accordance with the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 Bylaws.</w:t>
      </w:r>
    </w:p>
    <w:p>
      <w:pPr>
        <w:spacing w:after="0" w:line="183" w:lineRule="exact"/>
        <w:rPr>
          <w:sz w:val="20"/>
          <w:szCs w:val="20"/>
          <w:color w:val="auto"/>
        </w:rPr>
      </w:pPr>
    </w:p>
    <w:p>
      <w:pPr>
        <w:ind w:right="180" w:firstLine="436"/>
        <w:spacing w:after="0" w:line="275" w:lineRule="auto"/>
        <w:rPr>
          <w:sz w:val="20"/>
          <w:szCs w:val="20"/>
          <w:color w:val="auto"/>
        </w:rPr>
      </w:pPr>
      <w:r>
        <w:rPr>
          <w:rFonts w:ascii="Arial" w:cs="Arial" w:eastAsia="Arial" w:hAnsi="Arial"/>
          <w:sz w:val="18"/>
          <w:szCs w:val="18"/>
          <w:b w:val="1"/>
          <w:bCs w:val="1"/>
          <w:color w:val="auto"/>
        </w:rPr>
        <w:t xml:space="preserve">Section 16. Powers. </w:t>
      </w:r>
      <w:r>
        <w:rPr>
          <w:rFonts w:ascii="Arial" w:cs="Arial" w:eastAsia="Arial" w:hAnsi="Arial"/>
          <w:sz w:val="18"/>
          <w:szCs w:val="18"/>
          <w:color w:val="auto"/>
        </w:rPr>
        <w:t>The business and affairs of the Corporation shall be managed by or under the direction of the Board of Directors,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otherwise provided by statute or by the Certificate of Incorporation.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68" w:right="519" w:bottom="1440" w:gutter="0" w:footer="0" w:header="0"/>
        </w:sectPr>
      </w:pPr>
    </w:p>
    <w:bookmarkStart w:id="314" w:name="page315"/>
    <w:bookmarkEnd w:id="314"/>
    <w:p>
      <w:pPr>
        <w:ind w:right="420" w:firstLine="43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17. Classes of Directors. </w:t>
      </w:r>
      <w:r>
        <w:rPr>
          <w:rFonts w:ascii="Arial" w:cs="Arial" w:eastAsia="Arial" w:hAnsi="Arial"/>
          <w:sz w:val="18"/>
          <w:szCs w:val="18"/>
          <w:color w:val="auto"/>
        </w:rPr>
        <w:t>The directors shall be divided into classes as and to the extent provided in the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required by applicable law.</w:t>
      </w:r>
    </w:p>
    <w:p>
      <w:pPr>
        <w:spacing w:after="0" w:line="168" w:lineRule="exact"/>
        <w:rPr>
          <w:sz w:val="20"/>
          <w:szCs w:val="20"/>
          <w:color w:val="auto"/>
        </w:rPr>
      </w:pPr>
    </w:p>
    <w:p>
      <w:pPr>
        <w:ind w:right="40" w:firstLine="436"/>
        <w:spacing w:after="0" w:line="266" w:lineRule="auto"/>
        <w:rPr>
          <w:sz w:val="20"/>
          <w:szCs w:val="20"/>
          <w:color w:val="auto"/>
        </w:rPr>
      </w:pPr>
      <w:r>
        <w:rPr>
          <w:rFonts w:ascii="Arial" w:cs="Arial" w:eastAsia="Arial" w:hAnsi="Arial"/>
          <w:sz w:val="17"/>
          <w:szCs w:val="17"/>
          <w:b w:val="1"/>
          <w:bCs w:val="1"/>
          <w:color w:val="auto"/>
        </w:rPr>
        <w:t xml:space="preserve">Section 18. Vacancies. </w:t>
      </w:r>
      <w:r>
        <w:rPr>
          <w:rFonts w:ascii="Arial" w:cs="Arial" w:eastAsia="Arial" w:hAnsi="Arial"/>
          <w:sz w:val="17"/>
          <w:szCs w:val="17"/>
          <w:color w:val="auto"/>
        </w:rPr>
        <w:t>Unless otherwise provided in the Certificate of Incorporation, and subject to the rights of the holders of any series of</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stock to elect additional directors or fill vacancies with respect to such directors, or as otherwise provided by applicable law,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provided, however,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79" w:lineRule="exact"/>
        <w:rPr>
          <w:sz w:val="20"/>
          <w:szCs w:val="20"/>
          <w:color w:val="auto"/>
        </w:rPr>
      </w:pPr>
    </w:p>
    <w:p>
      <w:pPr>
        <w:ind w:right="20" w:firstLine="436"/>
        <w:spacing w:after="0" w:line="252" w:lineRule="auto"/>
        <w:rPr>
          <w:sz w:val="20"/>
          <w:szCs w:val="20"/>
          <w:color w:val="auto"/>
        </w:rPr>
      </w:pPr>
      <w:r>
        <w:rPr>
          <w:rFonts w:ascii="Arial" w:cs="Arial" w:eastAsia="Arial" w:hAnsi="Arial"/>
          <w:sz w:val="18"/>
          <w:szCs w:val="18"/>
          <w:b w:val="1"/>
          <w:bCs w:val="1"/>
          <w:color w:val="auto"/>
        </w:rPr>
        <w:t xml:space="preserve">Section 19. Resignation. </w:t>
      </w:r>
      <w:r>
        <w:rPr>
          <w:rFonts w:ascii="Arial" w:cs="Arial" w:eastAsia="Arial" w:hAnsi="Arial"/>
          <w:sz w:val="18"/>
          <w:szCs w:val="18"/>
          <w:color w:val="auto"/>
        </w:rPr>
        <w:t>Any director may resign at any time by delivering his or her notice in writing or by electronic transmission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of the Corporation, such resignation to specify whether it will be effective at a particular time. If no such specification is made, the resignation shall be deemed effective at the time of delivery of the resignation to the Secretary of the Corporation.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20. Removal.</w:t>
      </w:r>
    </w:p>
    <w:p>
      <w:pPr>
        <w:spacing w:after="0" w:line="118" w:lineRule="exact"/>
        <w:rPr>
          <w:sz w:val="20"/>
          <w:szCs w:val="20"/>
          <w:color w:val="auto"/>
        </w:rPr>
      </w:pPr>
    </w:p>
    <w:p>
      <w:pPr>
        <w:ind w:right="20" w:firstLine="990"/>
        <w:spacing w:after="0" w:line="271" w:lineRule="auto"/>
        <w:tabs>
          <w:tab w:leader="none" w:pos="1234"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Subject to the rights of any series of preferred stock to remove directors elected by the holders of such series of preferred stock, neither the entire Board of Directors nor any individual director may be removed from office without cause.</w:t>
      </w:r>
    </w:p>
    <w:p>
      <w:pPr>
        <w:spacing w:after="0" w:line="67" w:lineRule="exact"/>
        <w:rPr>
          <w:rFonts w:ascii="Arial" w:cs="Arial" w:eastAsia="Arial" w:hAnsi="Arial"/>
          <w:sz w:val="18"/>
          <w:szCs w:val="18"/>
          <w:b w:val="1"/>
          <w:bCs w:val="1"/>
          <w:color w:val="auto"/>
        </w:rPr>
      </w:pPr>
    </w:p>
    <w:p>
      <w:pPr>
        <w:ind w:firstLine="990"/>
        <w:spacing w:after="0" w:line="255" w:lineRule="auto"/>
        <w:tabs>
          <w:tab w:leader="none" w:pos="1245"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Subject to the rights of any series of preferred stock to remove directors elected by the holders of such series of preferred stock and any limitation imposed by applicable law, any individual director or the entire Board of Directors may be removed from office with cause by the affirmative vote of the holders of at least 66 2/3% of the voting power of all then outstanding shares of capital stock of the Corporation entitled to vote on the election of such directors.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21. Meetings.</w:t>
      </w:r>
    </w:p>
    <w:p>
      <w:pPr>
        <w:spacing w:after="0" w:line="114" w:lineRule="exact"/>
        <w:rPr>
          <w:sz w:val="20"/>
          <w:szCs w:val="20"/>
          <w:color w:val="auto"/>
        </w:rPr>
      </w:pPr>
    </w:p>
    <w:p>
      <w:pPr>
        <w:ind w:right="120" w:firstLine="990"/>
        <w:spacing w:after="0" w:line="255" w:lineRule="auto"/>
        <w:tabs>
          <w:tab w:leader="none" w:pos="1234"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Regular Meetings. </w:t>
      </w:r>
      <w:r>
        <w:rPr>
          <w:rFonts w:ascii="Arial" w:cs="Arial" w:eastAsia="Arial" w:hAnsi="Arial"/>
          <w:sz w:val="18"/>
          <w:szCs w:val="18"/>
          <w:color w:val="auto"/>
        </w:rPr>
        <w:t>Unless otherwise restricted by the Certificate of Incorporation, regular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or date and at any place within or without the State of Delaware that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80" w:top="268" w:right="519" w:bottom="1440" w:gutter="0" w:footer="0" w:header="0"/>
        </w:sectPr>
      </w:pPr>
    </w:p>
    <w:bookmarkStart w:id="315" w:name="page316"/>
    <w:bookmarkEnd w:id="315"/>
    <w:p>
      <w:pPr>
        <w:jc w:val="both"/>
        <w:ind w:left="-20" w:right="180" w:firstLine="990"/>
        <w:spacing w:after="0" w:line="261" w:lineRule="auto"/>
        <w:tabs>
          <w:tab w:leader="none" w:pos="1224"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Special Meetings. </w:t>
      </w:r>
      <w:r>
        <w:rPr>
          <w:rFonts w:ascii="Arial" w:cs="Arial" w:eastAsia="Arial" w:hAnsi="Arial"/>
          <w:sz w:val="18"/>
          <w:szCs w:val="18"/>
          <w:color w:val="auto"/>
        </w:rPr>
        <w:t>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whenever called by the Chairperson of the Board, the Chief Executive Officer or a majority of the total number of authorized directors.</w:t>
      </w:r>
    </w:p>
    <w:p>
      <w:pPr>
        <w:spacing w:after="0" w:line="73" w:lineRule="exact"/>
        <w:rPr>
          <w:rFonts w:ascii="Arial" w:cs="Arial" w:eastAsia="Arial" w:hAnsi="Arial"/>
          <w:sz w:val="18"/>
          <w:szCs w:val="18"/>
          <w:b w:val="1"/>
          <w:bCs w:val="1"/>
          <w:color w:val="auto"/>
        </w:rPr>
      </w:pPr>
    </w:p>
    <w:p>
      <w:pPr>
        <w:ind w:left="-20" w:right="340" w:firstLine="990"/>
        <w:spacing w:after="0" w:line="309" w:lineRule="auto"/>
        <w:tabs>
          <w:tab w:leader="none" w:pos="1204"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Meetings by Electronic Communications Equipment. </w:t>
      </w:r>
      <w:r>
        <w:rPr>
          <w:rFonts w:ascii="Arial" w:cs="Arial" w:eastAsia="Arial" w:hAnsi="Arial"/>
          <w:sz w:val="16"/>
          <w:szCs w:val="16"/>
          <w:color w:val="auto"/>
        </w:rPr>
        <w:t>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38" w:lineRule="exact"/>
        <w:rPr>
          <w:rFonts w:ascii="Arial" w:cs="Arial" w:eastAsia="Arial" w:hAnsi="Arial"/>
          <w:sz w:val="16"/>
          <w:szCs w:val="16"/>
          <w:b w:val="1"/>
          <w:bCs w:val="1"/>
          <w:color w:val="auto"/>
        </w:rPr>
      </w:pPr>
    </w:p>
    <w:p>
      <w:pPr>
        <w:ind w:left="-20" w:firstLine="990"/>
        <w:spacing w:after="0" w:line="269" w:lineRule="auto"/>
        <w:tabs>
          <w:tab w:leader="none" w:pos="1224"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of Special Meetings. </w:t>
      </w:r>
      <w:r>
        <w:rPr>
          <w:rFonts w:ascii="Arial" w:cs="Arial" w:eastAsia="Arial" w:hAnsi="Arial"/>
          <w:sz w:val="17"/>
          <w:szCs w:val="17"/>
          <w:color w:val="auto"/>
        </w:rPr>
        <w:t>Notice of the time and place, if any, of all special meetings of the Board of Directors shall be given orally</w:t>
      </w:r>
      <w:r>
        <w:rPr>
          <w:rFonts w:ascii="Arial" w:cs="Arial" w:eastAsia="Arial" w:hAnsi="Arial"/>
          <w:sz w:val="17"/>
          <w:szCs w:val="17"/>
          <w:b w:val="1"/>
          <w:bCs w:val="1"/>
          <w:color w:val="auto"/>
        </w:rPr>
        <w:t xml:space="preserve"> </w:t>
      </w:r>
      <w:r>
        <w:rPr>
          <w:rFonts w:ascii="Arial" w:cs="Arial" w:eastAsia="Arial" w:hAnsi="Arial"/>
          <w:sz w:val="17"/>
          <w:szCs w:val="17"/>
          <w:color w:val="auto"/>
        </w:rPr>
        <w:t>or in writing, by telephone, including a voice messaging system or other system or technology designed to record and communicate messages, facsimile, telegraph or telex, or by electronic mail or other electronic means, during normal business hours, at least 24 hours before the date and time of the meeting. If notice is sent by U.S. mail, it shall be sent by first class mail, postage prepaid, at least three days before the date of the meeting. Notice of any meeting of the Board of Directors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71" w:lineRule="exact"/>
        <w:rPr>
          <w:rFonts w:ascii="Arial" w:cs="Arial" w:eastAsia="Arial" w:hAnsi="Arial"/>
          <w:sz w:val="17"/>
          <w:szCs w:val="17"/>
          <w:b w:val="1"/>
          <w:bCs w:val="1"/>
          <w:color w:val="auto"/>
        </w:rPr>
      </w:pPr>
    </w:p>
    <w:p>
      <w:pPr>
        <w:ind w:left="-20" w:firstLine="990"/>
        <w:spacing w:after="0" w:line="299" w:lineRule="auto"/>
        <w:tabs>
          <w:tab w:leader="none" w:pos="1204"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 of Notice. </w:t>
      </w:r>
      <w:r>
        <w:rPr>
          <w:rFonts w:ascii="Arial" w:cs="Arial" w:eastAsia="Arial" w:hAnsi="Arial"/>
          <w:sz w:val="16"/>
          <w:szCs w:val="16"/>
          <w:color w:val="auto"/>
        </w:rPr>
        <w:t>The transaction of all business at any meeting of the Board of Directors, or any committee thereof, however called</w:t>
      </w:r>
      <w:r>
        <w:rPr>
          <w:rFonts w:ascii="Arial" w:cs="Arial" w:eastAsia="Arial" w:hAnsi="Arial"/>
          <w:sz w:val="16"/>
          <w:szCs w:val="16"/>
          <w:b w:val="1"/>
          <w:bCs w:val="1"/>
          <w:color w:val="auto"/>
        </w:rPr>
        <w:t xml:space="preserve"> </w:t>
      </w:r>
      <w:r>
        <w:rPr>
          <w:rFonts w:ascii="Arial" w:cs="Arial" w:eastAsia="Arial" w:hAnsi="Arial"/>
          <w:sz w:val="16"/>
          <w:szCs w:val="16"/>
          <w:color w:val="auto"/>
        </w:rPr>
        <w:t>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22. Quorum and Voting.</w:t>
      </w:r>
    </w:p>
    <w:p>
      <w:pPr>
        <w:spacing w:after="0" w:line="118" w:lineRule="exact"/>
        <w:rPr>
          <w:sz w:val="20"/>
          <w:szCs w:val="20"/>
          <w:color w:val="auto"/>
        </w:rPr>
      </w:pPr>
    </w:p>
    <w:p>
      <w:pPr>
        <w:ind w:left="-20" w:firstLine="990"/>
        <w:spacing w:after="0" w:line="293" w:lineRule="auto"/>
        <w:tabs>
          <w:tab w:leader="none" w:pos="1214" w:val="left"/>
        </w:tabs>
        <w:numPr>
          <w:ilvl w:val="0"/>
          <w:numId w:val="225"/>
        </w:numPr>
        <w:rPr>
          <w:rFonts w:ascii="Arial" w:cs="Arial" w:eastAsia="Arial" w:hAnsi="Arial"/>
          <w:sz w:val="16"/>
          <w:szCs w:val="16"/>
          <w:b w:val="1"/>
          <w:bCs w:val="1"/>
          <w:color w:val="auto"/>
        </w:rPr>
      </w:pPr>
      <w:r>
        <w:rPr>
          <w:rFonts w:ascii="Arial" w:cs="Arial" w:eastAsia="Arial" w:hAnsi="Arial"/>
          <w:sz w:val="16"/>
          <w:szCs w:val="16"/>
          <w:color w:val="auto"/>
        </w:rPr>
        <w:t xml:space="preserve">Unless the Certificate of Incorporation requires a greater number, and except with respect to questions related to indemnification arising under Section 45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53" w:lineRule="exact"/>
        <w:rPr>
          <w:rFonts w:ascii="Arial" w:cs="Arial" w:eastAsia="Arial" w:hAnsi="Arial"/>
          <w:sz w:val="16"/>
          <w:szCs w:val="16"/>
          <w:b w:val="1"/>
          <w:bCs w:val="1"/>
          <w:color w:val="auto"/>
        </w:rPr>
      </w:pPr>
    </w:p>
    <w:p>
      <w:pPr>
        <w:jc w:val="both"/>
        <w:ind w:left="-20" w:right="680" w:firstLine="990"/>
        <w:spacing w:after="0" w:line="335" w:lineRule="auto"/>
        <w:tabs>
          <w:tab w:leader="none" w:pos="1225" w:val="left"/>
        </w:tabs>
        <w:numPr>
          <w:ilvl w:val="0"/>
          <w:numId w:val="225"/>
        </w:numPr>
        <w:rPr>
          <w:rFonts w:ascii="Arial" w:cs="Arial" w:eastAsia="Arial" w:hAnsi="Arial"/>
          <w:sz w:val="16"/>
          <w:szCs w:val="16"/>
          <w:b w:val="1"/>
          <w:bCs w:val="1"/>
          <w:color w:val="auto"/>
        </w:rPr>
      </w:pPr>
      <w:r>
        <w:rPr>
          <w:rFonts w:ascii="Arial" w:cs="Arial" w:eastAsia="Arial" w:hAnsi="Arial"/>
          <w:sz w:val="16"/>
          <w:szCs w:val="16"/>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 Bylaws.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500" w:top="268" w:right="519" w:bottom="1440" w:gutter="0" w:footer="0" w:header="0"/>
        </w:sectPr>
      </w:pPr>
    </w:p>
    <w:bookmarkStart w:id="316" w:name="page317"/>
    <w:bookmarkEnd w:id="316"/>
    <w:p>
      <w:pPr>
        <w:ind w:right="20" w:firstLine="436"/>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23. Action without Meeting. </w:t>
      </w:r>
      <w:r>
        <w:rPr>
          <w:rFonts w:ascii="Arial" w:cs="Arial" w:eastAsia="Arial" w:hAnsi="Arial"/>
          <w:sz w:val="17"/>
          <w:szCs w:val="17"/>
          <w:color w:val="auto"/>
        </w:rPr>
        <w:t>Unless otherwise restricted by the Certificate of Incorporation or the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72" w:lineRule="exact"/>
        <w:rPr>
          <w:sz w:val="20"/>
          <w:szCs w:val="20"/>
          <w:color w:val="auto"/>
        </w:rPr>
      </w:pPr>
    </w:p>
    <w:p>
      <w:pPr>
        <w:ind w:right="40" w:firstLine="436"/>
        <w:spacing w:after="0" w:line="269" w:lineRule="auto"/>
        <w:rPr>
          <w:sz w:val="20"/>
          <w:szCs w:val="20"/>
          <w:color w:val="auto"/>
        </w:rPr>
      </w:pPr>
      <w:r>
        <w:rPr>
          <w:rFonts w:ascii="Arial" w:cs="Arial" w:eastAsia="Arial" w:hAnsi="Arial"/>
          <w:sz w:val="17"/>
          <w:szCs w:val="17"/>
          <w:b w:val="1"/>
          <w:bCs w:val="1"/>
          <w:color w:val="auto"/>
        </w:rPr>
        <w:t xml:space="preserve">Section 24. Fees and Compensation. </w:t>
      </w:r>
      <w:r>
        <w:rPr>
          <w:rFonts w:ascii="Arial" w:cs="Arial" w:eastAsia="Arial" w:hAnsi="Arial"/>
          <w:sz w:val="17"/>
          <w:szCs w:val="17"/>
          <w:color w:val="auto"/>
        </w:rPr>
        <w:t>Directors shall be entitled to such compensation for their services as may be approved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or a committee thereof to which the Board of Directors has delegated such responsibility and authority, including, if so approved, by resolution of the Board of Directors, a fixed sum and reimbursement of expenses, if any, for attendance at each regular or special meeting of the Board of Directors, or a committee thereof to which the Board of Directors has delegated such responsibility and authority, and at any meeting of a committee of the Board of Directors, as well as reimbursement for other reasonable expenses incurred with respect to duties as a member of the Board of Directors or any committee thereof. Nothing herein contained shall be construed to preclude any director from serving the Corporation in any other capacity as an officer, agent, employee, or otherwise and receiving compensation therefor.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25. Committees.</w:t>
      </w:r>
    </w:p>
    <w:p>
      <w:pPr>
        <w:spacing w:after="0" w:line="114" w:lineRule="exact"/>
        <w:rPr>
          <w:sz w:val="20"/>
          <w:szCs w:val="20"/>
          <w:color w:val="auto"/>
        </w:rPr>
      </w:pPr>
    </w:p>
    <w:p>
      <w:pPr>
        <w:ind w:firstLine="990"/>
        <w:spacing w:after="0" w:line="284" w:lineRule="auto"/>
        <w:tabs>
          <w:tab w:leader="none" w:pos="1234" w:val="left"/>
        </w:tabs>
        <w:numPr>
          <w:ilvl w:val="1"/>
          <w:numId w:val="2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The Board of Directors may designate an Executive Committee to consist of one or more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w:t>
      </w:r>
    </w:p>
    <w:p>
      <w:pPr>
        <w:spacing w:after="0" w:line="1" w:lineRule="exact"/>
        <w:rPr>
          <w:rFonts w:ascii="Arial" w:cs="Arial" w:eastAsia="Arial" w:hAnsi="Arial"/>
          <w:sz w:val="16"/>
          <w:szCs w:val="16"/>
          <w:b w:val="1"/>
          <w:bCs w:val="1"/>
          <w:color w:val="auto"/>
        </w:rPr>
      </w:pPr>
    </w:p>
    <w:p>
      <w:pPr>
        <w:ind w:right="20" w:firstLine="7"/>
        <w:spacing w:after="0" w:line="285" w:lineRule="auto"/>
        <w:tabs>
          <w:tab w:leader="none" w:pos="213"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53" w:lineRule="exact"/>
        <w:rPr>
          <w:rFonts w:ascii="Arial" w:cs="Arial" w:eastAsia="Arial" w:hAnsi="Arial"/>
          <w:sz w:val="17"/>
          <w:szCs w:val="17"/>
          <w:color w:val="auto"/>
        </w:rPr>
      </w:pPr>
    </w:p>
    <w:p>
      <w:pPr>
        <w:ind w:right="20" w:firstLine="990"/>
        <w:spacing w:after="0" w:line="253" w:lineRule="auto"/>
        <w:tabs>
          <w:tab w:leader="none" w:pos="1244" w:val="left"/>
        </w:tabs>
        <w:numPr>
          <w:ilvl w:val="1"/>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Committees. </w:t>
      </w:r>
      <w:r>
        <w:rPr>
          <w:rFonts w:ascii="Arial" w:cs="Arial" w:eastAsia="Arial" w:hAnsi="Arial"/>
          <w:sz w:val="18"/>
          <w:szCs w:val="18"/>
          <w:color w:val="auto"/>
        </w:rPr>
        <w:t>The Board of Directors may, from time to time, designate such other committees as may be permitted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committees designated by the Board of Directors shall consist of one or more members of the Board of Directors and shall have such powers and perform such duties as may be prescribed by the resolution or resolutions creating such committees, but in no event shall any such committee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81" w:lineRule="exact"/>
        <w:rPr>
          <w:rFonts w:ascii="Arial" w:cs="Arial" w:eastAsia="Arial" w:hAnsi="Arial"/>
          <w:sz w:val="18"/>
          <w:szCs w:val="18"/>
          <w:b w:val="1"/>
          <w:bCs w:val="1"/>
          <w:color w:val="auto"/>
        </w:rPr>
      </w:pPr>
    </w:p>
    <w:p>
      <w:pPr>
        <w:ind w:firstLine="990"/>
        <w:spacing w:after="0" w:line="286" w:lineRule="auto"/>
        <w:tabs>
          <w:tab w:leader="none" w:pos="1224" w:val="left"/>
        </w:tabs>
        <w:numPr>
          <w:ilvl w:val="1"/>
          <w:numId w:val="2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Board of Directors, subject to any requirements of any outstanding series of preferred stock and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480" w:top="268" w:right="539" w:bottom="1440" w:gutter="0" w:footer="0" w:header="0"/>
        </w:sectPr>
      </w:pPr>
    </w:p>
    <w:bookmarkStart w:id="317" w:name="page318"/>
    <w:bookmarkEnd w:id="317"/>
    <w:p>
      <w:pPr>
        <w:ind w:firstLine="990"/>
        <w:spacing w:after="0" w:line="284" w:lineRule="auto"/>
        <w:tabs>
          <w:tab w:leader="none" w:pos="1244"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Meetings. </w:t>
      </w:r>
      <w:r>
        <w:rPr>
          <w:rFonts w:ascii="Arial" w:cs="Arial" w:eastAsia="Arial" w:hAnsi="Arial"/>
          <w:sz w:val="16"/>
          <w:szCs w:val="16"/>
          <w:color w:val="auto"/>
        </w:rPr>
        <w:t>Unless the Board of Directors shall otherwise provide, regular meetings of the Executive Committee or any other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pursuant to this Section 25 shall be held at such times and places, if any, as are determined by the Board of Directors, or by any such committee, and when notice thereof has been given to each member of such committee, no further notice of such regular meetings need be given thereafter. Special meetings of any such committee may be held at such place, if any, that has been determined from time to time by such committee, and may be called by any director who is a member of such committee, upon notice to the members of such committee of the time and place, if any, of such special meeting given in the manner provided for the giving of notice to members of the Board of Directors of the time and place, if any, of special meetings of the Board of Directors. Notice of any meeting of any committee may be waived in writing or by electronic transmission at any time before or after the meeting and will be waived by any director by attendance thereat, except when the director attends such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 Unless the Board of Directors shall otherwise provide, each committee shall conduct its business in the same manner as the Board of Directors conducts its business pursuant to Article IV of the Bylaws.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26. Duties of Chairperson of the Board of Directors and Lead Independent Director.</w:t>
      </w:r>
    </w:p>
    <w:p>
      <w:pPr>
        <w:spacing w:after="0" w:line="118" w:lineRule="exact"/>
        <w:rPr>
          <w:sz w:val="20"/>
          <w:szCs w:val="20"/>
          <w:color w:val="auto"/>
        </w:rPr>
      </w:pPr>
    </w:p>
    <w:p>
      <w:pPr>
        <w:ind w:right="80" w:firstLine="990"/>
        <w:spacing w:after="0" w:line="281" w:lineRule="auto"/>
        <w:tabs>
          <w:tab w:leader="none" w:pos="1234" w:val="left"/>
        </w:tabs>
        <w:numPr>
          <w:ilvl w:val="0"/>
          <w:numId w:val="229"/>
        </w:numPr>
        <w:rPr>
          <w:rFonts w:ascii="Arial" w:cs="Arial" w:eastAsia="Arial" w:hAnsi="Arial"/>
          <w:sz w:val="17"/>
          <w:szCs w:val="17"/>
          <w:b w:val="1"/>
          <w:bCs w:val="1"/>
          <w:color w:val="auto"/>
        </w:rPr>
      </w:pPr>
      <w:r>
        <w:rPr>
          <w:rFonts w:ascii="Arial" w:cs="Arial" w:eastAsia="Arial" w:hAnsi="Arial"/>
          <w:sz w:val="17"/>
          <w:szCs w:val="17"/>
          <w:color w:val="auto"/>
        </w:rPr>
        <w:t>The Chairperson of the Board of Directors, if appointed and when present, shall preside at all meetings of the stockholders and the Board of Directors. The Chairperson of the Board of Directors shall perform other duties commonly incident to the position and shall also perform such other duties and have such other powers, as the Board of Directors shall designate from time to time.</w:t>
      </w:r>
    </w:p>
    <w:p>
      <w:pPr>
        <w:spacing w:after="0" w:line="62" w:lineRule="exact"/>
        <w:rPr>
          <w:rFonts w:ascii="Arial" w:cs="Arial" w:eastAsia="Arial" w:hAnsi="Arial"/>
          <w:sz w:val="17"/>
          <w:szCs w:val="17"/>
          <w:b w:val="1"/>
          <w:bCs w:val="1"/>
          <w:color w:val="auto"/>
        </w:rPr>
      </w:pPr>
    </w:p>
    <w:p>
      <w:pPr>
        <w:jc w:val="both"/>
        <w:ind w:right="140" w:firstLine="990"/>
        <w:spacing w:after="0" w:line="307" w:lineRule="auto"/>
        <w:tabs>
          <w:tab w:leader="none" w:pos="1245" w:val="left"/>
        </w:tabs>
        <w:numPr>
          <w:ilvl w:val="0"/>
          <w:numId w:val="229"/>
        </w:numPr>
        <w:rPr>
          <w:rFonts w:ascii="Arial" w:cs="Arial" w:eastAsia="Arial" w:hAnsi="Arial"/>
          <w:sz w:val="16"/>
          <w:szCs w:val="16"/>
          <w:b w:val="1"/>
          <w:bCs w:val="1"/>
          <w:color w:val="auto"/>
        </w:rPr>
      </w:pPr>
      <w:r>
        <w:rPr>
          <w:rFonts w:ascii="Arial" w:cs="Arial" w:eastAsia="Arial" w:hAnsi="Arial"/>
          <w:sz w:val="16"/>
          <w:szCs w:val="16"/>
          <w:color w:val="auto"/>
        </w:rPr>
        <w:t>The Chairperson of the Board of Directors, or if the Chairperson is not an independent director, one of the independent directors, may be designated by the Board of Directors as lead independent director to serve until replaced by the Board of Directors (“</w:t>
      </w:r>
      <w:r>
        <w:rPr>
          <w:rFonts w:ascii="Arial" w:cs="Arial" w:eastAsia="Arial" w:hAnsi="Arial"/>
          <w:sz w:val="16"/>
          <w:szCs w:val="16"/>
          <w:b w:val="1"/>
          <w:bCs w:val="1"/>
          <w:i w:val="1"/>
          <w:iCs w:val="1"/>
          <w:color w:val="auto"/>
        </w:rPr>
        <w:t>Lead Independent Director</w:t>
      </w:r>
      <w:r>
        <w:rPr>
          <w:rFonts w:ascii="Arial" w:cs="Arial" w:eastAsia="Arial" w:hAnsi="Arial"/>
          <w:sz w:val="16"/>
          <w:szCs w:val="16"/>
          <w:color w:val="auto"/>
        </w:rPr>
        <w:t>”). The Lead Independent Director will perform such duties as may be established or delegated by the Board of Directors.</w:t>
      </w:r>
    </w:p>
    <w:p>
      <w:pPr>
        <w:spacing w:after="0" w:line="146" w:lineRule="exact"/>
        <w:rPr>
          <w:sz w:val="20"/>
          <w:szCs w:val="20"/>
          <w:color w:val="auto"/>
        </w:rPr>
      </w:pPr>
    </w:p>
    <w:p>
      <w:pPr>
        <w:ind w:right="140" w:firstLine="436"/>
        <w:spacing w:after="0" w:line="271" w:lineRule="auto"/>
        <w:rPr>
          <w:sz w:val="20"/>
          <w:szCs w:val="20"/>
          <w:color w:val="auto"/>
        </w:rPr>
      </w:pPr>
      <w:r>
        <w:rPr>
          <w:rFonts w:ascii="Arial" w:cs="Arial" w:eastAsia="Arial" w:hAnsi="Arial"/>
          <w:sz w:val="17"/>
          <w:szCs w:val="17"/>
          <w:b w:val="1"/>
          <w:bCs w:val="1"/>
          <w:color w:val="auto"/>
        </w:rPr>
        <w:t xml:space="preserve">Section 27. Organization. </w:t>
      </w:r>
      <w:r>
        <w:rPr>
          <w:rFonts w:ascii="Arial" w:cs="Arial" w:eastAsia="Arial" w:hAnsi="Arial"/>
          <w:sz w:val="17"/>
          <w:szCs w:val="17"/>
          <w:color w:val="auto"/>
        </w:rPr>
        <w:t>At every meeting of the directors, the Chairperson of the Board of Directors, or, if a Chairperson has not been</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or is absent, the Lead Independent Director, or if the Lead Independent Director has not been appointed 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of the Corporation, or in his or her absence, any Assistant Secretary of the Corporation or other officer, director or other person directed to do so by the person presiding over the meeting, shall act as secretary of the meeting.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68" w:right="499" w:bottom="1440" w:gutter="0" w:footer="0" w:header="0"/>
        </w:sectPr>
      </w:pPr>
    </w:p>
    <w:bookmarkStart w:id="318" w:name="page319"/>
    <w:bookmarkEnd w:id="3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V</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21" w:lineRule="exact"/>
        <w:rPr>
          <w:sz w:val="20"/>
          <w:szCs w:val="20"/>
          <w:color w:val="auto"/>
        </w:rPr>
      </w:pPr>
    </w:p>
    <w:p>
      <w:pPr>
        <w:ind w:right="100" w:firstLine="436"/>
        <w:spacing w:after="0" w:line="252" w:lineRule="auto"/>
        <w:rPr>
          <w:sz w:val="20"/>
          <w:szCs w:val="20"/>
          <w:color w:val="auto"/>
        </w:rPr>
      </w:pPr>
      <w:r>
        <w:rPr>
          <w:rFonts w:ascii="Arial" w:cs="Arial" w:eastAsia="Arial" w:hAnsi="Arial"/>
          <w:sz w:val="18"/>
          <w:szCs w:val="18"/>
          <w:b w:val="1"/>
          <w:bCs w:val="1"/>
          <w:color w:val="auto"/>
        </w:rPr>
        <w:t xml:space="preserve">Section 28. Officers Designated. </w:t>
      </w:r>
      <w:r>
        <w:rPr>
          <w:rFonts w:ascii="Arial" w:cs="Arial" w:eastAsia="Arial" w:hAnsi="Arial"/>
          <w:sz w:val="18"/>
          <w:szCs w:val="18"/>
          <w:color w:val="auto"/>
        </w:rPr>
        <w:t>The officers of the Corporation shall include, if and when designated by the Board of Directors,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appropriate or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 or a duly authorized committee thereof.</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29. Tenure and Duties of Officers.</w:t>
      </w:r>
    </w:p>
    <w:p>
      <w:pPr>
        <w:spacing w:after="0" w:line="114" w:lineRule="exact"/>
        <w:rPr>
          <w:sz w:val="20"/>
          <w:szCs w:val="20"/>
          <w:color w:val="auto"/>
        </w:rPr>
      </w:pPr>
    </w:p>
    <w:p>
      <w:pPr>
        <w:ind w:right="160" w:firstLine="990"/>
        <w:spacing w:after="0" w:line="257" w:lineRule="auto"/>
        <w:tabs>
          <w:tab w:leader="none" w:pos="1234"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All officers shall hold office at the pleasure of the Board of Directors or a duly authorized committee thereof and until their</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shall 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 or a duly authorized committee thereof.</w:t>
      </w:r>
    </w:p>
    <w:p>
      <w:pPr>
        <w:spacing w:after="0" w:line="76" w:lineRule="exact"/>
        <w:rPr>
          <w:rFonts w:ascii="Arial" w:cs="Arial" w:eastAsia="Arial" w:hAnsi="Arial"/>
          <w:sz w:val="18"/>
          <w:szCs w:val="18"/>
          <w:b w:val="1"/>
          <w:bCs w:val="1"/>
          <w:color w:val="auto"/>
        </w:rPr>
      </w:pPr>
    </w:p>
    <w:p>
      <w:pPr>
        <w:ind w:right="20" w:firstLine="990"/>
        <w:spacing w:after="0" w:line="252" w:lineRule="auto"/>
        <w:tabs>
          <w:tab w:leader="none" w:pos="1244"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Chief Executive Officer. </w:t>
      </w:r>
      <w:r>
        <w:rPr>
          <w:rFonts w:ascii="Arial" w:cs="Arial" w:eastAsia="Arial" w:hAnsi="Arial"/>
          <w:sz w:val="18"/>
          <w:szCs w:val="18"/>
          <w:color w:val="auto"/>
        </w:rPr>
        <w:t>The Chief Executive Officer shall preside at all meetings of the stockholders and at all meetings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(if a director), unless the Chairperson of the Board of Directors or the Lead Independent Director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 Bylaws to the President shall be deemed references to the Chief Executive Officer. The Chief Executive Officer shall perform other duties commonly incident to the office and shall also perform such other duties and have such other powers, as the Board of Directors or a duly authorized committee thereof shall designate from time to time.</w:t>
      </w:r>
    </w:p>
    <w:p>
      <w:pPr>
        <w:spacing w:after="0" w:line="80" w:lineRule="exact"/>
        <w:rPr>
          <w:rFonts w:ascii="Arial" w:cs="Arial" w:eastAsia="Arial" w:hAnsi="Arial"/>
          <w:sz w:val="18"/>
          <w:szCs w:val="18"/>
          <w:b w:val="1"/>
          <w:bCs w:val="1"/>
          <w:color w:val="auto"/>
        </w:rPr>
      </w:pPr>
    </w:p>
    <w:p>
      <w:pPr>
        <w:ind w:right="40" w:firstLine="990"/>
        <w:spacing w:after="0" w:line="291" w:lineRule="auto"/>
        <w:tabs>
          <w:tab w:leader="none" w:pos="1224" w:val="left"/>
        </w:tabs>
        <w:numPr>
          <w:ilvl w:val="0"/>
          <w:numId w:val="230"/>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President</w:t>
      </w:r>
      <w:r>
        <w:rPr>
          <w:rFonts w:ascii="Arial" w:cs="Arial" w:eastAsia="Arial" w:hAnsi="Arial"/>
          <w:sz w:val="16"/>
          <w:szCs w:val="16"/>
          <w:color w:val="auto"/>
        </w:rPr>
        <w:t>. The President shall preside at all meetings of the stockholders and at all meetings of the Board of Directors (if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unless the Chairperson of the Board of Directors, the Lead Independent Director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Chief Executive Officer or the Board of Directors or a duly authorized committee thereof shall designate from time to time.</w:t>
      </w:r>
    </w:p>
    <w:p>
      <w:pPr>
        <w:spacing w:after="0" w:line="52" w:lineRule="exact"/>
        <w:rPr>
          <w:rFonts w:ascii="Arial" w:cs="Arial" w:eastAsia="Arial" w:hAnsi="Arial"/>
          <w:sz w:val="16"/>
          <w:szCs w:val="16"/>
          <w:b w:val="1"/>
          <w:bCs w:val="1"/>
          <w:color w:val="auto"/>
        </w:rPr>
      </w:pPr>
    </w:p>
    <w:p>
      <w:pPr>
        <w:jc w:val="both"/>
        <w:ind w:firstLine="990"/>
        <w:spacing w:after="0" w:line="257" w:lineRule="auto"/>
        <w:tabs>
          <w:tab w:leader="none" w:pos="1244"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Vice Presidents. </w:t>
      </w:r>
      <w:r>
        <w:rPr>
          <w:rFonts w:ascii="Arial" w:cs="Arial" w:eastAsia="Arial" w:hAnsi="Arial"/>
          <w:sz w:val="18"/>
          <w:szCs w:val="18"/>
          <w:color w:val="auto"/>
        </w:rPr>
        <w:t>A Vice President may assume and perform the duties of the President in the absence or disability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whenever the office of President is vacant. A Vice President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80" w:top="268" w:right="519" w:bottom="1440" w:gutter="0" w:footer="0" w:header="0"/>
        </w:sectPr>
      </w:pPr>
    </w:p>
    <w:bookmarkStart w:id="319" w:name="page320"/>
    <w:bookmarkEnd w:id="319"/>
    <w:p>
      <w:pPr>
        <w:ind w:firstLine="990"/>
        <w:spacing w:after="0" w:line="286" w:lineRule="auto"/>
        <w:tabs>
          <w:tab w:leader="none" w:pos="1224" w:val="left"/>
        </w:tabs>
        <w:numPr>
          <w:ilvl w:val="0"/>
          <w:numId w:val="23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Duties of Secretary. </w:t>
      </w:r>
      <w:r>
        <w:rPr>
          <w:rFonts w:ascii="Arial" w:cs="Arial" w:eastAsia="Arial" w:hAnsi="Arial"/>
          <w:sz w:val="16"/>
          <w:szCs w:val="16"/>
          <w:color w:val="auto"/>
        </w:rPr>
        <w:t>The Secretary of the Corporation shall attend all meetings of the stockholders and of the Board of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record all acts and proceedings thereof in the minute book of the Corporation. The Secretary of the Corporation shall give notice in conformity with the Bylaws of all meetings of the stockholders and of all meetings of the Board of Directors and any committee thereof requiring notice. The Secretary of the Corporation shall perform all other duties provided for in the Bylaws and other duties commonly incident to the office and shall also perform such other duties and have such other powers, as the Board of Directors shall designate from time to time. The Chief Executive Officer, or if no Chief Executive Officer is then serving, the President may direct any Assistant Secretary of the Corporation or other officer to assume and perform the duties of the Secretary in the absence or disability of the Secretary, and each Assistant Secretary of the Corporation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59" w:lineRule="exact"/>
        <w:rPr>
          <w:rFonts w:ascii="Arial" w:cs="Arial" w:eastAsia="Arial" w:hAnsi="Arial"/>
          <w:sz w:val="16"/>
          <w:szCs w:val="16"/>
          <w:b w:val="1"/>
          <w:bCs w:val="1"/>
          <w:color w:val="auto"/>
        </w:rPr>
      </w:pPr>
    </w:p>
    <w:p>
      <w:pPr>
        <w:ind w:firstLine="990"/>
        <w:spacing w:after="0" w:line="266" w:lineRule="auto"/>
        <w:tabs>
          <w:tab w:leader="none" w:pos="1205" w:val="left"/>
        </w:tabs>
        <w:numPr>
          <w:ilvl w:val="0"/>
          <w:numId w:val="2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Chief Financial Officer. </w:t>
      </w:r>
      <w:r>
        <w:rPr>
          <w:rFonts w:ascii="Arial" w:cs="Arial" w:eastAsia="Arial" w:hAnsi="Arial"/>
          <w:sz w:val="17"/>
          <w:szCs w:val="17"/>
          <w:color w:val="auto"/>
        </w:rPr>
        <w:t>The Chief Financial Officer shall keep or cause to be kept the books of account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a thorough and proper manner and shall render statements of the financial affairs of the Corporation in such form and as often as required by the Board of Directors or the Chief Executive Officer, or if no Chief Executive officer is then serving,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74" w:lineRule="exact"/>
        <w:rPr>
          <w:rFonts w:ascii="Arial" w:cs="Arial" w:eastAsia="Arial" w:hAnsi="Arial"/>
          <w:sz w:val="17"/>
          <w:szCs w:val="17"/>
          <w:b w:val="1"/>
          <w:bCs w:val="1"/>
          <w:color w:val="auto"/>
        </w:rPr>
      </w:pPr>
    </w:p>
    <w:p>
      <w:pPr>
        <w:ind w:right="120" w:firstLine="990"/>
        <w:spacing w:after="0" w:line="269" w:lineRule="auto"/>
        <w:tabs>
          <w:tab w:leader="none" w:pos="1234" w:val="left"/>
        </w:tabs>
        <w:numPr>
          <w:ilvl w:val="0"/>
          <w:numId w:val="2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Treasurer. </w:t>
      </w:r>
      <w:r>
        <w:rPr>
          <w:rFonts w:ascii="Arial" w:cs="Arial" w:eastAsia="Arial" w:hAnsi="Arial"/>
          <w:sz w:val="17"/>
          <w:szCs w:val="17"/>
          <w:color w:val="auto"/>
        </w:rPr>
        <w:t>Unless another officer has been appointed Chief Financial Officer of the Corporation, the Treasurer shall be the</w:t>
      </w:r>
      <w:r>
        <w:rPr>
          <w:rFonts w:ascii="Arial" w:cs="Arial" w:eastAsia="Arial" w:hAnsi="Arial"/>
          <w:sz w:val="17"/>
          <w:szCs w:val="17"/>
          <w:b w:val="1"/>
          <w:bCs w:val="1"/>
          <w:color w:val="auto"/>
        </w:rPr>
        <w:t xml:space="preserve"> </w:t>
      </w:r>
      <w:r>
        <w:rPr>
          <w:rFonts w:ascii="Arial" w:cs="Arial" w:eastAsia="Arial" w:hAnsi="Arial"/>
          <w:sz w:val="17"/>
          <w:szCs w:val="17"/>
          <w:color w:val="auto"/>
        </w:rPr>
        <w:t>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Chief Executive Officer, or if no Chief Executive Officer is then serving,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Chief Executive Officer, or if no Chief Executive Officer is then serving, the President and the Chief Financial Officer (if not Treasurer) shall designate from time to time.</w:t>
      </w:r>
    </w:p>
    <w:p>
      <w:pPr>
        <w:spacing w:after="0" w:line="178" w:lineRule="exact"/>
        <w:rPr>
          <w:sz w:val="20"/>
          <w:szCs w:val="20"/>
          <w:color w:val="auto"/>
        </w:rPr>
      </w:pPr>
    </w:p>
    <w:p>
      <w:pPr>
        <w:ind w:right="360" w:firstLine="436"/>
        <w:spacing w:after="0" w:line="275" w:lineRule="auto"/>
        <w:rPr>
          <w:sz w:val="20"/>
          <w:szCs w:val="20"/>
          <w:color w:val="auto"/>
        </w:rPr>
      </w:pPr>
      <w:r>
        <w:rPr>
          <w:rFonts w:ascii="Arial" w:cs="Arial" w:eastAsia="Arial" w:hAnsi="Arial"/>
          <w:sz w:val="18"/>
          <w:szCs w:val="18"/>
          <w:b w:val="1"/>
          <w:bCs w:val="1"/>
          <w:color w:val="auto"/>
        </w:rPr>
        <w:t xml:space="preserve">Section 30. Delegation of Authority. </w:t>
      </w:r>
      <w:r>
        <w:rPr>
          <w:rFonts w:ascii="Arial" w:cs="Arial" w:eastAsia="Arial" w:hAnsi="Arial"/>
          <w:sz w:val="18"/>
          <w:szCs w:val="18"/>
          <w:color w:val="auto"/>
        </w:rPr>
        <w:t>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480" w:top="268" w:right="519" w:bottom="1440" w:gutter="0" w:footer="0" w:header="0"/>
        </w:sectPr>
      </w:pPr>
    </w:p>
    <w:bookmarkStart w:id="320" w:name="page321"/>
    <w:bookmarkEnd w:id="320"/>
    <w:p>
      <w:pPr>
        <w:ind w:right="160" w:firstLine="436"/>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31. Resignations. </w:t>
      </w:r>
      <w:r>
        <w:rPr>
          <w:rFonts w:ascii="Arial" w:cs="Arial" w:eastAsia="Arial" w:hAnsi="Arial"/>
          <w:sz w:val="18"/>
          <w:szCs w:val="18"/>
          <w:color w:val="auto"/>
        </w:rPr>
        <w:t>Any officer may resign at any time by giving notice in writing or by electronic transmission to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or to the Chief Executive Officer, or if no Chief Executive Officer is then serving, the President or to the Secretary of the Corporation.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89" w:lineRule="exact"/>
        <w:rPr>
          <w:sz w:val="20"/>
          <w:szCs w:val="20"/>
          <w:color w:val="auto"/>
        </w:rPr>
      </w:pPr>
    </w:p>
    <w:p>
      <w:pPr>
        <w:ind w:right="140" w:firstLine="436"/>
        <w:spacing w:after="0" w:line="309" w:lineRule="auto"/>
        <w:rPr>
          <w:sz w:val="20"/>
          <w:szCs w:val="20"/>
          <w:color w:val="auto"/>
        </w:rPr>
      </w:pPr>
      <w:r>
        <w:rPr>
          <w:rFonts w:ascii="Arial" w:cs="Arial" w:eastAsia="Arial" w:hAnsi="Arial"/>
          <w:sz w:val="16"/>
          <w:szCs w:val="16"/>
          <w:b w:val="1"/>
          <w:bCs w:val="1"/>
          <w:color w:val="auto"/>
        </w:rPr>
        <w:t xml:space="preserve">Section 32. Removal. </w:t>
      </w:r>
      <w:r>
        <w:rPr>
          <w:rFonts w:ascii="Arial" w:cs="Arial" w:eastAsia="Arial" w:hAnsi="Arial"/>
          <w:sz w:val="16"/>
          <w:szCs w:val="16"/>
          <w:color w:val="auto"/>
        </w:rPr>
        <w:t>Any officer may be removed from office at any time, either with or without cause, by the affirmative vote of a majority of</w:t>
      </w:r>
      <w:r>
        <w:rPr>
          <w:rFonts w:ascii="Arial" w:cs="Arial" w:eastAsia="Arial" w:hAnsi="Arial"/>
          <w:sz w:val="16"/>
          <w:szCs w:val="16"/>
          <w:b w:val="1"/>
          <w:bCs w:val="1"/>
          <w:color w:val="auto"/>
        </w:rPr>
        <w:t xml:space="preserve"> </w:t>
      </w:r>
      <w:r>
        <w:rPr>
          <w:rFonts w:ascii="Arial" w:cs="Arial" w:eastAsia="Arial" w:hAnsi="Arial"/>
          <w:sz w:val="16"/>
          <w:szCs w:val="16"/>
          <w:color w:val="auto"/>
        </w:rPr>
        <w:t>the directors in office at the time, or by the unanimous written consent of the directors in office at the time, or by any committee or by the Chief Executive Officer or by other superior officers upon whom such power of removal may have been conferred by the Board of Directors.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OF CORPORATE INSTRUMENTS AND VOTING OF SECURITIES OWNED BY THE CORPORATION</w:t>
      </w:r>
    </w:p>
    <w:p>
      <w:pPr>
        <w:spacing w:after="0" w:line="114" w:lineRule="exact"/>
        <w:rPr>
          <w:sz w:val="20"/>
          <w:szCs w:val="20"/>
          <w:color w:val="auto"/>
        </w:rPr>
      </w:pPr>
    </w:p>
    <w:p>
      <w:pPr>
        <w:ind w:firstLine="436"/>
        <w:spacing w:after="0" w:line="277" w:lineRule="auto"/>
        <w:rPr>
          <w:sz w:val="20"/>
          <w:szCs w:val="20"/>
          <w:color w:val="auto"/>
        </w:rPr>
      </w:pPr>
      <w:r>
        <w:rPr>
          <w:rFonts w:ascii="Arial" w:cs="Arial" w:eastAsia="Arial" w:hAnsi="Arial"/>
          <w:sz w:val="17"/>
          <w:szCs w:val="17"/>
          <w:b w:val="1"/>
          <w:bCs w:val="1"/>
          <w:color w:val="auto"/>
        </w:rPr>
        <w:t xml:space="preserve">Section 33. Execution of Corporate Instruments. </w:t>
      </w:r>
      <w:r>
        <w:rPr>
          <w:rFonts w:ascii="Arial" w:cs="Arial" w:eastAsia="Arial" w:hAnsi="Arial"/>
          <w:sz w:val="17"/>
          <w:szCs w:val="17"/>
          <w:color w:val="auto"/>
        </w:rPr>
        <w:t>The Board of Directors may, in its discretion, determine the method and designate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 Bylaws, and such execution or signature shall be binding upon the Corporation.</w:t>
      </w:r>
    </w:p>
    <w:p>
      <w:pPr>
        <w:spacing w:after="0" w:line="171" w:lineRule="exact"/>
        <w:rPr>
          <w:sz w:val="20"/>
          <w:szCs w:val="20"/>
          <w:color w:val="auto"/>
        </w:rPr>
      </w:pPr>
    </w:p>
    <w:p>
      <w:pPr>
        <w:ind w:right="20" w:firstLine="436"/>
        <w:spacing w:after="0" w:line="271"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5" w:lineRule="exact"/>
        <w:rPr>
          <w:sz w:val="20"/>
          <w:szCs w:val="20"/>
          <w:color w:val="auto"/>
        </w:rPr>
      </w:pPr>
    </w:p>
    <w:p>
      <w:pPr>
        <w:ind w:right="60" w:firstLine="436"/>
        <w:spacing w:after="0" w:line="335"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4" w:lineRule="exact"/>
        <w:rPr>
          <w:sz w:val="20"/>
          <w:szCs w:val="20"/>
          <w:color w:val="auto"/>
        </w:rPr>
      </w:pPr>
    </w:p>
    <w:p>
      <w:pPr>
        <w:ind w:right="80" w:firstLine="436"/>
        <w:spacing w:after="0" w:line="277" w:lineRule="auto"/>
        <w:rPr>
          <w:sz w:val="20"/>
          <w:szCs w:val="20"/>
          <w:color w:val="auto"/>
        </w:rPr>
      </w:pPr>
      <w:r>
        <w:rPr>
          <w:rFonts w:ascii="Arial" w:cs="Arial" w:eastAsia="Arial" w:hAnsi="Arial"/>
          <w:sz w:val="17"/>
          <w:szCs w:val="17"/>
          <w:b w:val="1"/>
          <w:bCs w:val="1"/>
          <w:color w:val="auto"/>
        </w:rPr>
        <w:t xml:space="preserve">Section 34. Voting of Securities Owned By the Corporation. </w:t>
      </w:r>
      <w:r>
        <w:rPr>
          <w:rFonts w:ascii="Arial" w:cs="Arial" w:eastAsia="Arial" w:hAnsi="Arial"/>
          <w:sz w:val="17"/>
          <w:szCs w:val="17"/>
          <w:color w:val="auto"/>
        </w:rPr>
        <w:t>All stock and other securities of other corporations, partnerships, limited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and other entities owned 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OF STOCK</w:t>
      </w:r>
    </w:p>
    <w:p>
      <w:pPr>
        <w:spacing w:after="0" w:line="221" w:lineRule="exact"/>
        <w:rPr>
          <w:sz w:val="20"/>
          <w:szCs w:val="20"/>
          <w:color w:val="auto"/>
        </w:rPr>
      </w:pPr>
    </w:p>
    <w:p>
      <w:pPr>
        <w:ind w:right="140" w:firstLine="436"/>
        <w:spacing w:after="0" w:line="294" w:lineRule="auto"/>
        <w:rPr>
          <w:sz w:val="20"/>
          <w:szCs w:val="20"/>
          <w:color w:val="auto"/>
        </w:rPr>
      </w:pPr>
      <w:r>
        <w:rPr>
          <w:rFonts w:ascii="Arial" w:cs="Arial" w:eastAsia="Arial" w:hAnsi="Arial"/>
          <w:sz w:val="16"/>
          <w:szCs w:val="16"/>
          <w:b w:val="1"/>
          <w:bCs w:val="1"/>
          <w:color w:val="auto"/>
        </w:rPr>
        <w:t xml:space="preserve">Section 35. Form and Execution of Certificates. </w:t>
      </w:r>
      <w:r>
        <w:rPr>
          <w:rFonts w:ascii="Arial" w:cs="Arial" w:eastAsia="Arial" w:hAnsi="Arial"/>
          <w:sz w:val="16"/>
          <w:szCs w:val="16"/>
          <w:color w:val="auto"/>
        </w:rPr>
        <w:t>The shares of the Corporation shall be represented by certificates, or shall be uncertificated if</w:t>
      </w:r>
      <w:r>
        <w:rPr>
          <w:rFonts w:ascii="Arial" w:cs="Arial" w:eastAsia="Arial" w:hAnsi="Arial"/>
          <w:sz w:val="16"/>
          <w:szCs w:val="16"/>
          <w:b w:val="1"/>
          <w:bCs w:val="1"/>
          <w:color w:val="auto"/>
        </w:rPr>
        <w:t xml:space="preserve"> </w:t>
      </w:r>
      <w:r>
        <w:rPr>
          <w:rFonts w:ascii="Arial" w:cs="Arial" w:eastAsia="Arial" w:hAnsi="Arial"/>
          <w:sz w:val="16"/>
          <w:szCs w:val="16"/>
          <w:color w:val="auto"/>
        </w:rPr>
        <w:t>so provided by resolution or resolutions of the Board of Directors. Certificates for the shares of stock, if any, shall be in such form as is consistent with the Certificate of Incorporation and applicable law. Every holder of stock in the Corporation represented by certificates shall be entitled to have a certificate signed by or in the name of the Corporation by any two authorized officers of the Corporation, including but not limited to, the Chief Executive Officer, the President, the Chief Financial Officer, any Vice President, the Treasurer or Assistant Treasurer or the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480" w:top="268" w:right="519" w:bottom="1440" w:gutter="0" w:footer="0" w:header="0"/>
        </w:sectPr>
      </w:pPr>
    </w:p>
    <w:bookmarkStart w:id="321" w:name="page322"/>
    <w:bookmarkEnd w:id="321"/>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Secretary or Assistant Secretary, certifying the number, and the class or series, of shares owned by such person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86" w:lineRule="exact"/>
        <w:rPr>
          <w:sz w:val="20"/>
          <w:szCs w:val="20"/>
          <w:color w:val="auto"/>
        </w:rPr>
      </w:pPr>
    </w:p>
    <w:p>
      <w:pPr>
        <w:ind w:right="60" w:firstLine="436"/>
        <w:spacing w:after="0" w:line="271" w:lineRule="auto"/>
        <w:rPr>
          <w:sz w:val="20"/>
          <w:szCs w:val="20"/>
          <w:color w:val="auto"/>
        </w:rPr>
      </w:pPr>
      <w:r>
        <w:rPr>
          <w:rFonts w:ascii="Arial" w:cs="Arial" w:eastAsia="Arial" w:hAnsi="Arial"/>
          <w:sz w:val="17"/>
          <w:szCs w:val="17"/>
          <w:b w:val="1"/>
          <w:bCs w:val="1"/>
          <w:color w:val="auto"/>
        </w:rPr>
        <w:t xml:space="preserve">Section 36. Lost Certificates. </w:t>
      </w:r>
      <w:r>
        <w:rPr>
          <w:rFonts w:ascii="Arial" w:cs="Arial" w:eastAsia="Arial" w:hAnsi="Arial"/>
          <w:sz w:val="17"/>
          <w:szCs w:val="17"/>
          <w:color w:val="auto"/>
        </w:rPr>
        <w:t>A new certificate or certificates shall be issued in place of any certificate or certificates theretofore issued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37. Transfers.</w:t>
      </w:r>
    </w:p>
    <w:p>
      <w:pPr>
        <w:spacing w:after="0" w:line="118" w:lineRule="exact"/>
        <w:rPr>
          <w:sz w:val="20"/>
          <w:szCs w:val="20"/>
          <w:color w:val="auto"/>
        </w:rPr>
      </w:pPr>
    </w:p>
    <w:p>
      <w:pPr>
        <w:ind w:right="280" w:firstLine="990"/>
        <w:spacing w:after="0" w:line="259" w:lineRule="auto"/>
        <w:tabs>
          <w:tab w:leader="none" w:pos="1234"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78" w:lineRule="exact"/>
        <w:rPr>
          <w:rFonts w:ascii="Arial" w:cs="Arial" w:eastAsia="Arial" w:hAnsi="Arial"/>
          <w:sz w:val="18"/>
          <w:szCs w:val="18"/>
          <w:b w:val="1"/>
          <w:bCs w:val="1"/>
          <w:color w:val="auto"/>
        </w:rPr>
      </w:pPr>
    </w:p>
    <w:p>
      <w:pPr>
        <w:ind w:right="220" w:firstLine="990"/>
        <w:spacing w:after="0" w:line="259" w:lineRule="auto"/>
        <w:tabs>
          <w:tab w:leader="none" w:pos="1245"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38. Fixing Record Dates.</w:t>
      </w:r>
    </w:p>
    <w:p>
      <w:pPr>
        <w:spacing w:after="0" w:line="118" w:lineRule="exact"/>
        <w:rPr>
          <w:sz w:val="20"/>
          <w:szCs w:val="20"/>
          <w:color w:val="auto"/>
        </w:rPr>
      </w:pPr>
    </w:p>
    <w:p>
      <w:pPr>
        <w:ind w:right="20" w:firstLine="990"/>
        <w:spacing w:after="0" w:line="268" w:lineRule="auto"/>
        <w:tabs>
          <w:tab w:leader="none" w:pos="1234" w:val="left"/>
        </w:tabs>
        <w:numPr>
          <w:ilvl w:val="0"/>
          <w:numId w:val="233"/>
        </w:numPr>
        <w:rPr>
          <w:rFonts w:ascii="Arial" w:cs="Arial" w:eastAsia="Arial" w:hAnsi="Arial"/>
          <w:sz w:val="17"/>
          <w:szCs w:val="17"/>
          <w:b w:val="1"/>
          <w:bCs w:val="1"/>
          <w:color w:val="auto"/>
        </w:rPr>
      </w:pPr>
      <w:r>
        <w:rPr>
          <w:rFonts w:ascii="Arial" w:cs="Arial" w:eastAsia="Arial" w:hAnsi="Arial"/>
          <w:sz w:val="17"/>
          <w:szCs w:val="17"/>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fewer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72" w:lineRule="exact"/>
        <w:rPr>
          <w:rFonts w:ascii="Arial" w:cs="Arial" w:eastAsia="Arial" w:hAnsi="Arial"/>
          <w:sz w:val="17"/>
          <w:szCs w:val="17"/>
          <w:b w:val="1"/>
          <w:bCs w:val="1"/>
          <w:color w:val="auto"/>
        </w:rPr>
      </w:pPr>
    </w:p>
    <w:p>
      <w:pPr>
        <w:ind w:firstLine="990"/>
        <w:spacing w:after="0" w:line="252" w:lineRule="auto"/>
        <w:tabs>
          <w:tab w:leader="none" w:pos="1245"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480" w:top="272" w:right="519" w:bottom="1440" w:gutter="0" w:footer="0" w:header="0"/>
        </w:sectPr>
      </w:pPr>
    </w:p>
    <w:bookmarkStart w:id="322" w:name="page323"/>
    <w:bookmarkEnd w:id="322"/>
    <w:p>
      <w:pPr>
        <w:ind w:right="180" w:firstLine="990"/>
        <w:spacing w:after="0" w:line="271" w:lineRule="auto"/>
        <w:tabs>
          <w:tab w:leader="none" w:pos="1224"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the purposes of this Section 38, “</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as of any day means 5:00 p.m. local time at the principal executive offices of the Corporation on such day.</w:t>
      </w:r>
    </w:p>
    <w:p>
      <w:pPr>
        <w:spacing w:after="0" w:line="171" w:lineRule="exact"/>
        <w:rPr>
          <w:sz w:val="20"/>
          <w:szCs w:val="20"/>
          <w:color w:val="auto"/>
        </w:rPr>
      </w:pPr>
    </w:p>
    <w:p>
      <w:pPr>
        <w:ind w:right="80" w:firstLine="436"/>
        <w:spacing w:after="0" w:line="257" w:lineRule="auto"/>
        <w:rPr>
          <w:sz w:val="20"/>
          <w:szCs w:val="20"/>
          <w:color w:val="auto"/>
        </w:rPr>
      </w:pPr>
      <w:r>
        <w:rPr>
          <w:rFonts w:ascii="Arial" w:cs="Arial" w:eastAsia="Arial" w:hAnsi="Arial"/>
          <w:sz w:val="18"/>
          <w:szCs w:val="18"/>
          <w:b w:val="1"/>
          <w:bCs w:val="1"/>
          <w:color w:val="auto"/>
        </w:rPr>
        <w:t xml:space="preserve">Section 39. Registered Stockholders. </w:t>
      </w:r>
      <w:r>
        <w:rPr>
          <w:rFonts w:ascii="Arial" w:cs="Arial" w:eastAsia="Arial" w:hAnsi="Arial"/>
          <w:sz w:val="18"/>
          <w:szCs w:val="18"/>
          <w:color w:val="auto"/>
        </w:rPr>
        <w:t>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3" w:lineRule="exact"/>
        <w:rPr>
          <w:sz w:val="20"/>
          <w:szCs w:val="20"/>
          <w:color w:val="auto"/>
        </w:rPr>
      </w:pPr>
    </w:p>
    <w:p>
      <w:pPr>
        <w:ind w:firstLine="436"/>
        <w:spacing w:after="0" w:line="294" w:lineRule="auto"/>
        <w:rPr>
          <w:sz w:val="20"/>
          <w:szCs w:val="20"/>
          <w:color w:val="auto"/>
        </w:rPr>
      </w:pPr>
      <w:r>
        <w:rPr>
          <w:rFonts w:ascii="Arial" w:cs="Arial" w:eastAsia="Arial" w:hAnsi="Arial"/>
          <w:sz w:val="16"/>
          <w:szCs w:val="16"/>
          <w:b w:val="1"/>
          <w:bCs w:val="1"/>
          <w:color w:val="auto"/>
        </w:rPr>
        <w:t xml:space="preserve">Section 40. Additional Powers of the Board. </w:t>
      </w:r>
      <w:r>
        <w:rPr>
          <w:rFonts w:ascii="Arial" w:cs="Arial" w:eastAsia="Arial" w:hAnsi="Arial"/>
          <w:sz w:val="16"/>
          <w:szCs w:val="16"/>
          <w:color w:val="auto"/>
        </w:rPr>
        <w:t>In addition to, and without limiting, the powers set forth in the Bylaws, the Board of Directors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power and authority to make all such rules and regulations as it shall deem expedient concerning the issue, transfer, and registration of certificates for shares of stock of the Corporation, including the use of uncertificated shares of stock, subject to the provisions of the DGCL, other applicable law, the Certificate of Incorporation and the Bylaws. The Board of Directors may appoint and remove transfer agents and registrars of transfers, and may require all stock certificates to bear the signature of any such transfer agent and/or any such registrar of transfers.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1" w:lineRule="exact"/>
        <w:rPr>
          <w:sz w:val="20"/>
          <w:szCs w:val="20"/>
          <w:color w:val="auto"/>
        </w:rPr>
      </w:pPr>
    </w:p>
    <w:p>
      <w:pPr>
        <w:ind w:right="20" w:firstLine="436"/>
        <w:spacing w:after="0" w:line="283" w:lineRule="auto"/>
        <w:rPr>
          <w:sz w:val="20"/>
          <w:szCs w:val="20"/>
          <w:color w:val="auto"/>
        </w:rPr>
      </w:pPr>
      <w:r>
        <w:rPr>
          <w:rFonts w:ascii="Arial" w:cs="Arial" w:eastAsia="Arial" w:hAnsi="Arial"/>
          <w:sz w:val="16"/>
          <w:szCs w:val="16"/>
          <w:b w:val="1"/>
          <w:bCs w:val="1"/>
          <w:color w:val="auto"/>
        </w:rPr>
        <w:t xml:space="preserve">Section 41. Execution of Other Securities. </w:t>
      </w:r>
      <w:r>
        <w:rPr>
          <w:rFonts w:ascii="Arial" w:cs="Arial" w:eastAsia="Arial" w:hAnsi="Arial"/>
          <w:sz w:val="16"/>
          <w:szCs w:val="16"/>
          <w:color w:val="auto"/>
        </w:rPr>
        <w:t>All bonds, debentures and other corporate securities of the Corporation, other than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in Section 35), may be signed by the Chief Executive Officer, the President or any Vice President, or such other person as may be authorized by the Board of Directors, and if such securities require it, the corporate seal may be impressed thereon or a facsimile of such seal may be imprinted thereon and attested by the signature of the Secretary of the Corporation or an Assistant Secretary of the Corporation, or the Chief Financial Officer or Treasurer or an Assistant Treasurer;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480" w:top="272" w:right="519" w:bottom="1440" w:gutter="0" w:footer="0" w:header="0"/>
        </w:sectPr>
      </w:pPr>
    </w:p>
    <w:bookmarkStart w:id="323" w:name="page324"/>
    <w:bookmarkEnd w:id="32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IX</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DIVIDENDS</w:t>
      </w:r>
    </w:p>
    <w:p>
      <w:pPr>
        <w:spacing w:after="0" w:line="221" w:lineRule="exact"/>
        <w:rPr>
          <w:sz w:val="20"/>
          <w:szCs w:val="20"/>
          <w:color w:val="auto"/>
        </w:rPr>
      </w:pPr>
    </w:p>
    <w:p>
      <w:pPr>
        <w:ind w:right="360" w:firstLine="436"/>
        <w:spacing w:after="0" w:line="261" w:lineRule="auto"/>
        <w:rPr>
          <w:sz w:val="20"/>
          <w:szCs w:val="20"/>
          <w:color w:val="auto"/>
        </w:rPr>
      </w:pPr>
      <w:r>
        <w:rPr>
          <w:rFonts w:ascii="Arial" w:cs="Arial" w:eastAsia="Arial" w:hAnsi="Arial"/>
          <w:sz w:val="18"/>
          <w:szCs w:val="18"/>
          <w:b w:val="1"/>
          <w:bCs w:val="1"/>
          <w:color w:val="auto"/>
        </w:rPr>
        <w:t xml:space="preserve">Section 42. Declaration of Dividends. </w:t>
      </w:r>
      <w:r>
        <w:rPr>
          <w:rFonts w:ascii="Arial" w:cs="Arial" w:eastAsia="Arial" w:hAnsi="Arial"/>
          <w:sz w:val="18"/>
          <w:szCs w:val="18"/>
          <w:color w:val="auto"/>
        </w:rPr>
        <w:t>Dividends upon the capital stock of the Corporation, subject to the provisions of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and applicable law, if any, may be declared by the Board of Directors. Dividends may be paid in cash, in property, or in shares of the capital stock, subject to the provisions of the Certificate of Incorporation and applicable law.</w:t>
      </w:r>
    </w:p>
    <w:p>
      <w:pPr>
        <w:spacing w:after="0" w:line="181"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b w:val="1"/>
          <w:bCs w:val="1"/>
          <w:color w:val="auto"/>
        </w:rPr>
        <w:t xml:space="preserve">Section 43. Dividend Reserve. </w:t>
      </w:r>
      <w:r>
        <w:rPr>
          <w:rFonts w:ascii="Arial" w:cs="Arial" w:eastAsia="Arial" w:hAnsi="Arial"/>
          <w:sz w:val="18"/>
          <w:szCs w:val="18"/>
          <w:color w:val="auto"/>
        </w:rPr>
        <w:t>Before payment of any dividend, there may be set aside out of any funds of the Corporation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such sum or sums as the Board of Directors from time to time, in its absolute discretion, determines proper as a reserve or reserves to meet contingencies, or for equalizing dividends, or for repairing or maintaining any property of the Corporation, or for such other purpose or purposes as the Board of Directors shall determine to be conducive to the interests of the Corporation, and the Board of Directors may modify or abolish any such reserve in the manner in which it was created.</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FISCAL YEAR</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44. Fiscal Year. </w:t>
      </w:r>
      <w:r>
        <w:rPr>
          <w:rFonts w:ascii="Arial" w:cs="Arial" w:eastAsia="Arial" w:hAnsi="Arial"/>
          <w:sz w:val="18"/>
          <w:szCs w:val="18"/>
          <w:color w:val="auto"/>
        </w:rPr>
        <w:t>The fiscal year of the Corporation shall be fixed by resolution of the Board of Directors.</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XI</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INDEMNIFICATION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45. Indemnification of Directors, Executive Officers, Other Officers, Employees and Other Agents.</w:t>
      </w:r>
    </w:p>
    <w:p>
      <w:pPr>
        <w:spacing w:after="0" w:line="114" w:lineRule="exact"/>
        <w:rPr>
          <w:sz w:val="20"/>
          <w:szCs w:val="20"/>
          <w:color w:val="auto"/>
        </w:rPr>
      </w:pPr>
    </w:p>
    <w:p>
      <w:pPr>
        <w:ind w:firstLine="990"/>
        <w:spacing w:after="0" w:line="266" w:lineRule="auto"/>
        <w:tabs>
          <w:tab w:leader="none" w:pos="1234"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Directors and Executive Officers. </w:t>
      </w:r>
      <w:r>
        <w:rPr>
          <w:rFonts w:ascii="Arial" w:cs="Arial" w:eastAsia="Arial" w:hAnsi="Arial"/>
          <w:sz w:val="17"/>
          <w:szCs w:val="17"/>
          <w:color w:val="auto"/>
        </w:rPr>
        <w:t>The Corporation shall indemnify to the full extent permitted under and in any manner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DGCL or any other applicable law, any person who is made or threatened to be made a party to or is otherwise involved (as a witness or otherwise) in any threatened, pending, or completed action, suit, or proceeding, whether civil, criminal, administrative, or investigative (hereinafter, a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by reason of the fact that such person is or was a director or executive officer (for the purposes of this Article XI, “</w:t>
      </w:r>
      <w:r>
        <w:rPr>
          <w:rFonts w:ascii="Arial" w:cs="Arial" w:eastAsia="Arial" w:hAnsi="Arial"/>
          <w:sz w:val="17"/>
          <w:szCs w:val="17"/>
          <w:b w:val="1"/>
          <w:bCs w:val="1"/>
          <w:i w:val="1"/>
          <w:iCs w:val="1"/>
          <w:color w:val="auto"/>
        </w:rPr>
        <w:t>executive officers</w:t>
      </w:r>
      <w:r>
        <w:rPr>
          <w:rFonts w:ascii="Arial" w:cs="Arial" w:eastAsia="Arial" w:hAnsi="Arial"/>
          <w:sz w:val="17"/>
          <w:szCs w:val="17"/>
          <w:color w:val="auto"/>
        </w:rPr>
        <w:t>” shall be those persons designated by the Corporation as (a) executive officers for purposes of the disclosures required in the Corporation’s proxy and periodic reports or (b) officers for purposes of Section 16 of the 1934 Act) of the Corporation, or while serving as a director or executive officer of the Corporation, is or was serving at the request of the Corporation as a director, officer, employee, or agent of another corporation, partnership, joint venture, trust, or other enterprise, including service with respect to an employee benefit plan (collectively, “</w:t>
      </w:r>
      <w:r>
        <w:rPr>
          <w:rFonts w:ascii="Arial" w:cs="Arial" w:eastAsia="Arial" w:hAnsi="Arial"/>
          <w:sz w:val="17"/>
          <w:szCs w:val="17"/>
          <w:b w:val="1"/>
          <w:bCs w:val="1"/>
          <w:i w:val="1"/>
          <w:iCs w:val="1"/>
          <w:color w:val="auto"/>
        </w:rPr>
        <w:t>Another Enterprise</w:t>
      </w:r>
      <w:r>
        <w:rPr>
          <w:rFonts w:ascii="Arial" w:cs="Arial" w:eastAsia="Arial" w:hAnsi="Arial"/>
          <w:sz w:val="17"/>
          <w:szCs w:val="17"/>
          <w:color w:val="auto"/>
        </w:rPr>
        <w:t>”), against expenses (including attorneys’ fees), judgments, fines (including ERISA excise taxes or penalties) and amounts paid in settlement actually and reasonably incurred by him or her in connection with such Proceeding if he or she acted in good faith and in a manner he or she reasonably believed to be in or not opposed to the best interests of the Corporation, and, with respect to any criminal action or proceeding, had no reasonable cause to believe his or her conduct was unlawful; 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Corporation may modify the extent of such indemnification by individual contracts with its directors and executive officers; and, provided, 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Corporation shall not be required to indemnify any director or executive officer in connection with any proceeding (or</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40"/>
          </w:cols>
          <w:pgMar w:left="480" w:top="268" w:right="579" w:bottom="1440" w:gutter="0" w:footer="0" w:header="0"/>
        </w:sectPr>
      </w:pPr>
    </w:p>
    <w:bookmarkStart w:id="324" w:name="page325"/>
    <w:bookmarkEnd w:id="324"/>
    <w:p>
      <w:pPr>
        <w:ind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thereof) initiated by such person unless (i) such indemnification is expressly required to be made by applicable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w:t>
      </w:r>
    </w:p>
    <w:p>
      <w:pPr>
        <w:spacing w:after="0" w:line="2" w:lineRule="exact"/>
        <w:rPr>
          <w:sz w:val="20"/>
          <w:szCs w:val="20"/>
          <w:color w:val="auto"/>
        </w:rPr>
      </w:pPr>
    </w:p>
    <w:p>
      <w:pPr>
        <w:ind w:left="260" w:hanging="253"/>
        <w:spacing w:after="0"/>
        <w:tabs>
          <w:tab w:leader="none" w:pos="2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of this Section 45.</w:t>
      </w:r>
    </w:p>
    <w:p>
      <w:pPr>
        <w:spacing w:after="0" w:line="97" w:lineRule="exact"/>
        <w:rPr>
          <w:rFonts w:ascii="Arial" w:cs="Arial" w:eastAsia="Arial" w:hAnsi="Arial"/>
          <w:sz w:val="18"/>
          <w:szCs w:val="18"/>
          <w:color w:val="auto"/>
        </w:rPr>
      </w:pPr>
    </w:p>
    <w:p>
      <w:pPr>
        <w:ind w:right="180" w:firstLine="990"/>
        <w:spacing w:after="0" w:line="277" w:lineRule="auto"/>
        <w:tabs>
          <w:tab w:leader="none" w:pos="1244" w:val="left"/>
        </w:tabs>
        <w:numPr>
          <w:ilvl w:val="1"/>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Officers, Employees and Other Agents. </w:t>
      </w:r>
      <w:r>
        <w:rPr>
          <w:rFonts w:ascii="Arial" w:cs="Arial" w:eastAsia="Arial" w:hAnsi="Arial"/>
          <w:sz w:val="17"/>
          <w:szCs w:val="17"/>
          <w:color w:val="auto"/>
        </w:rPr>
        <w:t>The Corporation shall have power to indemnify (including the power to advance</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in a manner consistent with subsection (c) of this Section 45) its other officers, employees and other 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60" w:lineRule="exact"/>
        <w:rPr>
          <w:rFonts w:ascii="Arial" w:cs="Arial" w:eastAsia="Arial" w:hAnsi="Arial"/>
          <w:sz w:val="17"/>
          <w:szCs w:val="17"/>
          <w:b w:val="1"/>
          <w:bCs w:val="1"/>
          <w:color w:val="auto"/>
        </w:rPr>
      </w:pPr>
    </w:p>
    <w:p>
      <w:pPr>
        <w:ind w:firstLine="990"/>
        <w:spacing w:after="0" w:line="286" w:lineRule="auto"/>
        <w:tabs>
          <w:tab w:leader="none" w:pos="1224" w:val="left"/>
        </w:tabs>
        <w:numPr>
          <w:ilvl w:val="1"/>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The Corporation shall advance to any person who was or is a party or is threatened to be made a party to any threatened,</w:t>
      </w:r>
      <w:r>
        <w:rPr>
          <w:rFonts w:ascii="Arial" w:cs="Arial" w:eastAsia="Arial" w:hAnsi="Arial"/>
          <w:sz w:val="16"/>
          <w:szCs w:val="16"/>
          <w:b w:val="1"/>
          <w:bCs w:val="1"/>
          <w:color w:val="auto"/>
        </w:rPr>
        <w:t xml:space="preserve"> </w:t>
      </w:r>
      <w:r>
        <w:rPr>
          <w:rFonts w:ascii="Arial" w:cs="Arial" w:eastAsia="Arial" w:hAnsi="Arial"/>
          <w:sz w:val="16"/>
          <w:szCs w:val="16"/>
          <w:color w:val="auto"/>
        </w:rPr>
        <w:t>pending or completed Proceeding, by reason of the fact that such person is or was a director or executive officer, of the Corporation, or is or was serving at the request of the Corporation as a director or executive officer of Another Enterprise, prior to the final disposition of the Proceeding, promptly following request therefor, all expenses (including attorneys’ fees)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Arial" w:cs="Arial" w:eastAsia="Arial" w:hAnsi="Arial"/>
          <w:sz w:val="16"/>
          <w:szCs w:val="16"/>
          <w:b w:val="1"/>
          <w:bCs w:val="1"/>
          <w:i w:val="1"/>
          <w:iCs w:val="1"/>
          <w:color w:val="auto"/>
        </w:rPr>
        <w:t>undertaking</w:t>
      </w:r>
      <w:r>
        <w:rPr>
          <w:rFonts w:ascii="Arial" w:cs="Arial" w:eastAsia="Arial" w:hAnsi="Arial"/>
          <w:sz w:val="16"/>
          <w:szCs w:val="16"/>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6"/>
          <w:szCs w:val="16"/>
          <w:b w:val="1"/>
          <w:bCs w:val="1"/>
          <w:i w:val="1"/>
          <w:iCs w:val="1"/>
          <w:color w:val="auto"/>
        </w:rPr>
        <w:t>final adjudication</w:t>
      </w:r>
      <w:r>
        <w:rPr>
          <w:rFonts w:ascii="Arial" w:cs="Arial" w:eastAsia="Arial" w:hAnsi="Arial"/>
          <w:sz w:val="16"/>
          <w:szCs w:val="16"/>
          <w:color w:val="auto"/>
        </w:rPr>
        <w:t>”) that such indemnitee is not entitled to be indemnified for such expenses under this Section 45 or otherwise.</w:t>
      </w:r>
    </w:p>
    <w:p>
      <w:pPr>
        <w:spacing w:after="0" w:line="171" w:lineRule="exact"/>
        <w:rPr>
          <w:sz w:val="20"/>
          <w:szCs w:val="20"/>
          <w:color w:val="auto"/>
        </w:rPr>
      </w:pPr>
    </w:p>
    <w:p>
      <w:pPr>
        <w:ind w:right="20" w:firstLine="436"/>
        <w:spacing w:after="0" w:line="288" w:lineRule="auto"/>
        <w:rPr>
          <w:sz w:val="20"/>
          <w:szCs w:val="20"/>
          <w:color w:val="auto"/>
        </w:rPr>
      </w:pPr>
      <w:r>
        <w:rPr>
          <w:rFonts w:ascii="Arial" w:cs="Arial" w:eastAsia="Arial" w:hAnsi="Arial"/>
          <w:sz w:val="16"/>
          <w:szCs w:val="16"/>
          <w:color w:val="auto"/>
        </w:rPr>
        <w:t>Notwithstanding the foregoing, unless otherwise determined pursuant to paragraph (d) of this Section 45, no advance shall be made by the Corporation to an executive officer of the Corporation (except by reason of the fact that such executive officer is or was a director of the Corporation in which event this paragraph shall not apply) in any Proceeding,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55" w:lineRule="exact"/>
        <w:rPr>
          <w:sz w:val="20"/>
          <w:szCs w:val="20"/>
          <w:color w:val="auto"/>
        </w:rPr>
      </w:pPr>
    </w:p>
    <w:p>
      <w:pPr>
        <w:ind w:firstLine="990"/>
        <w:spacing w:after="0" w:line="268" w:lineRule="auto"/>
        <w:tabs>
          <w:tab w:leader="none" w:pos="1244"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Enforcement. </w:t>
      </w:r>
      <w:r>
        <w:rPr>
          <w:rFonts w:ascii="Arial" w:cs="Arial" w:eastAsia="Arial" w:hAnsi="Arial"/>
          <w:sz w:val="17"/>
          <w:szCs w:val="17"/>
          <w:color w:val="auto"/>
        </w:rPr>
        <w:t>Without the necessity of entering into an express contract, all rights to indemnification and advances to directors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officers under this Section 45 shall be deemed to be contractual rights, shall vest when the person becomes a director or executive officer of the Corporation, shall continue as vested contract rights even if such person ceases to be a director or executive officer of the Corporation, and shall be effective to the same extent and as if provided for in a contract between the Corporation and the director or executive officer. Any right to indemnification or advances granted by this Section 45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fullest extent permitted by applicable law, the claimant in such enforcement action, if successful in whole or in part, shall be entitled to be paid also the expense of prosecuting the claim. In connection with any claim for indemnification, the Corporation shall be entitled to raise as a</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80"/>
          </w:cols>
          <w:pgMar w:left="480" w:top="272" w:right="539" w:bottom="1440" w:gutter="0" w:footer="0" w:header="0"/>
        </w:sectPr>
      </w:pPr>
    </w:p>
    <w:bookmarkStart w:id="325" w:name="page326"/>
    <w:bookmarkEnd w:id="325"/>
    <w:p>
      <w:pPr>
        <w:ind w:right="4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Proceeding,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45 or otherwise shall be on the Corporation.</w:t>
      </w:r>
    </w:p>
    <w:p>
      <w:pPr>
        <w:spacing w:after="0" w:line="79" w:lineRule="exact"/>
        <w:rPr>
          <w:sz w:val="20"/>
          <w:szCs w:val="20"/>
          <w:color w:val="auto"/>
        </w:rPr>
      </w:pPr>
    </w:p>
    <w:p>
      <w:pPr>
        <w:ind w:firstLine="990"/>
        <w:spacing w:after="0" w:line="273" w:lineRule="auto"/>
        <w:tabs>
          <w:tab w:leader="none" w:pos="1224"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Non-Exclusivity of Rights. </w:t>
      </w:r>
      <w:r>
        <w:rPr>
          <w:rFonts w:ascii="Arial" w:cs="Arial" w:eastAsia="Arial" w:hAnsi="Arial"/>
          <w:sz w:val="17"/>
          <w:szCs w:val="17"/>
          <w:color w:val="auto"/>
        </w:rPr>
        <w:t>The rights conferred on any person by this Section 45 shall not be exclusive of any other right that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65" w:lineRule="exact"/>
        <w:rPr>
          <w:rFonts w:ascii="Arial" w:cs="Arial" w:eastAsia="Arial" w:hAnsi="Arial"/>
          <w:sz w:val="17"/>
          <w:szCs w:val="17"/>
          <w:b w:val="1"/>
          <w:bCs w:val="1"/>
          <w:color w:val="auto"/>
        </w:rPr>
      </w:pPr>
    </w:p>
    <w:p>
      <w:pPr>
        <w:ind w:right="320" w:firstLine="990"/>
        <w:spacing w:after="0" w:line="306" w:lineRule="auto"/>
        <w:tabs>
          <w:tab w:leader="none" w:pos="1205"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Survival of Rights. </w:t>
      </w:r>
      <w:r>
        <w:rPr>
          <w:rFonts w:ascii="Arial" w:cs="Arial" w:eastAsia="Arial" w:hAnsi="Arial"/>
          <w:sz w:val="17"/>
          <w:szCs w:val="17"/>
          <w:color w:val="auto"/>
        </w:rPr>
        <w:t>The rights conferred on any person by this Bylaw shall continue as to a person who has ceased to be a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employee or other agent and shall inure to the benefit of the heirs, executors and administrators of such a person.</w:t>
      </w:r>
    </w:p>
    <w:p>
      <w:pPr>
        <w:spacing w:after="0" w:line="36" w:lineRule="exact"/>
        <w:rPr>
          <w:rFonts w:ascii="Arial" w:cs="Arial" w:eastAsia="Arial" w:hAnsi="Arial"/>
          <w:sz w:val="17"/>
          <w:szCs w:val="17"/>
          <w:b w:val="1"/>
          <w:bCs w:val="1"/>
          <w:color w:val="auto"/>
        </w:rPr>
      </w:pPr>
    </w:p>
    <w:p>
      <w:pPr>
        <w:ind w:right="180" w:firstLine="990"/>
        <w:spacing w:after="0" w:line="306" w:lineRule="auto"/>
        <w:tabs>
          <w:tab w:leader="none" w:pos="1234"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Insurance. </w:t>
      </w:r>
      <w:r>
        <w:rPr>
          <w:rFonts w:ascii="Arial" w:cs="Arial" w:eastAsia="Arial" w:hAnsi="Arial"/>
          <w:sz w:val="17"/>
          <w:szCs w:val="17"/>
          <w:color w:val="auto"/>
        </w:rPr>
        <w:t>To the fullest extent permitted by the DGCL or any other applicable law, the Corporation, upon approval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purchase insurance on behalf of any person required or permitted to be indemnified pursuant to this Section 45.</w:t>
      </w:r>
    </w:p>
    <w:p>
      <w:pPr>
        <w:spacing w:after="0" w:line="36" w:lineRule="exact"/>
        <w:rPr>
          <w:rFonts w:ascii="Arial" w:cs="Arial" w:eastAsia="Arial" w:hAnsi="Arial"/>
          <w:sz w:val="17"/>
          <w:szCs w:val="17"/>
          <w:b w:val="1"/>
          <w:bCs w:val="1"/>
          <w:color w:val="auto"/>
        </w:rPr>
      </w:pPr>
    </w:p>
    <w:p>
      <w:pPr>
        <w:ind w:left="1260" w:hanging="270"/>
        <w:spacing w:after="0"/>
        <w:tabs>
          <w:tab w:leader="none" w:pos="1260"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Amendments. </w:t>
      </w:r>
      <w:r>
        <w:rPr>
          <w:rFonts w:ascii="Arial" w:cs="Arial" w:eastAsia="Arial" w:hAnsi="Arial"/>
          <w:sz w:val="17"/>
          <w:szCs w:val="17"/>
          <w:color w:val="auto"/>
        </w:rPr>
        <w:t>Any repeal or modification of this Section 45 shall only be prospective and shall not affect the rights under this</w:t>
      </w:r>
    </w:p>
    <w:p>
      <w:pPr>
        <w:spacing w:after="0" w:line="3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Section 45 in effect at the time of the alleged occurrence of any action or omission to act that is the cause of any Proceeding against any agent of the Corporation.</w:t>
      </w:r>
    </w:p>
    <w:p>
      <w:pPr>
        <w:spacing w:after="0" w:line="77" w:lineRule="exact"/>
        <w:rPr>
          <w:sz w:val="20"/>
          <w:szCs w:val="20"/>
          <w:color w:val="auto"/>
        </w:rPr>
      </w:pPr>
    </w:p>
    <w:p>
      <w:pPr>
        <w:ind w:firstLine="990"/>
        <w:spacing w:after="0" w:line="255" w:lineRule="auto"/>
        <w:tabs>
          <w:tab w:leader="none" w:pos="1195"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Saving Clause. </w:t>
      </w:r>
      <w:r>
        <w:rPr>
          <w:rFonts w:ascii="Arial" w:cs="Arial" w:eastAsia="Arial" w:hAnsi="Arial"/>
          <w:sz w:val="18"/>
          <w:szCs w:val="18"/>
          <w:color w:val="auto"/>
        </w:rPr>
        <w:t>If this Article XI or any portion hereof shall be invalidated on any ground by any court of competent jurisdiction, then</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nevertheless indemnify each director and executive officer to the full extent not prohibited by any applicable portion of this Article XI that shall not have been invalidated, or by any other applicable law. If this Article XI shall be invalid due to the application of the indemnification provisions of another jurisdiction, then the Corporation shall indemnify each director and executive officer to the full extent under any other applicable law.</w:t>
      </w:r>
    </w:p>
    <w:p>
      <w:pPr>
        <w:spacing w:after="0" w:line="77" w:lineRule="exact"/>
        <w:rPr>
          <w:rFonts w:ascii="Arial" w:cs="Arial" w:eastAsia="Arial" w:hAnsi="Arial"/>
          <w:sz w:val="18"/>
          <w:szCs w:val="18"/>
          <w:b w:val="1"/>
          <w:bCs w:val="1"/>
          <w:color w:val="auto"/>
        </w:rPr>
      </w:pPr>
    </w:p>
    <w:p>
      <w:pPr>
        <w:ind w:right="120" w:firstLine="990"/>
        <w:spacing w:after="0" w:line="275" w:lineRule="auto"/>
        <w:tabs>
          <w:tab w:leader="none" w:pos="1205"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and Construction of Terms. </w:t>
      </w:r>
      <w:r>
        <w:rPr>
          <w:rFonts w:ascii="Arial" w:cs="Arial" w:eastAsia="Arial" w:hAnsi="Arial"/>
          <w:sz w:val="18"/>
          <w:szCs w:val="18"/>
          <w:color w:val="auto"/>
        </w:rPr>
        <w:t>For the purposes of Article XI of the Bylaws, the following definitions and rules of</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shall apply: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480" w:top="272" w:right="519" w:bottom="1440" w:gutter="0" w:footer="0" w:header="0"/>
        </w:sectPr>
      </w:pPr>
    </w:p>
    <w:bookmarkStart w:id="326" w:name="page327"/>
    <w:bookmarkEnd w:id="326"/>
    <w:p>
      <w:pPr>
        <w:ind w:left="-20" w:right="160" w:firstLine="990"/>
        <w:spacing w:after="0" w:line="259" w:lineRule="auto"/>
        <w:tabs>
          <w:tab w:leader="none" w:pos="1175" w:val="left"/>
        </w:tabs>
        <w:numPr>
          <w:ilvl w:val="0"/>
          <w:numId w:val="24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term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78" w:lineRule="exact"/>
        <w:rPr>
          <w:rFonts w:ascii="Arial" w:cs="Arial" w:eastAsia="Arial" w:hAnsi="Arial"/>
          <w:sz w:val="18"/>
          <w:szCs w:val="18"/>
          <w:b w:val="1"/>
          <w:bCs w:val="1"/>
          <w:color w:val="auto"/>
        </w:rPr>
      </w:pPr>
    </w:p>
    <w:p>
      <w:pPr>
        <w:ind w:left="-20" w:right="180" w:firstLine="990"/>
        <w:spacing w:after="0" w:line="335" w:lineRule="auto"/>
        <w:tabs>
          <w:tab w:leader="none" w:pos="1225" w:val="left"/>
        </w:tabs>
        <w:numPr>
          <w:ilvl w:val="0"/>
          <w:numId w:val="240"/>
        </w:numPr>
        <w:rPr>
          <w:rFonts w:ascii="Arial" w:cs="Arial" w:eastAsia="Arial" w:hAnsi="Arial"/>
          <w:sz w:val="16"/>
          <w:szCs w:val="16"/>
          <w:b w:val="1"/>
          <w:bCs w:val="1"/>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21" w:lineRule="exact"/>
        <w:rPr>
          <w:rFonts w:ascii="Arial" w:cs="Arial" w:eastAsia="Arial" w:hAnsi="Arial"/>
          <w:sz w:val="16"/>
          <w:szCs w:val="16"/>
          <w:b w:val="1"/>
          <w:bCs w:val="1"/>
          <w:color w:val="auto"/>
        </w:rPr>
      </w:pPr>
    </w:p>
    <w:p>
      <w:pPr>
        <w:ind w:left="-20" w:firstLine="990"/>
        <w:spacing w:after="0" w:line="290" w:lineRule="auto"/>
        <w:tabs>
          <w:tab w:leader="none" w:pos="1274" w:val="left"/>
        </w:tabs>
        <w:numPr>
          <w:ilvl w:val="0"/>
          <w:numId w:val="240"/>
        </w:numPr>
        <w:rPr>
          <w:rFonts w:ascii="Arial" w:cs="Arial" w:eastAsia="Arial" w:hAnsi="Arial"/>
          <w:sz w:val="16"/>
          <w:szCs w:val="16"/>
          <w:b w:val="1"/>
          <w:bCs w:val="1"/>
          <w:color w:val="auto"/>
        </w:rPr>
      </w:pPr>
      <w:r>
        <w:rPr>
          <w:rFonts w:ascii="Arial" w:cs="Arial" w:eastAsia="Arial" w:hAnsi="Arial"/>
          <w:sz w:val="16"/>
          <w:szCs w:val="16"/>
          <w:color w:val="auto"/>
        </w:rPr>
        <w:t>The term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45 with respect to the resulting or surviving Corporation as he would have with respect to such constituent Corporation if its separate existence had continued.</w:t>
      </w:r>
    </w:p>
    <w:p>
      <w:pPr>
        <w:spacing w:after="0" w:line="56" w:lineRule="exact"/>
        <w:rPr>
          <w:rFonts w:ascii="Arial" w:cs="Arial" w:eastAsia="Arial" w:hAnsi="Arial"/>
          <w:sz w:val="16"/>
          <w:szCs w:val="16"/>
          <w:b w:val="1"/>
          <w:bCs w:val="1"/>
          <w:color w:val="auto"/>
        </w:rPr>
      </w:pPr>
    </w:p>
    <w:p>
      <w:pPr>
        <w:jc w:val="both"/>
        <w:ind w:left="-20" w:right="40" w:firstLine="990"/>
        <w:spacing w:after="0" w:line="259" w:lineRule="auto"/>
        <w:tabs>
          <w:tab w:leader="none" w:pos="1264" w:val="left"/>
        </w:tabs>
        <w:numPr>
          <w:ilvl w:val="0"/>
          <w:numId w:val="240"/>
        </w:numPr>
        <w:rPr>
          <w:rFonts w:ascii="Arial" w:cs="Arial" w:eastAsia="Arial" w:hAnsi="Arial"/>
          <w:sz w:val="18"/>
          <w:szCs w:val="18"/>
          <w:b w:val="1"/>
          <w:bCs w:val="1"/>
          <w:color w:val="auto"/>
        </w:rPr>
      </w:pPr>
      <w:r>
        <w:rPr>
          <w:rFonts w:ascii="Arial" w:cs="Arial" w:eastAsia="Arial" w:hAnsi="Arial"/>
          <w:sz w:val="18"/>
          <w:szCs w:val="18"/>
          <w:color w:val="auto"/>
        </w:rPr>
        <w:t>References to a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w:t>
      </w:r>
      <w:r>
        <w:rPr>
          <w:rFonts w:ascii="Arial" w:cs="Arial" w:eastAsia="Arial" w:hAnsi="Arial"/>
          <w:sz w:val="18"/>
          <w:szCs w:val="18"/>
          <w:b w:val="1"/>
          <w:bCs w:val="1"/>
          <w:i w:val="1"/>
          <w:iCs w:val="1"/>
          <w:color w:val="auto"/>
        </w:rPr>
        <w:t>executive officer</w:t>
      </w:r>
      <w:r>
        <w:rPr>
          <w:rFonts w:ascii="Arial" w:cs="Arial" w:eastAsia="Arial" w:hAnsi="Arial"/>
          <w:sz w:val="18"/>
          <w:szCs w:val="18"/>
          <w:color w:val="auto"/>
        </w:rPr>
        <w:t>,” “</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or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78" w:lineRule="exact"/>
        <w:rPr>
          <w:rFonts w:ascii="Arial" w:cs="Arial" w:eastAsia="Arial" w:hAnsi="Arial"/>
          <w:sz w:val="18"/>
          <w:szCs w:val="18"/>
          <w:b w:val="1"/>
          <w:bCs w:val="1"/>
          <w:color w:val="auto"/>
        </w:rPr>
      </w:pPr>
    </w:p>
    <w:p>
      <w:pPr>
        <w:ind w:left="-20" w:firstLine="990"/>
        <w:spacing w:after="0" w:line="270" w:lineRule="auto"/>
        <w:tabs>
          <w:tab w:leader="none" w:pos="1214" w:val="left"/>
        </w:tabs>
        <w:numPr>
          <w:ilvl w:val="0"/>
          <w:numId w:val="240"/>
        </w:numPr>
        <w:rPr>
          <w:rFonts w:ascii="Arial" w:cs="Arial" w:eastAsia="Arial" w:hAnsi="Arial"/>
          <w:sz w:val="17"/>
          <w:szCs w:val="17"/>
          <w:b w:val="1"/>
          <w:bCs w:val="1"/>
          <w:color w:val="auto"/>
        </w:rPr>
      </w:pPr>
      <w:r>
        <w:rPr>
          <w:rFonts w:ascii="Arial" w:cs="Arial" w:eastAsia="Arial" w:hAnsi="Arial"/>
          <w:sz w:val="17"/>
          <w:szCs w:val="17"/>
          <w:color w:val="auto"/>
        </w:rPr>
        <w:t>References to “</w:t>
      </w:r>
      <w:r>
        <w:rPr>
          <w:rFonts w:ascii="Arial" w:cs="Arial" w:eastAsia="Arial" w:hAnsi="Arial"/>
          <w:sz w:val="17"/>
          <w:szCs w:val="17"/>
          <w:b w:val="1"/>
          <w:bCs w:val="1"/>
          <w:i w:val="1"/>
          <w:iCs w:val="1"/>
          <w:color w:val="auto"/>
        </w:rPr>
        <w:t>Another Enterprise</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i w:val="1"/>
          <w:iCs w:val="1"/>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b w:val="1"/>
          <w:bCs w:val="1"/>
          <w:i w:val="1"/>
          <w:iCs w:val="1"/>
          <w:color w:val="auto"/>
        </w:rPr>
        <w:t>serving at the request of the Corporation</w:t>
      </w:r>
      <w:r>
        <w:rPr>
          <w:rFonts w:ascii="Arial" w:cs="Arial" w:eastAsia="Arial" w:hAnsi="Arial"/>
          <w:sz w:val="17"/>
          <w:szCs w:val="17"/>
          <w:color w:val="auto"/>
        </w:rPr>
        <w:t>” shall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7"/>
          <w:szCs w:val="17"/>
          <w:b w:val="1"/>
          <w:bCs w:val="1"/>
          <w:i w:val="1"/>
          <w:iCs w:val="1"/>
          <w:color w:val="auto"/>
        </w:rPr>
        <w:t>not opposed to</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the best interests of the Corporation</w:t>
      </w:r>
      <w:r>
        <w:rPr>
          <w:rFonts w:ascii="Arial" w:cs="Arial" w:eastAsia="Arial" w:hAnsi="Arial"/>
          <w:sz w:val="17"/>
          <w:szCs w:val="17"/>
          <w:color w:val="auto"/>
        </w:rPr>
        <w:t>” as referred to in this Section 45.</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46. Notices.</w:t>
      </w:r>
    </w:p>
    <w:p>
      <w:pPr>
        <w:spacing w:after="0" w:line="114" w:lineRule="exact"/>
        <w:rPr>
          <w:sz w:val="20"/>
          <w:szCs w:val="20"/>
          <w:color w:val="auto"/>
        </w:rPr>
      </w:pPr>
    </w:p>
    <w:p>
      <w:pPr>
        <w:ind w:left="-20" w:right="100" w:firstLine="990"/>
        <w:spacing w:after="0" w:line="277" w:lineRule="auto"/>
        <w:tabs>
          <w:tab w:leader="none" w:pos="121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w:t>
      </w:r>
      <w:r>
        <w:rPr>
          <w:rFonts w:ascii="Arial" w:cs="Arial" w:eastAsia="Arial" w:hAnsi="Arial"/>
          <w:sz w:val="17"/>
          <w:szCs w:val="17"/>
          <w:color w:val="auto"/>
        </w:rPr>
        <w:t>Notice to stockholders of stockholder meetings shall be given as provided in Section 7 herein.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60" w:lineRule="exact"/>
        <w:rPr>
          <w:rFonts w:ascii="Arial" w:cs="Arial" w:eastAsia="Arial" w:hAnsi="Arial"/>
          <w:sz w:val="17"/>
          <w:szCs w:val="17"/>
          <w:b w:val="1"/>
          <w:bCs w:val="1"/>
          <w:color w:val="auto"/>
        </w:rPr>
      </w:pPr>
    </w:p>
    <w:p>
      <w:pPr>
        <w:ind w:left="-20" w:right="60" w:firstLine="990"/>
        <w:spacing w:after="0" w:line="284" w:lineRule="auto"/>
        <w:tabs>
          <w:tab w:leader="none" w:pos="122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Directors. </w:t>
      </w:r>
      <w:r>
        <w:rPr>
          <w:rFonts w:ascii="Arial" w:cs="Arial" w:eastAsia="Arial" w:hAnsi="Arial"/>
          <w:sz w:val="17"/>
          <w:szCs w:val="17"/>
          <w:color w:val="auto"/>
        </w:rPr>
        <w:t>Any notice required to be given to any director may be given by the method stated in subsection (a), or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provided in the Bylaws, with notice other than one which is delivered personally to be sent to such address as such director shall have filed in writing with the Secretary of the Corporation, or, in the absence of such filing, to the last known address of such director.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80"/>
          </w:cols>
          <w:pgMar w:left="500" w:top="272" w:right="519" w:bottom="1440" w:gutter="0" w:footer="0" w:header="0"/>
        </w:sectPr>
      </w:pPr>
    </w:p>
    <w:bookmarkStart w:id="327" w:name="page328"/>
    <w:bookmarkEnd w:id="327"/>
    <w:p>
      <w:pPr>
        <w:jc w:val="both"/>
        <w:ind w:firstLine="990"/>
        <w:spacing w:after="0" w:line="257" w:lineRule="auto"/>
        <w:tabs>
          <w:tab w:leader="none" w:pos="122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Affidavit of Mailing. </w:t>
      </w:r>
      <w:r>
        <w:rPr>
          <w:rFonts w:ascii="Arial" w:cs="Arial" w:eastAsia="Arial" w:hAnsi="Arial"/>
          <w:sz w:val="18"/>
          <w:szCs w:val="18"/>
          <w:color w:val="auto"/>
        </w:rPr>
        <w:t>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76" w:lineRule="exact"/>
        <w:rPr>
          <w:rFonts w:ascii="Arial" w:cs="Arial" w:eastAsia="Arial" w:hAnsi="Arial"/>
          <w:sz w:val="18"/>
          <w:szCs w:val="18"/>
          <w:b w:val="1"/>
          <w:bCs w:val="1"/>
          <w:color w:val="auto"/>
        </w:rPr>
      </w:pPr>
    </w:p>
    <w:p>
      <w:pPr>
        <w:ind w:right="100" w:firstLine="990"/>
        <w:spacing w:after="0" w:line="261" w:lineRule="auto"/>
        <w:tabs>
          <w:tab w:leader="none" w:pos="124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Methods of Notice. </w:t>
      </w:r>
      <w:r>
        <w:rPr>
          <w:rFonts w:ascii="Arial" w:cs="Arial" w:eastAsia="Arial" w:hAnsi="Arial"/>
          <w:sz w:val="18"/>
          <w:szCs w:val="18"/>
          <w:color w:val="auto"/>
        </w:rPr>
        <w:t>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73" w:lineRule="exact"/>
        <w:rPr>
          <w:rFonts w:ascii="Arial" w:cs="Arial" w:eastAsia="Arial" w:hAnsi="Arial"/>
          <w:sz w:val="18"/>
          <w:szCs w:val="18"/>
          <w:b w:val="1"/>
          <w:bCs w:val="1"/>
          <w:color w:val="auto"/>
        </w:rPr>
      </w:pPr>
    </w:p>
    <w:p>
      <w:pPr>
        <w:ind w:right="60" w:firstLine="990"/>
        <w:spacing w:after="0" w:line="269" w:lineRule="auto"/>
        <w:tabs>
          <w:tab w:leader="none" w:pos="122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Person With Whom Communication is Unlawful. </w:t>
      </w:r>
      <w:r>
        <w:rPr>
          <w:rFonts w:ascii="Arial" w:cs="Arial" w:eastAsia="Arial" w:hAnsi="Arial"/>
          <w:sz w:val="17"/>
          <w:szCs w:val="17"/>
          <w:color w:val="auto"/>
        </w:rPr>
        <w:t>Whenever notice is required to be given, under any provision of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71" w:lineRule="exact"/>
        <w:rPr>
          <w:rFonts w:ascii="Arial" w:cs="Arial" w:eastAsia="Arial" w:hAnsi="Arial"/>
          <w:sz w:val="17"/>
          <w:szCs w:val="17"/>
          <w:b w:val="1"/>
          <w:bCs w:val="1"/>
          <w:color w:val="auto"/>
        </w:rPr>
      </w:pPr>
    </w:p>
    <w:p>
      <w:pPr>
        <w:ind w:right="100" w:firstLine="990"/>
        <w:spacing w:after="0" w:line="273" w:lineRule="auto"/>
        <w:tabs>
          <w:tab w:leader="none" w:pos="1205"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Sharing an Address. </w:t>
      </w:r>
      <w:r>
        <w:rPr>
          <w:rFonts w:ascii="Arial" w:cs="Arial" w:eastAsia="Arial" w:hAnsi="Arial"/>
          <w:sz w:val="17"/>
          <w:szCs w:val="17"/>
          <w:color w:val="auto"/>
        </w:rPr>
        <w:t>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1" w:lineRule="exact"/>
        <w:rPr>
          <w:sz w:val="20"/>
          <w:szCs w:val="20"/>
          <w:color w:val="auto"/>
        </w:rPr>
      </w:pPr>
    </w:p>
    <w:p>
      <w:pPr>
        <w:ind w:right="20" w:firstLine="436"/>
        <w:spacing w:after="0" w:line="269" w:lineRule="auto"/>
        <w:rPr>
          <w:sz w:val="20"/>
          <w:szCs w:val="20"/>
          <w:color w:val="auto"/>
        </w:rPr>
      </w:pPr>
      <w:r>
        <w:rPr>
          <w:rFonts w:ascii="Arial" w:cs="Arial" w:eastAsia="Arial" w:hAnsi="Arial"/>
          <w:sz w:val="17"/>
          <w:szCs w:val="17"/>
          <w:b w:val="1"/>
          <w:bCs w:val="1"/>
          <w:color w:val="auto"/>
        </w:rPr>
        <w:t xml:space="preserve">Section 47. Amendments. </w:t>
      </w:r>
      <w:r>
        <w:rPr>
          <w:rFonts w:ascii="Arial" w:cs="Arial" w:eastAsia="Arial" w:hAnsi="Arial"/>
          <w:sz w:val="17"/>
          <w:szCs w:val="17"/>
          <w:color w:val="auto"/>
        </w:rPr>
        <w:t>Subject to the limitations set forth in Section 45(h) of the Bylaws or the provisions of the Certificate of Incorporation,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provided, however, that, in addition to any vote of the holders of any class or series of stock of the Corporation required by law or by the Certificate of Incorporation, such action by stockholders shall require the affirmative vote of the holders of at least 66-2/3% of the voting power of all of the then-outstanding shares of the capital stock of the Corporation entitled to vote generally in the election of directors, voting together as a single class.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480" w:top="268" w:right="499" w:bottom="1440" w:gutter="0" w:footer="0" w:header="0"/>
        </w:sectPr>
      </w:pPr>
    </w:p>
    <w:bookmarkStart w:id="328" w:name="page329"/>
    <w:bookmarkEnd w:id="3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XIV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LOANS TO OFFICERS</w:t>
      </w:r>
    </w:p>
    <w:p>
      <w:pPr>
        <w:spacing w:after="0" w:line="221" w:lineRule="exact"/>
        <w:rPr>
          <w:sz w:val="20"/>
          <w:szCs w:val="20"/>
          <w:color w:val="auto"/>
        </w:rPr>
      </w:pPr>
    </w:p>
    <w:p>
      <w:pPr>
        <w:ind w:firstLine="436"/>
        <w:spacing w:after="0" w:line="291" w:lineRule="auto"/>
        <w:rPr>
          <w:sz w:val="20"/>
          <w:szCs w:val="20"/>
          <w:color w:val="auto"/>
        </w:rPr>
      </w:pPr>
      <w:r>
        <w:rPr>
          <w:rFonts w:ascii="Arial" w:cs="Arial" w:eastAsia="Arial" w:hAnsi="Arial"/>
          <w:sz w:val="16"/>
          <w:szCs w:val="16"/>
          <w:b w:val="1"/>
          <w:bCs w:val="1"/>
          <w:color w:val="auto"/>
        </w:rPr>
        <w:t xml:space="preserve">Section 48. Loans to Officers. </w:t>
      </w:r>
      <w:r>
        <w:rPr>
          <w:rFonts w:ascii="Arial" w:cs="Arial" w:eastAsia="Arial" w:hAnsi="Arial"/>
          <w:sz w:val="16"/>
          <w:szCs w:val="16"/>
          <w:color w:val="auto"/>
        </w:rPr>
        <w:t>Except as otherwise prohibited by applicable law, the Corporation may lend money to, or guarantee any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 Bylaws shall be deemed to deny, limit or restrict the powers of guaranty or warranty of the Corporation at common law or under any statute.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480" w:top="268" w:right="51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CERTIFICATION OF THIRD AMENDED AND RESTATED BYLAWS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THERAPEUTICS,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17" w:lineRule="exact"/>
        <w:rPr>
          <w:sz w:val="20"/>
          <w:szCs w:val="20"/>
          <w:color w:val="auto"/>
        </w:rPr>
      </w:pPr>
    </w:p>
    <w:p>
      <w:pPr>
        <w:ind w:right="40" w:firstLine="436"/>
        <w:spacing w:after="0" w:line="261" w:lineRule="auto"/>
        <w:rPr>
          <w:sz w:val="20"/>
          <w:szCs w:val="20"/>
          <w:color w:val="auto"/>
        </w:rPr>
      </w:pPr>
      <w:r>
        <w:rPr>
          <w:rFonts w:ascii="Arial" w:cs="Arial" w:eastAsia="Arial" w:hAnsi="Arial"/>
          <w:sz w:val="18"/>
          <w:szCs w:val="18"/>
          <w:color w:val="auto"/>
        </w:rPr>
        <w:t>I, Marshall Fordyce, certify that I am Secretary of Vera Therapeutics, Inc.,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that I am duly authorized to make and deliver this certification, and that the attached Third Amended and Restated Bylaws are a true and complete copy of the Third Amended and Restated Bylaws of the Corporation in effect as of the date of this certificate.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5604510</wp:posOffset>
            </wp:positionH>
            <wp:positionV relativeFrom="paragraph">
              <wp:posOffset>556895</wp:posOffset>
            </wp:positionV>
            <wp:extent cx="13296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4">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Marshall Fordyce, Secretary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480" w:top="268" w:right="499" w:bottom="1440" w:gutter="0" w:footer="0" w:header="0"/>
        </w:sectPr>
      </w:pPr>
    </w:p>
    <w:bookmarkStart w:id="330" w:name="page331"/>
    <w:bookmarkEnd w:id="330"/>
    <w:p>
      <w:pPr>
        <w:ind w:left="912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183515</wp:posOffset>
            </wp:positionV>
            <wp:extent cx="7094855" cy="47555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5">
                      <a:extLst>
                        <a:ext uri="{28A0092B-C50C-407E-A947-70E740481C1C}"/>
                      </a:extLst>
                    </a:blip>
                    <a:srcRect/>
                    <a:stretch>
                      <a:fillRect/>
                    </a:stretch>
                  </pic:blipFill>
                  <pic:spPr bwMode="auto">
                    <a:xfrm>
                      <a:off x="0" y="0"/>
                      <a:ext cx="7094855" cy="4755515"/>
                    </a:xfrm>
                    <a:prstGeom prst="rect">
                      <a:avLst/>
                    </a:prstGeom>
                    <a:noFill/>
                  </pic:spPr>
                </pic:pic>
              </a:graphicData>
            </a:graphic>
          </wp:anchor>
        </w:drawing>
      </w:r>
    </w:p>
    <w:p>
      <w:pPr>
        <w:sectPr>
          <w:pgSz w:w="11900" w:h="16838" w:orient="portrait"/>
          <w:cols w:equalWidth="0" w:num="1">
            <w:col w:w="9960"/>
          </w:cols>
          <w:pgMar w:left="1440" w:top="121" w:right="499" w:bottom="1440" w:gutter="0" w:footer="0" w:header="0"/>
        </w:sectPr>
      </w:pPr>
    </w:p>
    <w:bookmarkStart w:id="331" w:name="page332"/>
    <w:bookmarkEnd w:id="3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72269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6">
                      <a:extLst>
                        <a:ext uri="{28A0092B-C50C-407E-A947-70E740481C1C}"/>
                      </a:extLst>
                    </a:blip>
                    <a:srcRect/>
                    <a:stretch>
                      <a:fillRect/>
                    </a:stretch>
                  </pic:blipFill>
                  <pic:spPr bwMode="auto">
                    <a:xfrm>
                      <a:off x="0" y="0"/>
                      <a:ext cx="7176135" cy="7226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1163320" cy="3822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7">
                      <a:extLst>
                        <a:ext uri="{28A0092B-C50C-407E-A947-70E740481C1C}"/>
                      </a:extLst>
                    </a:blip>
                    <a:srcRect/>
                    <a:stretch>
                      <a:fillRect/>
                    </a:stretch>
                  </pic:blipFill>
                  <pic:spPr bwMode="auto">
                    <a:xfrm>
                      <a:off x="0" y="0"/>
                      <a:ext cx="1163320"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Jodie Bourdet</w:t>
      </w:r>
    </w:p>
    <w:p>
      <w:pPr>
        <w:spacing w:after="0" w:line="20" w:lineRule="exact"/>
        <w:rPr>
          <w:sz w:val="20"/>
          <w:szCs w:val="20"/>
          <w:color w:val="auto"/>
        </w:rPr>
      </w:pPr>
    </w:p>
    <w:p>
      <w:pPr>
        <w:ind w:right="9260" w:firstLine="7"/>
        <w:spacing w:after="0" w:line="397" w:lineRule="auto"/>
        <w:tabs>
          <w:tab w:leader="none" w:pos="194" w:val="left"/>
        </w:tabs>
        <w:numPr>
          <w:ilvl w:val="0"/>
          <w:numId w:val="243"/>
        </w:numPr>
        <w:rPr>
          <w:rFonts w:ascii="Arial" w:cs="Arial" w:eastAsia="Arial" w:hAnsi="Arial"/>
          <w:sz w:val="14"/>
          <w:szCs w:val="14"/>
          <w:color w:val="auto"/>
        </w:rPr>
      </w:pPr>
      <w:r>
        <w:rPr>
          <w:rFonts w:ascii="Arial" w:cs="Arial" w:eastAsia="Arial" w:hAnsi="Arial"/>
          <w:sz w:val="14"/>
          <w:szCs w:val="14"/>
          <w:color w:val="auto"/>
        </w:rPr>
        <w:t xml:space="preserve">+1 415 693-2054 </w:t>
      </w:r>
      <w:r>
        <w:rPr>
          <w:rFonts w:ascii="Arial" w:cs="Arial" w:eastAsia="Arial" w:hAnsi="Arial"/>
          <w:sz w:val="14"/>
          <w:szCs w:val="14"/>
          <w:b w:val="1"/>
          <w:bCs w:val="1"/>
          <w:color w:val="auto"/>
        </w:rPr>
        <w:t>jbourdet@cooley.com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May 10,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Vera Therapeutics,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170 Harbor Way,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4"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We have acted as counsel to Vera Therapeutics,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filing by the Company of a Registration Statement (No. 333-255492) on Form S-1 (as amended,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with the Securities and Exchange Commission, including a related prospectus filed with the Registration Statement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covering an underwritten public offering of up to 5,002,500 shares of the Company’s Class A common stock, par value $0.001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(including up to 652,500 Shares that may be sold by the Company upon exercise of an option to purchase additional shares to be granted to the underwriters).</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this opinion, we have (i) examined and relied upon (a) the Registration Statement and the Prospectus, (b) the Company’s Amended and Restated Certificate of Incorporation and Amended and Restated Bylaws, each as currently in effect, (c) the forms of the Company’s Amended and Restated Certificate of Incorporation and Amended and Restated Bylaws filed as Exhibits 3.2 and 3.4 to the Registration Statement, respectively, each of which is to be effective in connection with the closing of the offering contemplated by the Registration Statement and (d) originals or copies certified to our satisfaction of such records, documents, certificates, memoranda, opinions and other instruments as in our judgment are necessary or appropriate to enable us to render the opinion expressed below, and (ii) assumed that the Shares will be sold at a price established by the Board of Directors of the Company or a duly authorized committee thereof.</w:t>
      </w:r>
    </w:p>
    <w:p>
      <w:pPr>
        <w:spacing w:after="0" w:line="17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5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101 California Street  5th Floor  San Francisco, CA  94111-5800</w:t>
      </w:r>
    </w:p>
    <w:p>
      <w:pPr>
        <w:jc w:val="center"/>
        <w:spacing w:after="0"/>
        <w:rPr>
          <w:sz w:val="20"/>
          <w:szCs w:val="20"/>
          <w:color w:val="auto"/>
        </w:rPr>
      </w:pPr>
      <w:r>
        <w:rPr>
          <w:rFonts w:ascii="Arial" w:cs="Arial" w:eastAsia="Arial" w:hAnsi="Arial"/>
          <w:sz w:val="14"/>
          <w:szCs w:val="14"/>
          <w:color w:val="auto"/>
        </w:rPr>
        <w:t>t: (415) 693-2000 f: (415) 693-2222 cooley.com</w:t>
      </w:r>
    </w:p>
    <w:p>
      <w:pPr>
        <w:sectPr>
          <w:pgSz w:w="11900" w:h="16838" w:orient="portrait"/>
          <w:cols w:equalWidth="0" w:num="1">
            <w:col w:w="10920"/>
          </w:cols>
          <w:pgMar w:left="480" w:top="121" w:right="49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1163320" cy="38227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9">
                      <a:clrChange>
                        <a:clrFrom>
                          <a:srgbClr val="FFFFFF"/>
                        </a:clrFrom>
                        <a:clrTo>
                          <a:srgbClr val="FFFFFF">
                            <a:alpha val="0"/>
                          </a:srgbClr>
                        </a:clrTo>
                      </a:clrChange>
                      <a:extLst>
                        <a:ext uri="{28A0092B-C50C-407E-A947-70E740481C1C}"/>
                      </a:extLst>
                    </a:blip>
                    <a:srcRect/>
                    <a:stretch>
                      <a:fillRect/>
                    </a:stretch>
                  </pic:blipFill>
                  <pic:spPr bwMode="auto">
                    <a:xfrm>
                      <a:off x="0" y="0"/>
                      <a:ext cx="1163320" cy="382270"/>
                    </a:xfrm>
                    <a:prstGeom prst="rect">
                      <a:avLst/>
                    </a:prstGeom>
                    <a:noFill/>
                  </pic:spPr>
                </pic:pic>
              </a:graphicData>
            </a:graphic>
          </wp:anchor>
        </w:drawing>
        <w:t>Vera Therapeutics,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May 10,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2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against payment therefor as described in the Registration Statement and the Prospectus, will be validly issued, fully paid and non-assessable.</w:t>
      </w:r>
    </w:p>
    <w:p>
      <w:pPr>
        <w:spacing w:after="0" w:line="17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consent to the reference to our firm under the caption “Legal Matters” in the Prospectus included in the Registration Statement and to the filing of this opinion as an exhibit to the Registration Statement.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/s/ Jodie Bourdet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13335</wp:posOffset>
            </wp:positionV>
            <wp:extent cx="253936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0">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Jodie Bourdet</w:t>
      </w:r>
    </w:p>
    <w:p>
      <w:pPr>
        <w:spacing w:after="0" w:line="148" w:lineRule="exact"/>
        <w:rPr>
          <w:sz w:val="20"/>
          <w:szCs w:val="20"/>
          <w:color w:val="auto"/>
        </w:rPr>
      </w:pPr>
    </w:p>
    <w:p>
      <w:pPr>
        <w:jc w:val="center"/>
        <w:ind w:right="-79"/>
        <w:spacing w:after="0"/>
        <w:tabs>
          <w:tab w:leader="none" w:pos="120" w:val="left"/>
          <w:tab w:leader="none" w:pos="120" w:val="left"/>
          <w:tab w:leader="none" w:pos="120" w:val="left"/>
          <w:tab w:leader="none" w:pos="120" w:val="left"/>
        </w:tabs>
        <w:rPr>
          <w:sz w:val="20"/>
          <w:szCs w:val="20"/>
          <w:color w:val="auto"/>
        </w:rPr>
      </w:pPr>
      <w:r>
        <w:rPr>
          <w:rFonts w:ascii="Arial" w:cs="Arial" w:eastAsia="Arial" w:hAnsi="Arial"/>
          <w:sz w:val="14"/>
          <w:szCs w:val="14"/>
          <w:color w:val="auto"/>
        </w:rPr>
        <w:t>Cooley LLP</w:t>
        <w:tab/>
        <w:t>101 California Street</w:t>
        <w:tab/>
        <w:t>5th Floor</w:t>
        <w:tab/>
        <w:t>San Francisco, CA</w:t>
      </w:r>
      <w:r>
        <w:rPr>
          <w:sz w:val="20"/>
          <w:szCs w:val="20"/>
          <w:color w:val="auto"/>
        </w:rPr>
        <w:tab/>
      </w:r>
      <w:r>
        <w:rPr>
          <w:rFonts w:ascii="Arial" w:cs="Arial" w:eastAsia="Arial" w:hAnsi="Arial"/>
          <w:sz w:val="12"/>
          <w:szCs w:val="12"/>
          <w:color w:val="auto"/>
        </w:rPr>
        <w:t>94111-5800</w:t>
      </w:r>
    </w:p>
    <w:p>
      <w:pPr>
        <w:jc w:val="center"/>
        <w:ind w:right="-79"/>
        <w:spacing w:after="0"/>
        <w:rPr>
          <w:sz w:val="20"/>
          <w:szCs w:val="20"/>
          <w:color w:val="auto"/>
        </w:rPr>
      </w:pPr>
      <w:r>
        <w:rPr>
          <w:rFonts w:ascii="Arial" w:cs="Arial" w:eastAsia="Arial" w:hAnsi="Arial"/>
          <w:sz w:val="14"/>
          <w:szCs w:val="14"/>
          <w:color w:val="auto"/>
        </w:rPr>
        <w:t>t: (415) 693-2000 f: (415) 693-2222 cooley.com</w:t>
      </w:r>
    </w:p>
    <w:p>
      <w:pPr>
        <w:sectPr>
          <w:pgSz w:w="11900" w:h="16838" w:orient="portrait"/>
          <w:cols w:equalWidth="0" w:num="1">
            <w:col w:w="10840"/>
          </w:cols>
          <w:pgMar w:left="480" w:top="1115" w:right="57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ERA</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4" w:lineRule="exact"/>
        <w:rPr>
          <w:sz w:val="20"/>
          <w:szCs w:val="20"/>
          <w:color w:val="auto"/>
        </w:rPr>
      </w:pPr>
    </w:p>
    <w:p>
      <w:pPr>
        <w:ind w:left="180" w:hanging="173"/>
        <w:spacing w:after="0"/>
        <w:tabs>
          <w:tab w:leader="none" w:pos="18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b w:val="1"/>
          <w:bCs w:val="1"/>
          <w:color w:val="auto"/>
        </w:rPr>
      </w:pPr>
    </w:p>
    <w:p>
      <w:pPr>
        <w:ind w:right="220" w:firstLine="444"/>
        <w:spacing w:after="0" w:line="309" w:lineRule="auto"/>
        <w:tabs>
          <w:tab w:leader="none" w:pos="689" w:val="left"/>
        </w:tabs>
        <w:numPr>
          <w:ilvl w:val="1"/>
          <w:numId w:val="2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Purpose. </w:t>
      </w:r>
      <w:r>
        <w:rPr>
          <w:rFonts w:ascii="Arial" w:cs="Arial" w:eastAsia="Arial" w:hAnsi="Arial"/>
          <w:sz w:val="16"/>
          <w:szCs w:val="16"/>
          <w:color w:val="auto"/>
        </w:rPr>
        <w:t>The Company, by means of the Plan, seeks to secure and retain the services of Employees, Directors and Consultants,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38" w:lineRule="exact"/>
        <w:rPr>
          <w:rFonts w:ascii="Arial" w:cs="Arial" w:eastAsia="Arial" w:hAnsi="Arial"/>
          <w:sz w:val="16"/>
          <w:szCs w:val="16"/>
          <w:b w:val="1"/>
          <w:bCs w:val="1"/>
          <w:color w:val="auto"/>
        </w:rPr>
      </w:pPr>
    </w:p>
    <w:p>
      <w:pPr>
        <w:ind w:right="360" w:firstLine="444"/>
        <w:spacing w:after="0" w:line="275" w:lineRule="auto"/>
        <w:tabs>
          <w:tab w:leader="none" w:pos="699"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Awards: (i) Incentive Stock Options; (ii) Nonstatutory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(iii) SARs; (iv) Restricted Stock Awards; (v) RSU Awards; (vi) Performance Awards; and (vii) Other Awards.</w:t>
      </w:r>
    </w:p>
    <w:p>
      <w:pPr>
        <w:spacing w:after="0" w:line="60" w:lineRule="exact"/>
        <w:rPr>
          <w:rFonts w:ascii="Arial" w:cs="Arial" w:eastAsia="Arial" w:hAnsi="Arial"/>
          <w:sz w:val="18"/>
          <w:szCs w:val="18"/>
          <w:b w:val="1"/>
          <w:bCs w:val="1"/>
          <w:color w:val="auto"/>
        </w:rPr>
      </w:pPr>
    </w:p>
    <w:p>
      <w:pPr>
        <w:ind w:left="680" w:hanging="236"/>
        <w:spacing w:after="0"/>
        <w:tabs>
          <w:tab w:leader="none" w:pos="680" w:val="left"/>
        </w:tabs>
        <w:numPr>
          <w:ilvl w:val="1"/>
          <w:numId w:val="2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Adoption Date; Effective Date. </w:t>
      </w:r>
      <w:r>
        <w:rPr>
          <w:rFonts w:ascii="Arial" w:cs="Arial" w:eastAsia="Arial" w:hAnsi="Arial"/>
          <w:sz w:val="16"/>
          <w:szCs w:val="16"/>
          <w:color w:val="auto"/>
        </w:rPr>
        <w:t>The Plan will come into existence on the Adoption Date, but no Award may be granted prior to the Effective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Date.</w:t>
      </w:r>
    </w:p>
    <w:p>
      <w:pPr>
        <w:spacing w:after="0" w:line="311" w:lineRule="exact"/>
        <w:rPr>
          <w:rFonts w:ascii="Arial" w:cs="Arial" w:eastAsia="Arial" w:hAnsi="Arial"/>
          <w:sz w:val="16"/>
          <w:szCs w:val="16"/>
          <w:b w:val="1"/>
          <w:bCs w:val="1"/>
          <w:color w:val="auto"/>
        </w:rPr>
      </w:pPr>
    </w:p>
    <w:p>
      <w:pPr>
        <w:ind w:left="180" w:hanging="173"/>
        <w:spacing w:after="0"/>
        <w:tabs>
          <w:tab w:leader="none" w:pos="18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b w:val="1"/>
          <w:bCs w:val="1"/>
          <w:color w:val="auto"/>
        </w:rPr>
      </w:pPr>
    </w:p>
    <w:p>
      <w:pPr>
        <w:ind w:right="40" w:firstLine="444"/>
        <w:spacing w:after="0" w:line="252" w:lineRule="auto"/>
        <w:tabs>
          <w:tab w:leader="none" w:pos="689"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Subject to adjustment in accordance with Section 2(c) and any adjustments as necessary to implement any 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the aggregate number of shares of Common Stock that may be issued pursuant to Awards will not exceed 4,405,336 shares, which number is the sum of: (i) 2,212,335 new shares, plus (ii) up to a maximum of 2,193,001 Returning Shares, if any,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2022 and ending on (and including) January 1, 2031, in an amount equal to 5% of the total number of shares of Common Stock outstanding on December 31 of the preceding year; provided, however, that the Board may act prior to January 1</w:t>
      </w:r>
      <w:r>
        <w:rPr>
          <w:rFonts w:ascii="Arial" w:cs="Arial" w:eastAsia="Arial" w:hAnsi="Arial"/>
          <w:sz w:val="15"/>
          <w:szCs w:val="15"/>
          <w:color w:val="auto"/>
        </w:rPr>
        <w:t>st</w:t>
      </w:r>
      <w:r>
        <w:rPr>
          <w:rFonts w:ascii="Arial" w:cs="Arial" w:eastAsia="Arial" w:hAnsi="Arial"/>
          <w:sz w:val="18"/>
          <w:szCs w:val="18"/>
          <w:color w:val="auto"/>
        </w:rPr>
        <w:t xml:space="preserve"> of a given year to provide that the increase for such year will be a lesser number of shares of Common Stock.</w:t>
      </w:r>
    </w:p>
    <w:p>
      <w:pPr>
        <w:spacing w:after="0" w:line="80" w:lineRule="exact"/>
        <w:rPr>
          <w:rFonts w:ascii="Arial" w:cs="Arial" w:eastAsia="Arial" w:hAnsi="Arial"/>
          <w:sz w:val="18"/>
          <w:szCs w:val="18"/>
          <w:b w:val="1"/>
          <w:bCs w:val="1"/>
          <w:color w:val="auto"/>
        </w:rPr>
      </w:pPr>
    </w:p>
    <w:p>
      <w:pPr>
        <w:ind w:right="40" w:firstLine="444"/>
        <w:spacing w:after="0" w:line="261" w:lineRule="auto"/>
        <w:tabs>
          <w:tab w:leader="none" w:pos="699"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Notwithstanding anything to the contrary in Section 2(a) and subject to any adjustments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implement any Capitalization Adjustments, the aggregate maximum number of shares of Common Stock that may be issued pursuant to the exercise of Incentive Stock Options is 13,216,008 shares.</w:t>
      </w:r>
    </w:p>
    <w:p>
      <w:pPr>
        <w:spacing w:after="0" w:line="73" w:lineRule="exact"/>
        <w:rPr>
          <w:rFonts w:ascii="Arial" w:cs="Arial" w:eastAsia="Arial" w:hAnsi="Arial"/>
          <w:sz w:val="18"/>
          <w:szCs w:val="18"/>
          <w:b w:val="1"/>
          <w:bCs w:val="1"/>
          <w:color w:val="auto"/>
        </w:rPr>
      </w:pPr>
    </w:p>
    <w:p>
      <w:pPr>
        <w:ind w:left="680" w:hanging="236"/>
        <w:spacing w:after="0"/>
        <w:tabs>
          <w:tab w:leader="none" w:pos="680"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 Operation.</w:t>
      </w:r>
    </w:p>
    <w:p>
      <w:pPr>
        <w:spacing w:after="0" w:line="113" w:lineRule="exact"/>
        <w:rPr>
          <w:rFonts w:ascii="Arial" w:cs="Arial" w:eastAsia="Arial" w:hAnsi="Arial"/>
          <w:sz w:val="18"/>
          <w:szCs w:val="18"/>
          <w:b w:val="1"/>
          <w:bCs w:val="1"/>
          <w:color w:val="auto"/>
        </w:rPr>
      </w:pPr>
    </w:p>
    <w:p>
      <w:pPr>
        <w:ind w:left="440" w:right="60" w:firstLine="423"/>
        <w:spacing w:after="0" w:line="271" w:lineRule="auto"/>
        <w:tabs>
          <w:tab w:leader="none" w:pos="1072" w:val="left"/>
        </w:tabs>
        <w:numPr>
          <w:ilvl w:val="2"/>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 Applies to Common Stock Issued Pursuant to Awards. </w:t>
      </w:r>
      <w:r>
        <w:rPr>
          <w:rFonts w:ascii="Arial" w:cs="Arial" w:eastAsia="Arial" w:hAnsi="Arial"/>
          <w:sz w:val="17"/>
          <w:szCs w:val="17"/>
          <w:color w:val="auto"/>
        </w:rPr>
        <w:t>For clarity, the Share Reserve is a limit on the number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335" w:name="page336"/>
    <w:bookmarkEnd w:id="335"/>
    <w:p>
      <w:pPr>
        <w:ind w:left="433" w:right="20" w:firstLine="423"/>
        <w:spacing w:after="0" w:line="291" w:lineRule="auto"/>
        <w:tabs>
          <w:tab w:leader="none" w:pos="1114" w:val="left"/>
        </w:tabs>
        <w:numPr>
          <w:ilvl w:val="2"/>
          <w:numId w:val="24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Actions that Do Not Constitute Issuance of Common Stock and Do Not Reduce Share Reserve. </w:t>
      </w:r>
      <w:r>
        <w:rPr>
          <w:rFonts w:ascii="Arial" w:cs="Arial" w:eastAsia="Arial" w:hAnsi="Arial"/>
          <w:sz w:val="16"/>
          <w:szCs w:val="16"/>
          <w:color w:val="auto"/>
        </w:rPr>
        <w:t>The following actions do not result</w:t>
      </w:r>
      <w:r>
        <w:rPr>
          <w:rFonts w:ascii="Arial" w:cs="Arial" w:eastAsia="Arial" w:hAnsi="Arial"/>
          <w:sz w:val="16"/>
          <w:szCs w:val="16"/>
          <w:b w:val="1"/>
          <w:bCs w:val="1"/>
          <w:color w:val="auto"/>
        </w:rPr>
        <w:t xml:space="preserve"> </w:t>
      </w:r>
      <w:r>
        <w:rPr>
          <w:rFonts w:ascii="Arial" w:cs="Arial" w:eastAsia="Arial" w:hAnsi="Arial"/>
          <w:sz w:val="16"/>
          <w:szCs w:val="16"/>
          <w:color w:val="auto"/>
        </w:rPr>
        <w:t>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52" w:lineRule="exact"/>
        <w:rPr>
          <w:rFonts w:ascii="Arial" w:cs="Arial" w:eastAsia="Arial" w:hAnsi="Arial"/>
          <w:sz w:val="16"/>
          <w:szCs w:val="16"/>
          <w:b w:val="1"/>
          <w:bCs w:val="1"/>
          <w:color w:val="auto"/>
        </w:rPr>
      </w:pPr>
    </w:p>
    <w:p>
      <w:pPr>
        <w:ind w:left="433" w:firstLine="423"/>
        <w:spacing w:after="0" w:line="253" w:lineRule="auto"/>
        <w:tabs>
          <w:tab w:leader="none" w:pos="1163" w:val="left"/>
        </w:tabs>
        <w:numPr>
          <w:ilvl w:val="2"/>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Reversion of Previously Issued Shares of Common Stock to Share Reserve. </w:t>
      </w:r>
      <w:r>
        <w:rPr>
          <w:rFonts w:ascii="Arial" w:cs="Arial" w:eastAsia="Arial" w:hAnsi="Arial"/>
          <w:sz w:val="18"/>
          <w:szCs w:val="18"/>
          <w:color w:val="auto"/>
        </w:rPr>
        <w:t>The following shares of Common Stock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295" w:lineRule="exact"/>
        <w:rPr>
          <w:rFonts w:ascii="Arial" w:cs="Arial" w:eastAsia="Arial" w:hAnsi="Arial"/>
          <w:sz w:val="18"/>
          <w:szCs w:val="18"/>
          <w:b w:val="1"/>
          <w:bCs w:val="1"/>
          <w:color w:val="auto"/>
        </w:rPr>
      </w:pPr>
    </w:p>
    <w:p>
      <w:pPr>
        <w:ind w:left="173" w:hanging="173"/>
        <w:spacing w:after="0"/>
        <w:tabs>
          <w:tab w:leader="none" w:pos="173"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 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IMITATIONS</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b w:val="1"/>
          <w:bCs w:val="1"/>
          <w:color w:val="auto"/>
        </w:rPr>
      </w:pPr>
    </w:p>
    <w:p>
      <w:pPr>
        <w:ind w:left="693" w:hanging="256"/>
        <w:spacing w:after="0"/>
        <w:tabs>
          <w:tab w:leader="none" w:pos="693" w:val="left"/>
        </w:tabs>
        <w:numPr>
          <w:ilvl w:val="1"/>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Eligible Award Recipients. </w:t>
      </w:r>
      <w:r>
        <w:rPr>
          <w:rFonts w:ascii="Arial" w:cs="Arial" w:eastAsia="Arial" w:hAnsi="Arial"/>
          <w:sz w:val="17"/>
          <w:szCs w:val="17"/>
          <w:color w:val="auto"/>
        </w:rPr>
        <w:t>Subject to the terms of the Plan, Employees, Directors and Consultants are eligible to receive Awards.</w:t>
      </w:r>
    </w:p>
    <w:p>
      <w:pPr>
        <w:spacing w:after="0" w:line="232" w:lineRule="exact"/>
        <w:rPr>
          <w:rFonts w:ascii="Arial" w:cs="Arial" w:eastAsia="Arial" w:hAnsi="Arial"/>
          <w:sz w:val="17"/>
          <w:szCs w:val="17"/>
          <w:b w:val="1"/>
          <w:bCs w:val="1"/>
          <w:color w:val="auto"/>
        </w:rPr>
      </w:pPr>
    </w:p>
    <w:p>
      <w:pPr>
        <w:ind w:left="693" w:hanging="256"/>
        <w:spacing w:after="0"/>
        <w:tabs>
          <w:tab w:leader="none" w:pos="693"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Specific Award Limitations.</w:t>
      </w:r>
    </w:p>
    <w:p>
      <w:pPr>
        <w:spacing w:after="0" w:line="113" w:lineRule="exact"/>
        <w:rPr>
          <w:rFonts w:ascii="Arial" w:cs="Arial" w:eastAsia="Arial" w:hAnsi="Arial"/>
          <w:sz w:val="18"/>
          <w:szCs w:val="18"/>
          <w:b w:val="1"/>
          <w:bCs w:val="1"/>
          <w:color w:val="auto"/>
        </w:rPr>
      </w:pPr>
    </w:p>
    <w:p>
      <w:pPr>
        <w:ind w:left="433" w:right="240" w:firstLine="423"/>
        <w:spacing w:after="0" w:line="340" w:lineRule="auto"/>
        <w:tabs>
          <w:tab w:leader="none" w:pos="1064" w:val="left"/>
        </w:tabs>
        <w:numPr>
          <w:ilvl w:val="2"/>
          <w:numId w:val="2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on Incentive Stock Option Recipients. </w:t>
      </w:r>
      <w:r>
        <w:rPr>
          <w:rFonts w:ascii="Arial" w:cs="Arial" w:eastAsia="Arial" w:hAnsi="Arial"/>
          <w:sz w:val="16"/>
          <w:szCs w:val="16"/>
          <w:color w:val="auto"/>
        </w:rPr>
        <w:t>Incentive Stock Options may be granted only to Employees of the Company or a</w:t>
      </w:r>
      <w:r>
        <w:rPr>
          <w:rFonts w:ascii="Arial" w:cs="Arial" w:eastAsia="Arial" w:hAnsi="Arial"/>
          <w:sz w:val="16"/>
          <w:szCs w:val="16"/>
          <w:b w:val="1"/>
          <w:bCs w:val="1"/>
          <w:color w:val="auto"/>
        </w:rPr>
        <w:t xml:space="preserve"> </w:t>
      </w:r>
      <w:r>
        <w:rPr>
          <w:rFonts w:ascii="Arial" w:cs="Arial" w:eastAsia="Arial" w:hAnsi="Arial"/>
          <w:sz w:val="16"/>
          <w:szCs w:val="16"/>
          <w:color w:val="auto"/>
        </w:rPr>
        <w:t>“parent corporation” or “subsidiary corporation” thereof (as such terms are defined in Sections 424(e) and (f) of the Code).</w:t>
      </w:r>
    </w:p>
    <w:p>
      <w:pPr>
        <w:spacing w:after="0" w:line="13" w:lineRule="exact"/>
        <w:rPr>
          <w:rFonts w:ascii="Arial" w:cs="Arial" w:eastAsia="Arial" w:hAnsi="Arial"/>
          <w:sz w:val="16"/>
          <w:szCs w:val="16"/>
          <w:b w:val="1"/>
          <w:bCs w:val="1"/>
          <w:color w:val="auto"/>
        </w:rPr>
      </w:pPr>
    </w:p>
    <w:p>
      <w:pPr>
        <w:ind w:left="433" w:firstLine="423"/>
        <w:spacing w:after="0" w:line="253" w:lineRule="auto"/>
        <w:tabs>
          <w:tab w:leader="none" w:pos="1114" w:val="left"/>
        </w:tabs>
        <w:numPr>
          <w:ilvl w:val="2"/>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$100,000 Limitation. </w:t>
      </w:r>
      <w:r>
        <w:rPr>
          <w:rFonts w:ascii="Arial" w:cs="Arial" w:eastAsia="Arial" w:hAnsi="Arial"/>
          <w:sz w:val="18"/>
          <w:szCs w:val="18"/>
          <w:color w:val="auto"/>
        </w:rPr>
        <w:t>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81" w:lineRule="exact"/>
        <w:rPr>
          <w:rFonts w:ascii="Arial" w:cs="Arial" w:eastAsia="Arial" w:hAnsi="Arial"/>
          <w:sz w:val="18"/>
          <w:szCs w:val="18"/>
          <w:b w:val="1"/>
          <w:bCs w:val="1"/>
          <w:color w:val="auto"/>
        </w:rPr>
      </w:pPr>
    </w:p>
    <w:p>
      <w:pPr>
        <w:jc w:val="both"/>
        <w:ind w:left="433" w:right="240" w:firstLine="423"/>
        <w:spacing w:after="0" w:line="284" w:lineRule="auto"/>
        <w:tabs>
          <w:tab w:leader="none" w:pos="1163" w:val="left"/>
        </w:tabs>
        <w:numPr>
          <w:ilvl w:val="2"/>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Limitations on Incentive Stock Options Granted to Ten Percent Stockholders. </w:t>
      </w:r>
      <w:r>
        <w:rPr>
          <w:rFonts w:ascii="Arial" w:cs="Arial" w:eastAsia="Arial" w:hAnsi="Arial"/>
          <w:sz w:val="17"/>
          <w:szCs w:val="17"/>
          <w:color w:val="auto"/>
        </w:rPr>
        <w:t>A Ten Percent Stockholder may not be granted an</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99"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13"/>
          </w:cols>
          <w:pgMar w:left="487" w:top="267" w:right="499" w:bottom="1440" w:gutter="0" w:footer="0" w:header="0"/>
        </w:sectPr>
      </w:pPr>
    </w:p>
    <w:bookmarkStart w:id="336" w:name="page337"/>
    <w:bookmarkEnd w:id="336"/>
    <w:p>
      <w:pPr>
        <w:ind w:left="440" w:right="280" w:firstLine="423"/>
        <w:spacing w:after="0" w:line="261" w:lineRule="auto"/>
        <w:tabs>
          <w:tab w:leader="none" w:pos="1161" w:val="left"/>
        </w:tabs>
        <w:numPr>
          <w:ilvl w:val="2"/>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Limitations on Nonstatutory Stock Options and SARs. </w:t>
      </w:r>
      <w:r>
        <w:rPr>
          <w:rFonts w:ascii="Arial" w:cs="Arial" w:eastAsia="Arial" w:hAnsi="Arial"/>
          <w:sz w:val="18"/>
          <w:szCs w:val="18"/>
          <w:color w:val="auto"/>
        </w:rPr>
        <w:t>Nonstatutory Stock Options and SARs may not be granted to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Consultants unless the stock underlying such Awards is treated as “service recipient stock” under Section 409A or unless such Awards otherwise comply with the requirements of Section 409A.</w:t>
      </w:r>
    </w:p>
    <w:p>
      <w:pPr>
        <w:spacing w:after="0" w:line="73" w:lineRule="exact"/>
        <w:rPr>
          <w:rFonts w:ascii="Arial" w:cs="Arial" w:eastAsia="Arial" w:hAnsi="Arial"/>
          <w:sz w:val="18"/>
          <w:szCs w:val="18"/>
          <w:b w:val="1"/>
          <w:bCs w:val="1"/>
          <w:color w:val="auto"/>
        </w:rPr>
      </w:pPr>
    </w:p>
    <w:p>
      <w:pPr>
        <w:ind w:right="160" w:firstLine="444"/>
        <w:spacing w:after="0" w:line="275" w:lineRule="auto"/>
        <w:tabs>
          <w:tab w:leader="none" w:pos="679"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The aggregate maximum number of shares of Common Stock that may be issued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Incentive Stock Options is the number of shares specified in Section 2(b).</w:t>
      </w:r>
    </w:p>
    <w:p>
      <w:pPr>
        <w:spacing w:after="0" w:line="60" w:lineRule="exact"/>
        <w:rPr>
          <w:rFonts w:ascii="Arial" w:cs="Arial" w:eastAsia="Arial" w:hAnsi="Arial"/>
          <w:sz w:val="18"/>
          <w:szCs w:val="18"/>
          <w:b w:val="1"/>
          <w:bCs w:val="1"/>
          <w:color w:val="auto"/>
        </w:rPr>
      </w:pPr>
    </w:p>
    <w:p>
      <w:pPr>
        <w:ind w:right="20" w:firstLine="444"/>
        <w:spacing w:after="0" w:line="253" w:lineRule="auto"/>
        <w:tabs>
          <w:tab w:leader="none" w:pos="699"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Non-Employee Director Compensation Limit. </w:t>
      </w:r>
      <w:r>
        <w:rPr>
          <w:rFonts w:ascii="Arial" w:cs="Arial" w:eastAsia="Arial" w:hAnsi="Arial"/>
          <w:sz w:val="18"/>
          <w:szCs w:val="18"/>
          <w:color w:val="auto"/>
        </w:rPr>
        <w:t>The aggregate value of all compensation granted or paid, as applicable, to any individual for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295" w:lineRule="exact"/>
        <w:rPr>
          <w:rFonts w:ascii="Arial" w:cs="Arial" w:eastAsia="Arial" w:hAnsi="Arial"/>
          <w:sz w:val="18"/>
          <w:szCs w:val="18"/>
          <w:b w:val="1"/>
          <w:bCs w:val="1"/>
          <w:color w:val="auto"/>
        </w:rPr>
      </w:pPr>
    </w:p>
    <w:p>
      <w:pPr>
        <w:ind w:left="180" w:hanging="173"/>
        <w:spacing w:after="0"/>
        <w:tabs>
          <w:tab w:leader="none" w:pos="18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18" w:lineRule="exact"/>
        <w:rPr>
          <w:sz w:val="20"/>
          <w:szCs w:val="20"/>
          <w:color w:val="auto"/>
        </w:rPr>
      </w:pPr>
    </w:p>
    <w:p>
      <w:pPr>
        <w:ind w:firstLine="436"/>
        <w:spacing w:after="0" w:line="251" w:lineRule="auto"/>
        <w:rPr>
          <w:sz w:val="20"/>
          <w:szCs w:val="20"/>
          <w:color w:val="auto"/>
        </w:rPr>
      </w:pPr>
      <w:r>
        <w:rPr>
          <w:rFonts w:ascii="Arial" w:cs="Arial" w:eastAsia="Arial" w:hAnsi="Arial"/>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86" w:lineRule="exact"/>
        <w:rPr>
          <w:sz w:val="20"/>
          <w:szCs w:val="20"/>
          <w:color w:val="auto"/>
        </w:rPr>
      </w:pPr>
    </w:p>
    <w:p>
      <w:pPr>
        <w:ind w:firstLine="444"/>
        <w:spacing w:after="0" w:line="275" w:lineRule="auto"/>
        <w:tabs>
          <w:tab w:leader="none" w:pos="689"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Section 3(b) regarding Ten Percent Stockholders, no Option or SAR will be exercisable after the expiration of ten years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of such Award or such shorter period specified in the Award Agreement.</w:t>
      </w:r>
    </w:p>
    <w:p>
      <w:pPr>
        <w:spacing w:after="0" w:line="60" w:lineRule="exact"/>
        <w:rPr>
          <w:rFonts w:ascii="Arial" w:cs="Arial" w:eastAsia="Arial" w:hAnsi="Arial"/>
          <w:sz w:val="18"/>
          <w:szCs w:val="18"/>
          <w:b w:val="1"/>
          <w:bCs w:val="1"/>
          <w:color w:val="auto"/>
        </w:rPr>
      </w:pPr>
    </w:p>
    <w:p>
      <w:pPr>
        <w:ind w:right="60" w:firstLine="444"/>
        <w:spacing w:after="0" w:line="255" w:lineRule="auto"/>
        <w:tabs>
          <w:tab w:leader="none" w:pos="699"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or Strike Price. </w:t>
      </w:r>
      <w:r>
        <w:rPr>
          <w:rFonts w:ascii="Arial" w:cs="Arial" w:eastAsia="Arial" w:hAnsi="Arial"/>
          <w:sz w:val="18"/>
          <w:szCs w:val="18"/>
          <w:color w:val="auto"/>
        </w:rPr>
        <w:t>Subject to Section 3(b) regarding Ten Percent Stockholders, the exercise or strike price of each Option or SAR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480" w:top="268" w:right="559" w:bottom="1440" w:gutter="0" w:footer="0" w:header="0"/>
        </w:sectPr>
      </w:pPr>
    </w:p>
    <w:bookmarkStart w:id="337" w:name="page338"/>
    <w:bookmarkEnd w:id="337"/>
    <w:p>
      <w:pPr>
        <w:ind w:left="-20" w:right="180" w:firstLine="444"/>
        <w:spacing w:after="0" w:line="253" w:lineRule="auto"/>
        <w:tabs>
          <w:tab w:leader="none" w:pos="659"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Exercise Procedure and Payment of Exercise Price for Options. </w:t>
      </w:r>
      <w:r>
        <w:rPr>
          <w:rFonts w:ascii="Arial" w:cs="Arial" w:eastAsia="Arial" w:hAnsi="Arial"/>
          <w:sz w:val="18"/>
          <w:szCs w:val="18"/>
          <w:color w:val="auto"/>
        </w:rPr>
        <w:t>In order to exercise an Option, the Participant must provide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85" w:lineRule="exact"/>
        <w:rPr>
          <w:rFonts w:ascii="Arial" w:cs="Arial" w:eastAsia="Arial" w:hAnsi="Arial"/>
          <w:sz w:val="18"/>
          <w:szCs w:val="18"/>
          <w:b w:val="1"/>
          <w:bCs w:val="1"/>
          <w:color w:val="auto"/>
        </w:rPr>
      </w:pPr>
    </w:p>
    <w:p>
      <w:pPr>
        <w:ind w:left="1060" w:hanging="217"/>
        <w:spacing w:after="0"/>
        <w:tabs>
          <w:tab w:leader="none" w:pos="1060"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by cash or check, bank draft or money order payable to the Company;</w:t>
      </w:r>
    </w:p>
    <w:p>
      <w:pPr>
        <w:spacing w:after="0" w:line="113" w:lineRule="exact"/>
        <w:rPr>
          <w:rFonts w:ascii="Arial" w:cs="Arial" w:eastAsia="Arial" w:hAnsi="Arial"/>
          <w:sz w:val="18"/>
          <w:szCs w:val="18"/>
          <w:b w:val="1"/>
          <w:bCs w:val="1"/>
          <w:color w:val="auto"/>
        </w:rPr>
      </w:pPr>
    </w:p>
    <w:p>
      <w:pPr>
        <w:ind w:left="420" w:right="100" w:firstLine="423"/>
        <w:spacing w:after="0" w:line="259" w:lineRule="auto"/>
        <w:tabs>
          <w:tab w:leader="none" w:pos="1101"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78" w:lineRule="exact"/>
        <w:rPr>
          <w:rFonts w:ascii="Arial" w:cs="Arial" w:eastAsia="Arial" w:hAnsi="Arial"/>
          <w:sz w:val="18"/>
          <w:szCs w:val="18"/>
          <w:b w:val="1"/>
          <w:bCs w:val="1"/>
          <w:color w:val="auto"/>
        </w:rPr>
      </w:pPr>
    </w:p>
    <w:p>
      <w:pPr>
        <w:ind w:left="420" w:right="40" w:firstLine="423"/>
        <w:spacing w:after="0" w:line="269" w:lineRule="auto"/>
        <w:tabs>
          <w:tab w:leader="none" w:pos="1151" w:val="left"/>
        </w:tabs>
        <w:numPr>
          <w:ilvl w:val="1"/>
          <w:numId w:val="251"/>
        </w:numPr>
        <w:rPr>
          <w:rFonts w:ascii="Arial" w:cs="Arial" w:eastAsia="Arial" w:hAnsi="Arial"/>
          <w:sz w:val="17"/>
          <w:szCs w:val="17"/>
          <w:b w:val="1"/>
          <w:bCs w:val="1"/>
          <w:color w:val="auto"/>
        </w:rPr>
      </w:pPr>
      <w:r>
        <w:rPr>
          <w:rFonts w:ascii="Arial" w:cs="Arial" w:eastAsia="Arial" w:hAnsi="Arial"/>
          <w:sz w:val="17"/>
          <w:szCs w:val="17"/>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71" w:lineRule="exact"/>
        <w:rPr>
          <w:rFonts w:ascii="Arial" w:cs="Arial" w:eastAsia="Arial" w:hAnsi="Arial"/>
          <w:sz w:val="17"/>
          <w:szCs w:val="17"/>
          <w:b w:val="1"/>
          <w:bCs w:val="1"/>
          <w:color w:val="auto"/>
        </w:rPr>
      </w:pPr>
    </w:p>
    <w:p>
      <w:pPr>
        <w:ind w:left="420" w:firstLine="423"/>
        <w:spacing w:after="0" w:line="297" w:lineRule="auto"/>
        <w:tabs>
          <w:tab w:leader="none" w:pos="1141" w:val="left"/>
        </w:tabs>
        <w:numPr>
          <w:ilvl w:val="1"/>
          <w:numId w:val="251"/>
        </w:numPr>
        <w:rPr>
          <w:rFonts w:ascii="Arial" w:cs="Arial" w:eastAsia="Arial" w:hAnsi="Arial"/>
          <w:sz w:val="16"/>
          <w:szCs w:val="16"/>
          <w:b w:val="1"/>
          <w:bCs w:val="1"/>
          <w:color w:val="auto"/>
        </w:rPr>
      </w:pPr>
      <w:r>
        <w:rPr>
          <w:rFonts w:ascii="Arial" w:cs="Arial" w:eastAsia="Arial" w:hAnsi="Arial"/>
          <w:sz w:val="16"/>
          <w:szCs w:val="16"/>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52" w:lineRule="exact"/>
        <w:rPr>
          <w:rFonts w:ascii="Arial" w:cs="Arial" w:eastAsia="Arial" w:hAnsi="Arial"/>
          <w:sz w:val="16"/>
          <w:szCs w:val="16"/>
          <w:b w:val="1"/>
          <w:bCs w:val="1"/>
          <w:color w:val="auto"/>
        </w:rPr>
      </w:pPr>
    </w:p>
    <w:p>
      <w:pPr>
        <w:ind w:left="1100" w:hanging="257"/>
        <w:spacing w:after="0"/>
        <w:tabs>
          <w:tab w:leader="none" w:pos="1100"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in any other form of consideration that may be acceptable to the Board and permissible under Applicable Law.</w:t>
      </w:r>
    </w:p>
    <w:p>
      <w:pPr>
        <w:spacing w:after="0" w:line="109" w:lineRule="exact"/>
        <w:rPr>
          <w:rFonts w:ascii="Arial" w:cs="Arial" w:eastAsia="Arial" w:hAnsi="Arial"/>
          <w:sz w:val="18"/>
          <w:szCs w:val="18"/>
          <w:b w:val="1"/>
          <w:bCs w:val="1"/>
          <w:color w:val="auto"/>
        </w:rPr>
      </w:pPr>
    </w:p>
    <w:p>
      <w:pPr>
        <w:ind w:left="-20" w:firstLine="444"/>
        <w:spacing w:after="0" w:line="271" w:lineRule="auto"/>
        <w:tabs>
          <w:tab w:leader="none" w:pos="679"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Procedure and Payment of Appreciation Distribution for SARs. </w:t>
      </w:r>
      <w:r>
        <w:rPr>
          <w:rFonts w:ascii="Arial" w:cs="Arial" w:eastAsia="Arial" w:hAnsi="Arial"/>
          <w:sz w:val="17"/>
          <w:szCs w:val="17"/>
          <w:color w:val="auto"/>
        </w:rPr>
        <w:t>In order to exercise any SAR, the Participant must provide notice</w:t>
      </w:r>
      <w:r>
        <w:rPr>
          <w:rFonts w:ascii="Arial" w:cs="Arial" w:eastAsia="Arial" w:hAnsi="Arial"/>
          <w:sz w:val="17"/>
          <w:szCs w:val="17"/>
          <w:b w:val="1"/>
          <w:bCs w:val="1"/>
          <w:color w:val="auto"/>
        </w:rPr>
        <w:t xml:space="preserve"> </w:t>
      </w:r>
      <w:r>
        <w:rPr>
          <w:rFonts w:ascii="Arial" w:cs="Arial" w:eastAsia="Arial" w:hAnsi="Arial"/>
          <w:sz w:val="17"/>
          <w:szCs w:val="17"/>
          <w:color w:val="auto"/>
        </w:rPr>
        <w:t>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500" w:top="268" w:right="499" w:bottom="1440" w:gutter="0" w:footer="0" w:header="0"/>
        </w:sectPr>
      </w:pPr>
    </w:p>
    <w:bookmarkStart w:id="338" w:name="page339"/>
    <w:bookmarkEnd w:id="338"/>
    <w:p>
      <w:pPr>
        <w:ind w:left="-20" w:right="160" w:firstLine="444"/>
        <w:spacing w:after="0" w:line="255" w:lineRule="auto"/>
        <w:tabs>
          <w:tab w:leader="none" w:pos="659"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Transferability. </w:t>
      </w:r>
      <w:r>
        <w:rPr>
          <w:rFonts w:ascii="Arial" w:cs="Arial" w:eastAsia="Arial" w:hAnsi="Arial"/>
          <w:sz w:val="18"/>
          <w:szCs w:val="18"/>
          <w:color w:val="auto"/>
        </w:rPr>
        <w:t>Options and SARs may not be transferred to third party financial institutions for value. The Board may impose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an Option is an Incentive Stock Option, such Option may be deemed to be a Nonstatutory Stock Option as a result of such transfer:</w:t>
      </w:r>
    </w:p>
    <w:p>
      <w:pPr>
        <w:spacing w:after="0" w:line="77" w:lineRule="exact"/>
        <w:rPr>
          <w:rFonts w:ascii="Arial" w:cs="Arial" w:eastAsia="Arial" w:hAnsi="Arial"/>
          <w:sz w:val="18"/>
          <w:szCs w:val="18"/>
          <w:b w:val="1"/>
          <w:bCs w:val="1"/>
          <w:color w:val="auto"/>
        </w:rPr>
      </w:pPr>
    </w:p>
    <w:p>
      <w:pPr>
        <w:ind w:left="420" w:right="40" w:firstLine="423"/>
        <w:spacing w:after="0" w:line="294" w:lineRule="auto"/>
        <w:tabs>
          <w:tab w:leader="none" w:pos="1052" w:val="left"/>
        </w:tabs>
        <w:numPr>
          <w:ilvl w:val="1"/>
          <w:numId w:val="2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w:t>
      </w:r>
      <w:r>
        <w:rPr>
          <w:rFonts w:ascii="Arial" w:cs="Arial" w:eastAsia="Arial" w:hAnsi="Arial"/>
          <w:sz w:val="16"/>
          <w:szCs w:val="16"/>
          <w:color w:val="auto"/>
        </w:rPr>
        <w:t>An Option or SAR will not be transferable, except by will or by the laws of descent and distribution,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49" w:lineRule="exact"/>
        <w:rPr>
          <w:rFonts w:ascii="Arial" w:cs="Arial" w:eastAsia="Arial" w:hAnsi="Arial"/>
          <w:sz w:val="16"/>
          <w:szCs w:val="16"/>
          <w:b w:val="1"/>
          <w:bCs w:val="1"/>
          <w:color w:val="auto"/>
        </w:rPr>
      </w:pPr>
    </w:p>
    <w:p>
      <w:pPr>
        <w:ind w:left="420" w:right="180" w:firstLine="423"/>
        <w:spacing w:after="0" w:line="261" w:lineRule="auto"/>
        <w:tabs>
          <w:tab w:leader="none" w:pos="1101" w:val="left"/>
        </w:tabs>
        <w:numPr>
          <w:ilvl w:val="1"/>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Notwithstanding the foregoing, subject to the execution of transfer documentation in a format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and subject to the approval of the Board or a duly authorized Officer, an Option or SAR may be transferred pursuant to a domestic relations order.</w:t>
      </w:r>
    </w:p>
    <w:p>
      <w:pPr>
        <w:spacing w:after="0" w:line="73" w:lineRule="exact"/>
        <w:rPr>
          <w:rFonts w:ascii="Arial" w:cs="Arial" w:eastAsia="Arial" w:hAnsi="Arial"/>
          <w:sz w:val="18"/>
          <w:szCs w:val="18"/>
          <w:b w:val="1"/>
          <w:bCs w:val="1"/>
          <w:color w:val="auto"/>
        </w:rPr>
      </w:pPr>
    </w:p>
    <w:p>
      <w:pPr>
        <w:ind w:left="-20" w:right="220" w:firstLine="444"/>
        <w:spacing w:after="0" w:line="261" w:lineRule="auto"/>
        <w:tabs>
          <w:tab w:leader="none" w:pos="639"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The Board may impose such restrictions on or conditions to the vesting and/or exercisability of an Option or SAR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73" w:lineRule="exact"/>
        <w:rPr>
          <w:rFonts w:ascii="Arial" w:cs="Arial" w:eastAsia="Arial" w:hAnsi="Arial"/>
          <w:sz w:val="18"/>
          <w:szCs w:val="18"/>
          <w:b w:val="1"/>
          <w:bCs w:val="1"/>
          <w:color w:val="auto"/>
        </w:rPr>
      </w:pPr>
    </w:p>
    <w:p>
      <w:pPr>
        <w:ind w:left="-20" w:firstLine="444"/>
        <w:spacing w:after="0" w:line="253" w:lineRule="auto"/>
        <w:tabs>
          <w:tab w:leader="none" w:pos="669"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for Cause. </w:t>
      </w:r>
      <w:r>
        <w:rPr>
          <w:rFonts w:ascii="Arial" w:cs="Arial" w:eastAsia="Arial" w:hAnsi="Arial"/>
          <w:sz w:val="18"/>
          <w:szCs w:val="18"/>
          <w:color w:val="auto"/>
        </w:rPr>
        <w:t>Except as explicitly otherwise provided in the Award Agreement or other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81" w:lineRule="exact"/>
        <w:rPr>
          <w:rFonts w:ascii="Arial" w:cs="Arial" w:eastAsia="Arial" w:hAnsi="Arial"/>
          <w:sz w:val="18"/>
          <w:szCs w:val="18"/>
          <w:b w:val="1"/>
          <w:bCs w:val="1"/>
          <w:color w:val="auto"/>
        </w:rPr>
      </w:pPr>
    </w:p>
    <w:p>
      <w:pPr>
        <w:ind w:left="-20" w:right="60" w:firstLine="444"/>
        <w:spacing w:after="0" w:line="255" w:lineRule="auto"/>
        <w:tabs>
          <w:tab w:leader="none" w:pos="679"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Post-Termination Exercise Period Following Termination of Continuous Service for Reasons Other than Cause. </w:t>
      </w:r>
      <w:r>
        <w:rPr>
          <w:rFonts w:ascii="Arial" w:cs="Arial" w:eastAsia="Arial" w:hAnsi="Arial"/>
          <w:sz w:val="18"/>
          <w:szCs w:val="18"/>
          <w:color w:val="auto"/>
        </w:rPr>
        <w:t>Subject to Section 4(i),</w:t>
      </w:r>
      <w:r>
        <w:rPr>
          <w:rFonts w:ascii="Arial" w:cs="Arial" w:eastAsia="Arial" w:hAnsi="Arial"/>
          <w:sz w:val="18"/>
          <w:szCs w:val="18"/>
          <w:b w:val="1"/>
          <w:bCs w:val="1"/>
          <w:color w:val="auto"/>
        </w:rPr>
        <w:t xml:space="preserve"> </w:t>
      </w:r>
      <w:r>
        <w:rPr>
          <w:rFonts w:ascii="Arial" w:cs="Arial" w:eastAsia="Arial" w:hAnsi="Arial"/>
          <w:sz w:val="18"/>
          <w:szCs w:val="18"/>
          <w:color w:val="auto"/>
        </w:rPr>
        <w:t>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81" w:lineRule="exact"/>
        <w:rPr>
          <w:rFonts w:ascii="Arial" w:cs="Arial" w:eastAsia="Arial" w:hAnsi="Arial"/>
          <w:sz w:val="18"/>
          <w:szCs w:val="18"/>
          <w:b w:val="1"/>
          <w:bCs w:val="1"/>
          <w:color w:val="auto"/>
        </w:rPr>
      </w:pPr>
    </w:p>
    <w:p>
      <w:pPr>
        <w:ind w:left="420" w:right="60" w:firstLine="423"/>
        <w:spacing w:after="0" w:line="271" w:lineRule="auto"/>
        <w:tabs>
          <w:tab w:leader="none" w:pos="1052"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three months following the date of such termination if such termination is a termination without Cause (other than any termination due to the Participant’s Disability or death);</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500" w:top="268" w:right="499" w:bottom="1440" w:gutter="0" w:footer="0" w:header="0"/>
        </w:sectPr>
      </w:pPr>
    </w:p>
    <w:bookmarkStart w:id="339" w:name="page340"/>
    <w:bookmarkEnd w:id="339"/>
    <w:p>
      <w:pPr>
        <w:ind w:left="1120" w:hanging="257"/>
        <w:spacing w:after="0"/>
        <w:tabs>
          <w:tab w:leader="none" w:pos="1120"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12 months following the date of such termination if such termination is due to the Participant’s Disability;</w:t>
      </w:r>
    </w:p>
    <w:p>
      <w:pPr>
        <w:spacing w:after="0" w:line="113" w:lineRule="exact"/>
        <w:rPr>
          <w:rFonts w:ascii="Arial" w:cs="Arial" w:eastAsia="Arial" w:hAnsi="Arial"/>
          <w:sz w:val="18"/>
          <w:szCs w:val="18"/>
          <w:b w:val="1"/>
          <w:bCs w:val="1"/>
          <w:color w:val="auto"/>
        </w:rPr>
      </w:pPr>
    </w:p>
    <w:p>
      <w:pPr>
        <w:ind w:left="1180" w:hanging="317"/>
        <w:spacing w:after="0"/>
        <w:tabs>
          <w:tab w:leader="none" w:pos="1180"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such termination if such termination is due to the Participant’s death; or</w:t>
      </w:r>
    </w:p>
    <w:p>
      <w:pPr>
        <w:spacing w:after="0" w:line="113" w:lineRule="exact"/>
        <w:rPr>
          <w:rFonts w:ascii="Arial" w:cs="Arial" w:eastAsia="Arial" w:hAnsi="Arial"/>
          <w:sz w:val="18"/>
          <w:szCs w:val="18"/>
          <w:b w:val="1"/>
          <w:bCs w:val="1"/>
          <w:color w:val="auto"/>
        </w:rPr>
      </w:pPr>
    </w:p>
    <w:p>
      <w:pPr>
        <w:ind w:left="440" w:firstLine="423"/>
        <w:spacing w:after="0" w:line="271" w:lineRule="auto"/>
        <w:tabs>
          <w:tab w:leader="none" w:pos="1161"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75"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79" w:lineRule="exact"/>
        <w:rPr>
          <w:sz w:val="20"/>
          <w:szCs w:val="20"/>
          <w:color w:val="auto"/>
        </w:rPr>
      </w:pPr>
    </w:p>
    <w:p>
      <w:pPr>
        <w:ind w:firstLine="444"/>
        <w:spacing w:after="0" w:line="285" w:lineRule="auto"/>
        <w:tabs>
          <w:tab w:leader="none" w:pos="649" w:val="left"/>
        </w:tabs>
        <w:numPr>
          <w:ilvl w:val="0"/>
          <w:numId w:val="2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Exercise; Extension of Exercisability. </w:t>
      </w:r>
      <w:r>
        <w:rPr>
          <w:rFonts w:ascii="Arial" w:cs="Arial" w:eastAsia="Arial" w:hAnsi="Arial"/>
          <w:sz w:val="16"/>
          <w:szCs w:val="16"/>
          <w:color w:val="auto"/>
        </w:rPr>
        <w:t>A Participant may not exercise an Option or SAR at any time that the issuance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61" w:lineRule="exact"/>
        <w:rPr>
          <w:rFonts w:ascii="Arial" w:cs="Arial" w:eastAsia="Arial" w:hAnsi="Arial"/>
          <w:sz w:val="16"/>
          <w:szCs w:val="16"/>
          <w:b w:val="1"/>
          <w:bCs w:val="1"/>
          <w:color w:val="auto"/>
        </w:rPr>
      </w:pPr>
    </w:p>
    <w:p>
      <w:pPr>
        <w:ind w:right="40" w:firstLine="444"/>
        <w:spacing w:after="0" w:line="273" w:lineRule="auto"/>
        <w:tabs>
          <w:tab w:leader="none" w:pos="659"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Non-Exempt Employees. </w:t>
      </w:r>
      <w:r>
        <w:rPr>
          <w:rFonts w:ascii="Arial" w:cs="Arial" w:eastAsia="Arial" w:hAnsi="Arial"/>
          <w:sz w:val="17"/>
          <w:szCs w:val="17"/>
          <w:color w:val="auto"/>
        </w:rPr>
        <w:t>No Option or SAR, whether or not vested, granted to an Employee who is a non-exempt employee for purposes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480" w:top="272" w:right="559" w:bottom="1440" w:gutter="0" w:footer="0" w:header="0"/>
        </w:sectPr>
      </w:pPr>
    </w:p>
    <w:bookmarkStart w:id="340" w:name="page341"/>
    <w:bookmarkEnd w:id="340"/>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79" w:lineRule="exact"/>
        <w:rPr>
          <w:sz w:val="20"/>
          <w:szCs w:val="20"/>
          <w:color w:val="auto"/>
        </w:rPr>
      </w:pPr>
    </w:p>
    <w:p>
      <w:pPr>
        <w:ind w:left="700" w:hanging="256"/>
        <w:spacing w:after="0"/>
        <w:tabs>
          <w:tab w:leader="none" w:pos="700" w:val="left"/>
        </w:tabs>
        <w:numPr>
          <w:ilvl w:val="1"/>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Whole Shares. </w:t>
      </w:r>
      <w:r>
        <w:rPr>
          <w:rFonts w:ascii="Arial" w:cs="Arial" w:eastAsia="Arial" w:hAnsi="Arial"/>
          <w:sz w:val="18"/>
          <w:szCs w:val="18"/>
          <w:color w:val="auto"/>
        </w:rPr>
        <w:t>Options and SARs may be exercised only with respect to whole shares of Common Stock or their equivalents.</w:t>
      </w:r>
    </w:p>
    <w:p>
      <w:pPr>
        <w:spacing w:after="0" w:line="327" w:lineRule="exact"/>
        <w:rPr>
          <w:rFonts w:ascii="Arial" w:cs="Arial" w:eastAsia="Arial" w:hAnsi="Arial"/>
          <w:sz w:val="18"/>
          <w:szCs w:val="18"/>
          <w:b w:val="1"/>
          <w:bCs w:val="1"/>
          <w:color w:val="auto"/>
        </w:rPr>
      </w:pPr>
    </w:p>
    <w:p>
      <w:pPr>
        <w:ind w:left="180" w:hanging="173"/>
        <w:spacing w:after="0"/>
        <w:tabs>
          <w:tab w:leader="none" w:pos="18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b w:val="1"/>
          <w:bCs w:val="1"/>
          <w:color w:val="auto"/>
        </w:rPr>
      </w:pPr>
    </w:p>
    <w:p>
      <w:pPr>
        <w:jc w:val="both"/>
        <w:ind w:right="720" w:firstLine="444"/>
        <w:spacing w:after="0" w:line="309" w:lineRule="auto"/>
        <w:tabs>
          <w:tab w:leader="none" w:pos="689" w:val="left"/>
        </w:tabs>
        <w:numPr>
          <w:ilvl w:val="1"/>
          <w:numId w:val="2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Awards and RSU Awards. </w:t>
      </w:r>
      <w:r>
        <w:rPr>
          <w:rFonts w:ascii="Arial" w:cs="Arial" w:eastAsia="Arial" w:hAnsi="Arial"/>
          <w:sz w:val="16"/>
          <w:szCs w:val="16"/>
          <w:color w:val="auto"/>
        </w:rPr>
        <w:t>Each Restricted Stock Award and RSU Award will have such terms and conditions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38" w:lineRule="exact"/>
        <w:rPr>
          <w:rFonts w:ascii="Arial" w:cs="Arial" w:eastAsia="Arial" w:hAnsi="Arial"/>
          <w:sz w:val="16"/>
          <w:szCs w:val="16"/>
          <w:b w:val="1"/>
          <w:bCs w:val="1"/>
          <w:color w:val="auto"/>
        </w:rPr>
      </w:pPr>
    </w:p>
    <w:p>
      <w:pPr>
        <w:ind w:left="1080" w:hanging="217"/>
        <w:spacing w:after="0"/>
        <w:tabs>
          <w:tab w:leader="none" w:pos="1080" w:val="left"/>
        </w:tabs>
        <w:numPr>
          <w:ilvl w:val="2"/>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Form of Award.</w:t>
      </w:r>
    </w:p>
    <w:p>
      <w:pPr>
        <w:spacing w:after="0" w:line="117" w:lineRule="exact"/>
        <w:rPr>
          <w:rFonts w:ascii="Arial" w:cs="Arial" w:eastAsia="Arial" w:hAnsi="Arial"/>
          <w:sz w:val="18"/>
          <w:szCs w:val="18"/>
          <w:b w:val="1"/>
          <w:bCs w:val="1"/>
          <w:color w:val="auto"/>
        </w:rPr>
      </w:pPr>
    </w:p>
    <w:p>
      <w:pPr>
        <w:ind w:right="60" w:firstLine="1426"/>
        <w:spacing w:after="0" w:line="253" w:lineRule="auto"/>
        <w:tabs>
          <w:tab w:leader="none" w:pos="1671" w:val="left"/>
        </w:tabs>
        <w:numPr>
          <w:ilvl w:val="4"/>
          <w:numId w:val="256"/>
        </w:numPr>
        <w:rPr>
          <w:rFonts w:ascii="Arial" w:cs="Arial" w:eastAsia="Arial" w:hAnsi="Arial"/>
          <w:sz w:val="18"/>
          <w:szCs w:val="18"/>
          <w:b w:val="1"/>
          <w:bCs w:val="1"/>
          <w:color w:val="auto"/>
        </w:rPr>
      </w:pPr>
      <w:r>
        <w:rPr>
          <w:rFonts w:ascii="Arial" w:cs="Arial" w:eastAsia="Arial" w:hAnsi="Arial"/>
          <w:sz w:val="18"/>
          <w:szCs w:val="18"/>
          <w:color w:val="auto"/>
        </w:rPr>
        <w:t>Restricted Stock Awards: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85" w:lineRule="exact"/>
        <w:rPr>
          <w:rFonts w:ascii="Arial" w:cs="Arial" w:eastAsia="Arial" w:hAnsi="Arial"/>
          <w:sz w:val="18"/>
          <w:szCs w:val="18"/>
          <w:b w:val="1"/>
          <w:bCs w:val="1"/>
          <w:color w:val="auto"/>
        </w:rPr>
      </w:pPr>
    </w:p>
    <w:p>
      <w:pPr>
        <w:ind w:firstLine="1426"/>
        <w:spacing w:after="0" w:line="290" w:lineRule="auto"/>
        <w:tabs>
          <w:tab w:leader="none" w:pos="1671" w:val="left"/>
        </w:tabs>
        <w:numPr>
          <w:ilvl w:val="4"/>
          <w:numId w:val="256"/>
        </w:numPr>
        <w:rPr>
          <w:rFonts w:ascii="Arial" w:cs="Arial" w:eastAsia="Arial" w:hAnsi="Arial"/>
          <w:sz w:val="16"/>
          <w:szCs w:val="16"/>
          <w:b w:val="1"/>
          <w:bCs w:val="1"/>
          <w:color w:val="auto"/>
        </w:rPr>
      </w:pPr>
      <w:r>
        <w:rPr>
          <w:rFonts w:ascii="Arial" w:cs="Arial" w:eastAsia="Arial" w:hAnsi="Arial"/>
          <w:sz w:val="16"/>
          <w:szCs w:val="16"/>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52" w:lineRule="exact"/>
        <w:rPr>
          <w:rFonts w:ascii="Arial" w:cs="Arial" w:eastAsia="Arial" w:hAnsi="Arial"/>
          <w:sz w:val="16"/>
          <w:szCs w:val="16"/>
          <w:b w:val="1"/>
          <w:bCs w:val="1"/>
          <w:color w:val="auto"/>
        </w:rPr>
      </w:pPr>
    </w:p>
    <w:p>
      <w:pPr>
        <w:ind w:left="1260" w:hanging="270"/>
        <w:spacing w:after="0"/>
        <w:tabs>
          <w:tab w:leader="none" w:pos="1260" w:val="left"/>
        </w:tabs>
        <w:numPr>
          <w:ilvl w:val="3"/>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117" w:lineRule="exact"/>
        <w:rPr>
          <w:rFonts w:ascii="Arial" w:cs="Arial" w:eastAsia="Arial" w:hAnsi="Arial"/>
          <w:sz w:val="18"/>
          <w:szCs w:val="18"/>
          <w:b w:val="1"/>
          <w:bCs w:val="1"/>
          <w:color w:val="auto"/>
        </w:rPr>
      </w:pPr>
    </w:p>
    <w:p>
      <w:pPr>
        <w:jc w:val="both"/>
        <w:ind w:right="60" w:firstLine="1426"/>
        <w:spacing w:after="0" w:line="259" w:lineRule="auto"/>
        <w:tabs>
          <w:tab w:leader="none" w:pos="1671" w:val="left"/>
        </w:tabs>
        <w:numPr>
          <w:ilvl w:val="4"/>
          <w:numId w:val="256"/>
        </w:numPr>
        <w:rPr>
          <w:rFonts w:ascii="Arial" w:cs="Arial" w:eastAsia="Arial" w:hAnsi="Arial"/>
          <w:sz w:val="18"/>
          <w:szCs w:val="18"/>
          <w:b w:val="1"/>
          <w:bCs w:val="1"/>
          <w:color w:val="auto"/>
        </w:rPr>
      </w:pPr>
      <w:r>
        <w:rPr>
          <w:rFonts w:ascii="Arial" w:cs="Arial" w:eastAsia="Arial" w:hAnsi="Arial"/>
          <w:sz w:val="18"/>
          <w:szCs w:val="18"/>
          <w:color w:val="auto"/>
        </w:rPr>
        <w:t>Restricted Stock Awards: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78" w:lineRule="exact"/>
        <w:rPr>
          <w:rFonts w:ascii="Arial" w:cs="Arial" w:eastAsia="Arial" w:hAnsi="Arial"/>
          <w:sz w:val="18"/>
          <w:szCs w:val="18"/>
          <w:b w:val="1"/>
          <w:bCs w:val="1"/>
          <w:color w:val="auto"/>
        </w:rPr>
      </w:pPr>
    </w:p>
    <w:p>
      <w:pPr>
        <w:ind w:right="60" w:firstLine="1426"/>
        <w:spacing w:after="0" w:line="271" w:lineRule="auto"/>
        <w:tabs>
          <w:tab w:leader="none" w:pos="1671" w:val="left"/>
        </w:tabs>
        <w:numPr>
          <w:ilvl w:val="4"/>
          <w:numId w:val="256"/>
        </w:numPr>
        <w:rPr>
          <w:rFonts w:ascii="Arial" w:cs="Arial" w:eastAsia="Arial" w:hAnsi="Arial"/>
          <w:sz w:val="18"/>
          <w:szCs w:val="18"/>
          <w:b w:val="1"/>
          <w:bCs w:val="1"/>
          <w:color w:val="auto"/>
        </w:rPr>
      </w:pPr>
      <w:r>
        <w:rPr>
          <w:rFonts w:ascii="Arial" w:cs="Arial" w:eastAsia="Arial" w:hAnsi="Arial"/>
          <w:sz w:val="18"/>
          <w:szCs w:val="18"/>
          <w:color w:val="auto"/>
        </w:rPr>
        <w:t>RSU Awards: Unless otherwise determined by the Board at the time of grant, an RSU Award will be granted in consideration for the Participant’s services to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2" w:right="499" w:bottom="1440" w:gutter="0" w:footer="0" w:header="0"/>
        </w:sectPr>
      </w:pPr>
    </w:p>
    <w:bookmarkStart w:id="341" w:name="page342"/>
    <w:bookmarkEnd w:id="341"/>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82" w:lineRule="exact"/>
        <w:rPr>
          <w:sz w:val="20"/>
          <w:szCs w:val="20"/>
          <w:color w:val="auto"/>
        </w:rPr>
      </w:pPr>
    </w:p>
    <w:p>
      <w:pPr>
        <w:jc w:val="both"/>
        <w:ind w:left="440" w:right="560" w:firstLine="423"/>
        <w:spacing w:after="0" w:line="257" w:lineRule="auto"/>
        <w:tabs>
          <w:tab w:leader="none" w:pos="1171" w:val="left"/>
        </w:tabs>
        <w:numPr>
          <w:ilvl w:val="1"/>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The Board may impose such restrictions on or conditions to the vesting of a Restricted Stock Award or RSU Award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76" w:lineRule="exact"/>
        <w:rPr>
          <w:rFonts w:ascii="Arial" w:cs="Arial" w:eastAsia="Arial" w:hAnsi="Arial"/>
          <w:sz w:val="18"/>
          <w:szCs w:val="18"/>
          <w:b w:val="1"/>
          <w:bCs w:val="1"/>
          <w:color w:val="auto"/>
        </w:rPr>
      </w:pPr>
    </w:p>
    <w:p>
      <w:pPr>
        <w:ind w:left="440" w:firstLine="423"/>
        <w:spacing w:after="0" w:line="268" w:lineRule="auto"/>
        <w:tabs>
          <w:tab w:leader="none" w:pos="1161" w:val="left"/>
        </w:tabs>
        <w:numPr>
          <w:ilvl w:val="1"/>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Award Agreement or other written agreement between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72" w:lineRule="exact"/>
        <w:rPr>
          <w:rFonts w:ascii="Arial" w:cs="Arial" w:eastAsia="Arial" w:hAnsi="Arial"/>
          <w:sz w:val="17"/>
          <w:szCs w:val="17"/>
          <w:b w:val="1"/>
          <w:bCs w:val="1"/>
          <w:color w:val="auto"/>
        </w:rPr>
      </w:pPr>
    </w:p>
    <w:p>
      <w:pPr>
        <w:ind w:left="440" w:right="100" w:firstLine="423"/>
        <w:spacing w:after="0" w:line="340" w:lineRule="auto"/>
        <w:tabs>
          <w:tab w:leader="none" w:pos="1111" w:val="left"/>
        </w:tabs>
        <w:numPr>
          <w:ilvl w:val="1"/>
          <w:numId w:val="2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Dividend Equivalents. </w:t>
      </w:r>
      <w:r>
        <w:rPr>
          <w:rFonts w:ascii="Arial" w:cs="Arial" w:eastAsia="Arial" w:hAnsi="Arial"/>
          <w:sz w:val="16"/>
          <w:szCs w:val="16"/>
          <w:color w:val="auto"/>
        </w:rPr>
        <w:t>Dividends or dividend equivalents may be paid or credited, as applicable,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subject to a Restricted Stock Award or RSU Award, as determined by the Board and specified in the Award Agreement.</w:t>
      </w:r>
    </w:p>
    <w:p>
      <w:pPr>
        <w:spacing w:after="0" w:line="13" w:lineRule="exact"/>
        <w:rPr>
          <w:rFonts w:ascii="Arial" w:cs="Arial" w:eastAsia="Arial" w:hAnsi="Arial"/>
          <w:sz w:val="16"/>
          <w:szCs w:val="16"/>
          <w:b w:val="1"/>
          <w:bCs w:val="1"/>
          <w:color w:val="auto"/>
        </w:rPr>
      </w:pPr>
    </w:p>
    <w:p>
      <w:pPr>
        <w:ind w:left="440" w:right="60" w:firstLine="423"/>
        <w:spacing w:after="0" w:line="309" w:lineRule="auto"/>
        <w:tabs>
          <w:tab w:leader="none" w:pos="1161" w:val="left"/>
        </w:tabs>
        <w:numPr>
          <w:ilvl w:val="1"/>
          <w:numId w:val="257"/>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 of RSU Awards</w:t>
      </w:r>
      <w:r>
        <w:rPr>
          <w:rFonts w:ascii="Arial" w:cs="Arial" w:eastAsia="Arial" w:hAnsi="Arial"/>
          <w:sz w:val="16"/>
          <w:szCs w:val="16"/>
          <w:color w:val="auto"/>
        </w:rPr>
        <w:t>. An RSU Award may be settled by the issuance of shares of Common Stock or cash (or any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38" w:lineRule="exact"/>
        <w:rPr>
          <w:rFonts w:ascii="Arial" w:cs="Arial" w:eastAsia="Arial" w:hAnsi="Arial"/>
          <w:sz w:val="16"/>
          <w:szCs w:val="16"/>
          <w:b w:val="1"/>
          <w:bCs w:val="1"/>
          <w:color w:val="auto"/>
        </w:rPr>
      </w:pPr>
    </w:p>
    <w:p>
      <w:pPr>
        <w:jc w:val="both"/>
        <w:ind w:right="80" w:firstLine="444"/>
        <w:spacing w:after="0" w:line="261" w:lineRule="auto"/>
        <w:tabs>
          <w:tab w:leader="none" w:pos="699"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 With respect to any Performance Award, the length of any Performance Period, the Performance Goals to be achieved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73" w:lineRule="exact"/>
        <w:rPr>
          <w:rFonts w:ascii="Arial" w:cs="Arial" w:eastAsia="Arial" w:hAnsi="Arial"/>
          <w:sz w:val="18"/>
          <w:szCs w:val="18"/>
          <w:b w:val="1"/>
          <w:bCs w:val="1"/>
          <w:color w:val="auto"/>
        </w:rPr>
      </w:pPr>
    </w:p>
    <w:p>
      <w:pPr>
        <w:ind w:right="320" w:firstLine="444"/>
        <w:spacing w:after="0" w:line="261" w:lineRule="auto"/>
        <w:tabs>
          <w:tab w:leader="none" w:pos="679"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Other Awards</w:t>
      </w:r>
      <w:r>
        <w:rPr>
          <w:rFonts w:ascii="Arial" w:cs="Arial" w:eastAsia="Arial" w:hAnsi="Arial"/>
          <w:sz w:val="18"/>
          <w:szCs w:val="18"/>
          <w:color w:val="auto"/>
        </w:rPr>
        <w:t>. Other forms of Awards valued in whole or in part by reference to, or otherwise based on, Common Stock,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in value thereof, may be granted either alone or in addition to Awards provided for under Section 4 and the preceding provisions of this Section 5. Subject to the provisions of the Plan, the Board will have sole and complete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80" w:top="272" w:right="519" w:bottom="1440" w:gutter="0" w:footer="0" w:header="0"/>
        </w:sectPr>
      </w:pPr>
    </w:p>
    <w:bookmarkStart w:id="342" w:name="page343"/>
    <w:bookmarkEnd w:id="342"/>
    <w:p>
      <w:pPr>
        <w:ind w:right="80"/>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31" w:lineRule="exact"/>
        <w:rPr>
          <w:sz w:val="20"/>
          <w:szCs w:val="20"/>
          <w:color w:val="auto"/>
        </w:rPr>
      </w:pPr>
    </w:p>
    <w:p>
      <w:pPr>
        <w:ind w:left="180" w:hanging="173"/>
        <w:spacing w:after="0"/>
        <w:tabs>
          <w:tab w:leader="none" w:pos="18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b w:val="1"/>
          <w:bCs w:val="1"/>
          <w:color w:val="auto"/>
        </w:rPr>
      </w:pPr>
    </w:p>
    <w:p>
      <w:pPr>
        <w:ind w:right="240" w:firstLine="444"/>
        <w:spacing w:after="0" w:line="268" w:lineRule="auto"/>
        <w:tabs>
          <w:tab w:leader="none" w:pos="689" w:val="left"/>
        </w:tabs>
        <w:numPr>
          <w:ilvl w:val="1"/>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shall appropriately and proportionately adjust: (i) the</w:t>
      </w:r>
      <w:r>
        <w:rPr>
          <w:rFonts w:ascii="Arial" w:cs="Arial" w:eastAsia="Arial" w:hAnsi="Arial"/>
          <w:sz w:val="17"/>
          <w:szCs w:val="17"/>
          <w:b w:val="1"/>
          <w:bCs w:val="1"/>
          <w:color w:val="auto"/>
        </w:rPr>
        <w:t xml:space="preserve"> </w:t>
      </w:r>
      <w:r>
        <w:rPr>
          <w:rFonts w:ascii="Arial" w:cs="Arial" w:eastAsia="Arial" w:hAnsi="Arial"/>
          <w:sz w:val="17"/>
          <w:szCs w:val="17"/>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72" w:lineRule="exact"/>
        <w:rPr>
          <w:rFonts w:ascii="Arial" w:cs="Arial" w:eastAsia="Arial" w:hAnsi="Arial"/>
          <w:sz w:val="17"/>
          <w:szCs w:val="17"/>
          <w:b w:val="1"/>
          <w:bCs w:val="1"/>
          <w:color w:val="auto"/>
        </w:rPr>
      </w:pPr>
    </w:p>
    <w:p>
      <w:pPr>
        <w:ind w:firstLine="444"/>
        <w:spacing w:after="0" w:line="269" w:lineRule="auto"/>
        <w:tabs>
          <w:tab w:leader="none" w:pos="699" w:val="left"/>
        </w:tabs>
        <w:numPr>
          <w:ilvl w:val="1"/>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t>Dissolution or Liquidation</w:t>
      </w:r>
      <w:r>
        <w:rPr>
          <w:rFonts w:ascii="Arial" w:cs="Arial" w:eastAsia="Arial" w:hAnsi="Arial"/>
          <w:sz w:val="17"/>
          <w:szCs w:val="17"/>
          <w:color w:val="auto"/>
        </w:rPr>
        <w:t>. Except as otherwise provided in the Award Agreement, in the event of a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71" w:lineRule="exact"/>
        <w:rPr>
          <w:rFonts w:ascii="Arial" w:cs="Arial" w:eastAsia="Arial" w:hAnsi="Arial"/>
          <w:sz w:val="17"/>
          <w:szCs w:val="17"/>
          <w:b w:val="1"/>
          <w:bCs w:val="1"/>
          <w:color w:val="auto"/>
        </w:rPr>
      </w:pPr>
    </w:p>
    <w:p>
      <w:pPr>
        <w:ind w:right="140" w:firstLine="444"/>
        <w:spacing w:after="0" w:line="261" w:lineRule="auto"/>
        <w:tabs>
          <w:tab w:leader="none" w:pos="679" w:val="left"/>
        </w:tabs>
        <w:numPr>
          <w:ilvl w:val="1"/>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 </w:t>
      </w:r>
      <w:r>
        <w:rPr>
          <w:rFonts w:ascii="Arial" w:cs="Arial" w:eastAsia="Arial" w:hAnsi="Arial"/>
          <w:sz w:val="18"/>
          <w:szCs w:val="18"/>
          <w:color w:val="auto"/>
        </w:rPr>
        <w:t>The following provisions will apply to Awards in the event of a Corporate Transaction unless otherwise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instrument evidencing the Award or any other written agreement between the Company or any Affiliate and the Participant or unless otherwise expressly provided by the Board at the time of grant of an Award.</w:t>
      </w:r>
    </w:p>
    <w:p>
      <w:pPr>
        <w:spacing w:after="0" w:line="73" w:lineRule="exact"/>
        <w:rPr>
          <w:rFonts w:ascii="Arial" w:cs="Arial" w:eastAsia="Arial" w:hAnsi="Arial"/>
          <w:sz w:val="18"/>
          <w:szCs w:val="18"/>
          <w:b w:val="1"/>
          <w:bCs w:val="1"/>
          <w:color w:val="auto"/>
        </w:rPr>
      </w:pPr>
    </w:p>
    <w:p>
      <w:pPr>
        <w:ind w:left="440" w:firstLine="423"/>
        <w:spacing w:after="0" w:line="287" w:lineRule="auto"/>
        <w:tabs>
          <w:tab w:leader="none" w:pos="1072" w:val="left"/>
        </w:tabs>
        <w:numPr>
          <w:ilvl w:val="2"/>
          <w:numId w:val="2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Awards May Be Assumed. </w:t>
      </w:r>
      <w:r>
        <w:rPr>
          <w:rFonts w:ascii="Arial" w:cs="Arial" w:eastAsia="Arial" w:hAnsi="Arial"/>
          <w:sz w:val="16"/>
          <w:szCs w:val="16"/>
          <w:color w:val="auto"/>
        </w:rPr>
        <w:t>In the event of a Corporate Transaction, any surviving corporation or acquiring corporation (or the surviving</w:t>
      </w:r>
      <w:r>
        <w:rPr>
          <w:rFonts w:ascii="Arial" w:cs="Arial" w:eastAsia="Arial" w:hAnsi="Arial"/>
          <w:sz w:val="16"/>
          <w:szCs w:val="16"/>
          <w:b w:val="1"/>
          <w:bCs w:val="1"/>
          <w:color w:val="auto"/>
        </w:rPr>
        <w:t xml:space="preserve"> </w:t>
      </w:r>
      <w:r>
        <w:rPr>
          <w:rFonts w:ascii="Arial" w:cs="Arial" w:eastAsia="Arial" w:hAnsi="Arial"/>
          <w:sz w:val="16"/>
          <w:szCs w:val="16"/>
          <w:color w:val="auto"/>
        </w:rPr>
        <w:t>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72" w:right="519" w:bottom="1440" w:gutter="0" w:footer="0" w:header="0"/>
        </w:sectPr>
      </w:pPr>
    </w:p>
    <w:bookmarkStart w:id="343" w:name="page344"/>
    <w:bookmarkEnd w:id="343"/>
    <w:p>
      <w:pPr>
        <w:ind w:right="40" w:firstLine="423"/>
        <w:spacing w:after="0" w:line="283" w:lineRule="auto"/>
        <w:tabs>
          <w:tab w:leader="none" w:pos="681" w:val="left"/>
        </w:tabs>
        <w:numPr>
          <w:ilvl w:val="1"/>
          <w:numId w:val="26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Awards Held by Current Participants. </w:t>
      </w:r>
      <w:r>
        <w:rPr>
          <w:rFonts w:ascii="Arial" w:cs="Arial" w:eastAsia="Arial" w:hAnsi="Arial"/>
          <w:sz w:val="16"/>
          <w:szCs w:val="16"/>
          <w:color w:val="auto"/>
        </w:rPr>
        <w:t>In the event of a Corporate Transaction in which the surviving corporation or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6"/>
          <w:szCs w:val="16"/>
          <w:b w:val="1"/>
          <w:bCs w:val="1"/>
          <w:i w:val="1"/>
          <w:iCs w:val="1"/>
          <w:color w:val="auto"/>
        </w:rPr>
        <w:t>Current Participants</w:t>
      </w:r>
      <w:r>
        <w:rPr>
          <w:rFonts w:ascii="Arial" w:cs="Arial" w:eastAsia="Arial" w:hAnsi="Arial"/>
          <w:sz w:val="16"/>
          <w:szCs w:val="16"/>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or unless otherwise provided by the Board, the vesting of such Performance Awards will accelerate at 100% of the target level upon the occurrence of the Corporate Transaction in which the Awards are not assumed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59" w:lineRule="exact"/>
        <w:rPr>
          <w:rFonts w:ascii="Arial" w:cs="Arial" w:eastAsia="Arial" w:hAnsi="Arial"/>
          <w:sz w:val="16"/>
          <w:szCs w:val="16"/>
          <w:b w:val="1"/>
          <w:bCs w:val="1"/>
          <w:color w:val="auto"/>
        </w:rPr>
      </w:pPr>
    </w:p>
    <w:p>
      <w:pPr>
        <w:ind w:firstLine="423"/>
        <w:spacing w:after="0" w:line="271" w:lineRule="auto"/>
        <w:tabs>
          <w:tab w:leader="none" w:pos="731" w:val="left"/>
        </w:tabs>
        <w:numPr>
          <w:ilvl w:val="1"/>
          <w:numId w:val="2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Awards Held by Persons other than Current Participants. </w:t>
      </w:r>
      <w:r>
        <w:rPr>
          <w:rFonts w:ascii="Arial" w:cs="Arial" w:eastAsia="Arial" w:hAnsi="Arial"/>
          <w:sz w:val="17"/>
          <w:szCs w:val="17"/>
          <w:color w:val="auto"/>
        </w:rPr>
        <w:t>In the event of a Corporate Transaction in which the surviving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66" w:lineRule="exact"/>
        <w:rPr>
          <w:rFonts w:ascii="Arial" w:cs="Arial" w:eastAsia="Arial" w:hAnsi="Arial"/>
          <w:sz w:val="17"/>
          <w:szCs w:val="17"/>
          <w:b w:val="1"/>
          <w:bCs w:val="1"/>
          <w:color w:val="auto"/>
        </w:rPr>
      </w:pPr>
    </w:p>
    <w:p>
      <w:pPr>
        <w:ind w:right="40" w:firstLine="423"/>
        <w:spacing w:after="0" w:line="286" w:lineRule="auto"/>
        <w:tabs>
          <w:tab w:leader="none" w:pos="721" w:val="left"/>
        </w:tabs>
        <w:numPr>
          <w:ilvl w:val="1"/>
          <w:numId w:val="2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 for Awards in Lieu of Exercise. </w:t>
      </w:r>
      <w:r>
        <w:rPr>
          <w:rFonts w:ascii="Arial" w:cs="Arial" w:eastAsia="Arial" w:hAnsi="Arial"/>
          <w:sz w:val="16"/>
          <w:szCs w:val="16"/>
          <w:color w:val="auto"/>
        </w:rPr>
        <w:t>Notwithstanding the foregoing, in the event an Award will terminate if not exercised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w:t>
      </w:r>
    </w:p>
    <w:p>
      <w:pPr>
        <w:spacing w:after="0" w:line="1" w:lineRule="exact"/>
        <w:rPr>
          <w:rFonts w:ascii="Arial" w:cs="Arial" w:eastAsia="Arial" w:hAnsi="Arial"/>
          <w:sz w:val="16"/>
          <w:szCs w:val="16"/>
          <w:b w:val="1"/>
          <w:bCs w:val="1"/>
          <w:color w:val="auto"/>
        </w:rPr>
      </w:pPr>
    </w:p>
    <w:p>
      <w:pPr>
        <w:ind w:right="320" w:firstLine="4"/>
        <w:spacing w:after="0" w:line="285" w:lineRule="auto"/>
        <w:tabs>
          <w:tab w:leader="none" w:pos="25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0"/>
          </w:cols>
          <w:pgMar w:left="920" w:top="268" w:right="499" w:bottom="1440" w:gutter="0" w:footer="0" w:header="0"/>
        </w:sectPr>
      </w:pPr>
    </w:p>
    <w:bookmarkStart w:id="344" w:name="page345"/>
    <w:bookmarkEnd w:id="344"/>
    <w:p>
      <w:pPr>
        <w:ind w:left="-7" w:firstLine="444"/>
        <w:spacing w:after="0" w:line="257" w:lineRule="auto"/>
        <w:tabs>
          <w:tab w:leader="none" w:pos="691" w:val="left"/>
        </w:tabs>
        <w:numPr>
          <w:ilvl w:val="1"/>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Appointment of Stockholder Representative. </w:t>
      </w:r>
      <w:r>
        <w:rPr>
          <w:rFonts w:ascii="Arial" w:cs="Arial" w:eastAsia="Arial" w:hAnsi="Arial"/>
          <w:sz w:val="18"/>
          <w:szCs w:val="18"/>
          <w:color w:val="auto"/>
        </w:rPr>
        <w:t>As a condition to the receipt of an Award under this Plan, a Participant will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76" w:lineRule="exact"/>
        <w:rPr>
          <w:rFonts w:ascii="Arial" w:cs="Arial" w:eastAsia="Arial" w:hAnsi="Arial"/>
          <w:sz w:val="18"/>
          <w:szCs w:val="18"/>
          <w:b w:val="1"/>
          <w:bCs w:val="1"/>
          <w:color w:val="auto"/>
        </w:rPr>
      </w:pPr>
    </w:p>
    <w:p>
      <w:pPr>
        <w:ind w:left="-7" w:right="60" w:firstLine="444"/>
        <w:spacing w:after="0" w:line="252" w:lineRule="auto"/>
        <w:tabs>
          <w:tab w:leader="none" w:pos="671" w:val="left"/>
        </w:tabs>
        <w:numPr>
          <w:ilvl w:val="1"/>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No Restriction on Right to Undertake Transactions</w:t>
      </w:r>
      <w:r>
        <w:rPr>
          <w:rFonts w:ascii="Arial" w:cs="Arial" w:eastAsia="Arial" w:hAnsi="Arial"/>
          <w:sz w:val="18"/>
          <w:szCs w:val="18"/>
          <w:color w:val="auto"/>
        </w:rPr>
        <w:t>. The grant of any Award under the Plan and the issuance of shares pursuant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97" w:lineRule="exact"/>
        <w:rPr>
          <w:rFonts w:ascii="Arial" w:cs="Arial" w:eastAsia="Arial" w:hAnsi="Arial"/>
          <w:sz w:val="18"/>
          <w:szCs w:val="18"/>
          <w:b w:val="1"/>
          <w:bCs w:val="1"/>
          <w:color w:val="auto"/>
        </w:rPr>
      </w:pPr>
    </w:p>
    <w:p>
      <w:pPr>
        <w:ind w:left="173" w:hanging="173"/>
        <w:spacing w:after="0"/>
        <w:tabs>
          <w:tab w:leader="none" w:pos="173"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b w:val="1"/>
          <w:bCs w:val="1"/>
          <w:color w:val="auto"/>
        </w:rPr>
      </w:pPr>
    </w:p>
    <w:p>
      <w:pPr>
        <w:ind w:left="-7" w:right="20" w:firstLine="444"/>
        <w:spacing w:after="0" w:line="275" w:lineRule="auto"/>
        <w:tabs>
          <w:tab w:leader="none" w:pos="681" w:val="left"/>
        </w:tabs>
        <w:numPr>
          <w:ilvl w:val="1"/>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unless and until the Board delegates administration of the Plan to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or Committees, as provided in subsection (c) below.</w:t>
      </w:r>
    </w:p>
    <w:p>
      <w:pPr>
        <w:spacing w:after="0" w:line="60" w:lineRule="exact"/>
        <w:rPr>
          <w:rFonts w:ascii="Arial" w:cs="Arial" w:eastAsia="Arial" w:hAnsi="Arial"/>
          <w:sz w:val="18"/>
          <w:szCs w:val="18"/>
          <w:b w:val="1"/>
          <w:bCs w:val="1"/>
          <w:color w:val="auto"/>
        </w:rPr>
      </w:pPr>
    </w:p>
    <w:p>
      <w:pPr>
        <w:ind w:left="693" w:hanging="256"/>
        <w:spacing w:after="0"/>
        <w:tabs>
          <w:tab w:leader="none" w:pos="693" w:val="left"/>
        </w:tabs>
        <w:numPr>
          <w:ilvl w:val="1"/>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117" w:lineRule="exact"/>
        <w:rPr>
          <w:rFonts w:ascii="Arial" w:cs="Arial" w:eastAsia="Arial" w:hAnsi="Arial"/>
          <w:sz w:val="18"/>
          <w:szCs w:val="18"/>
          <w:b w:val="1"/>
          <w:bCs w:val="1"/>
          <w:color w:val="auto"/>
        </w:rPr>
      </w:pPr>
    </w:p>
    <w:p>
      <w:pPr>
        <w:ind w:left="433" w:right="20" w:firstLine="423"/>
        <w:spacing w:after="0" w:line="290" w:lineRule="auto"/>
        <w:tabs>
          <w:tab w:leader="none" w:pos="1064" w:val="left"/>
        </w:tabs>
        <w:numPr>
          <w:ilvl w:val="2"/>
          <w:numId w:val="263"/>
        </w:numPr>
        <w:rPr>
          <w:rFonts w:ascii="Arial" w:cs="Arial" w:eastAsia="Arial" w:hAnsi="Arial"/>
          <w:sz w:val="16"/>
          <w:szCs w:val="16"/>
          <w:b w:val="1"/>
          <w:bCs w:val="1"/>
          <w:color w:val="auto"/>
        </w:rPr>
      </w:pPr>
      <w:r>
        <w:rPr>
          <w:rFonts w:ascii="Arial" w:cs="Arial" w:eastAsia="Arial" w:hAnsi="Arial"/>
          <w:sz w:val="16"/>
          <w:szCs w:val="16"/>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56" w:lineRule="exact"/>
        <w:rPr>
          <w:rFonts w:ascii="Arial" w:cs="Arial" w:eastAsia="Arial" w:hAnsi="Arial"/>
          <w:sz w:val="16"/>
          <w:szCs w:val="16"/>
          <w:b w:val="1"/>
          <w:bCs w:val="1"/>
          <w:color w:val="auto"/>
        </w:rPr>
      </w:pPr>
    </w:p>
    <w:p>
      <w:pPr>
        <w:ind w:left="433" w:right="700" w:firstLine="423"/>
        <w:spacing w:after="0" w:line="307" w:lineRule="auto"/>
        <w:tabs>
          <w:tab w:leader="none" w:pos="1114" w:val="left"/>
        </w:tabs>
        <w:numPr>
          <w:ilvl w:val="2"/>
          <w:numId w:val="263"/>
        </w:numPr>
        <w:rPr>
          <w:rFonts w:ascii="Arial" w:cs="Arial" w:eastAsia="Arial" w:hAnsi="Arial"/>
          <w:sz w:val="16"/>
          <w:szCs w:val="16"/>
          <w:b w:val="1"/>
          <w:bCs w:val="1"/>
          <w:color w:val="auto"/>
        </w:rPr>
      </w:pPr>
      <w:r>
        <w:rPr>
          <w:rFonts w:ascii="Arial" w:cs="Arial" w:eastAsia="Arial" w:hAnsi="Arial"/>
          <w:sz w:val="16"/>
          <w:szCs w:val="16"/>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42" w:lineRule="exact"/>
        <w:rPr>
          <w:rFonts w:ascii="Arial" w:cs="Arial" w:eastAsia="Arial" w:hAnsi="Arial"/>
          <w:sz w:val="16"/>
          <w:szCs w:val="16"/>
          <w:b w:val="1"/>
          <w:bCs w:val="1"/>
          <w:color w:val="auto"/>
        </w:rPr>
      </w:pPr>
    </w:p>
    <w:p>
      <w:pPr>
        <w:ind w:left="1173" w:hanging="317"/>
        <w:spacing w:after="0"/>
        <w:tabs>
          <w:tab w:leader="none" w:pos="1173" w:val="left"/>
        </w:tabs>
        <w:numPr>
          <w:ilvl w:val="2"/>
          <w:numId w:val="263"/>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154"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73"/>
          </w:cols>
          <w:pgMar w:left="487" w:top="268" w:right="539" w:bottom="1440" w:gutter="0" w:footer="0" w:header="0"/>
        </w:sectPr>
      </w:pPr>
    </w:p>
    <w:bookmarkStart w:id="345" w:name="page346"/>
    <w:bookmarkEnd w:id="345"/>
    <w:p>
      <w:pPr>
        <w:ind w:right="240" w:firstLine="423"/>
        <w:spacing w:after="0" w:line="335" w:lineRule="auto"/>
        <w:tabs>
          <w:tab w:leader="none" w:pos="721" w:val="left"/>
        </w:tabs>
        <w:numPr>
          <w:ilvl w:val="0"/>
          <w:numId w:val="26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21" w:lineRule="exact"/>
        <w:rPr>
          <w:rFonts w:ascii="Arial" w:cs="Arial" w:eastAsia="Arial" w:hAnsi="Arial"/>
          <w:sz w:val="16"/>
          <w:szCs w:val="16"/>
          <w:b w:val="1"/>
          <w:bCs w:val="1"/>
          <w:color w:val="auto"/>
        </w:rPr>
      </w:pPr>
    </w:p>
    <w:p>
      <w:pPr>
        <w:jc w:val="both"/>
        <w:ind w:firstLine="423"/>
        <w:spacing w:after="0" w:line="275" w:lineRule="auto"/>
        <w:tabs>
          <w:tab w:leader="none" w:pos="671" w:val="left"/>
        </w:tabs>
        <w:numPr>
          <w:ilvl w:val="0"/>
          <w:numId w:val="264"/>
        </w:numPr>
        <w:rPr>
          <w:rFonts w:ascii="Arial" w:cs="Arial" w:eastAsia="Arial" w:hAnsi="Arial"/>
          <w:sz w:val="17"/>
          <w:szCs w:val="17"/>
          <w:b w:val="1"/>
          <w:bCs w:val="1"/>
          <w:color w:val="auto"/>
        </w:rPr>
      </w:pPr>
      <w:r>
        <w:rPr>
          <w:rFonts w:ascii="Arial" w:cs="Arial" w:eastAsia="Arial" w:hAnsi="Arial"/>
          <w:sz w:val="17"/>
          <w:szCs w:val="17"/>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66" w:lineRule="exact"/>
        <w:rPr>
          <w:rFonts w:ascii="Arial" w:cs="Arial" w:eastAsia="Arial" w:hAnsi="Arial"/>
          <w:sz w:val="17"/>
          <w:szCs w:val="17"/>
          <w:b w:val="1"/>
          <w:bCs w:val="1"/>
          <w:color w:val="auto"/>
        </w:rPr>
      </w:pPr>
    </w:p>
    <w:p>
      <w:pPr>
        <w:ind w:right="280" w:firstLine="423"/>
        <w:spacing w:after="0" w:line="271" w:lineRule="auto"/>
        <w:tabs>
          <w:tab w:leader="none" w:pos="721"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67" w:lineRule="exact"/>
        <w:rPr>
          <w:rFonts w:ascii="Arial" w:cs="Arial" w:eastAsia="Arial" w:hAnsi="Arial"/>
          <w:sz w:val="18"/>
          <w:szCs w:val="18"/>
          <w:b w:val="1"/>
          <w:bCs w:val="1"/>
          <w:color w:val="auto"/>
        </w:rPr>
      </w:pPr>
    </w:p>
    <w:p>
      <w:pPr>
        <w:ind w:firstLine="423"/>
        <w:spacing w:after="0" w:line="255" w:lineRule="auto"/>
        <w:tabs>
          <w:tab w:leader="none" w:pos="77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To amend the Plan in any respect the Board deems necessary or advisable; provided, 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83" w:lineRule="exact"/>
        <w:rPr>
          <w:rFonts w:ascii="Arial" w:cs="Arial" w:eastAsia="Arial" w:hAnsi="Arial"/>
          <w:sz w:val="18"/>
          <w:szCs w:val="18"/>
          <w:b w:val="1"/>
          <w:bCs w:val="1"/>
          <w:color w:val="auto"/>
        </w:rPr>
      </w:pPr>
    </w:p>
    <w:p>
      <w:pPr>
        <w:ind w:left="820" w:hanging="397"/>
        <w:spacing w:after="0"/>
        <w:tabs>
          <w:tab w:leader="none" w:pos="82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w:t>
      </w:r>
    </w:p>
    <w:p>
      <w:pPr>
        <w:spacing w:after="0" w:line="113" w:lineRule="exact"/>
        <w:rPr>
          <w:rFonts w:ascii="Arial" w:cs="Arial" w:eastAsia="Arial" w:hAnsi="Arial"/>
          <w:sz w:val="18"/>
          <w:szCs w:val="18"/>
          <w:b w:val="1"/>
          <w:bCs w:val="1"/>
          <w:color w:val="auto"/>
        </w:rPr>
      </w:pPr>
    </w:p>
    <w:p>
      <w:pPr>
        <w:ind w:right="180" w:firstLine="423"/>
        <w:spacing w:after="0" w:line="253" w:lineRule="auto"/>
        <w:tabs>
          <w:tab w:leader="none" w:pos="721"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Participant’s rights under any Award will not be Materially Impaired by any such amendment unless (1) the Company requests the consent of the affected Participant, and (2) such Participant consents in writing.</w:t>
      </w:r>
    </w:p>
    <w:p>
      <w:pPr>
        <w:spacing w:after="0" w:line="85" w:lineRule="exact"/>
        <w:rPr>
          <w:rFonts w:ascii="Arial" w:cs="Arial" w:eastAsia="Arial" w:hAnsi="Arial"/>
          <w:sz w:val="18"/>
          <w:szCs w:val="18"/>
          <w:b w:val="1"/>
          <w:bCs w:val="1"/>
          <w:color w:val="auto"/>
        </w:rPr>
      </w:pPr>
    </w:p>
    <w:p>
      <w:pPr>
        <w:ind w:right="140" w:firstLine="423"/>
        <w:spacing w:after="0" w:line="271" w:lineRule="auto"/>
        <w:tabs>
          <w:tab w:leader="none" w:pos="671"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67" w:lineRule="exact"/>
        <w:rPr>
          <w:rFonts w:ascii="Arial" w:cs="Arial" w:eastAsia="Arial" w:hAnsi="Arial"/>
          <w:sz w:val="18"/>
          <w:szCs w:val="18"/>
          <w:b w:val="1"/>
          <w:bCs w:val="1"/>
          <w:color w:val="auto"/>
        </w:rPr>
      </w:pPr>
    </w:p>
    <w:p>
      <w:pPr>
        <w:ind w:firstLine="423"/>
        <w:spacing w:after="0" w:line="255" w:lineRule="auto"/>
        <w:tabs>
          <w:tab w:leader="none" w:pos="721"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83" w:lineRule="exact"/>
        <w:rPr>
          <w:rFonts w:ascii="Arial" w:cs="Arial" w:eastAsia="Arial" w:hAnsi="Arial"/>
          <w:sz w:val="18"/>
          <w:szCs w:val="18"/>
          <w:b w:val="1"/>
          <w:bCs w:val="1"/>
          <w:color w:val="auto"/>
        </w:rPr>
      </w:pPr>
    </w:p>
    <w:p>
      <w:pPr>
        <w:ind w:right="20" w:firstLine="423"/>
        <w:spacing w:after="0" w:line="293" w:lineRule="auto"/>
        <w:tabs>
          <w:tab w:leader="none" w:pos="770" w:val="left"/>
        </w:tabs>
        <w:numPr>
          <w:ilvl w:val="0"/>
          <w:numId w:val="264"/>
        </w:numPr>
        <w:rPr>
          <w:rFonts w:ascii="Arial" w:cs="Arial" w:eastAsia="Arial" w:hAnsi="Arial"/>
          <w:sz w:val="16"/>
          <w:szCs w:val="16"/>
          <w:b w:val="1"/>
          <w:bCs w:val="1"/>
          <w:color w:val="auto"/>
        </w:rPr>
      </w:pPr>
      <w:r>
        <w:rPr>
          <w:rFonts w:ascii="Arial" w:cs="Arial" w:eastAsia="Arial" w:hAnsi="Arial"/>
          <w:sz w:val="16"/>
          <w:szCs w:val="16"/>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9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40"/>
          </w:cols>
          <w:pgMar w:left="920" w:top="272" w:right="539" w:bottom="1440" w:gutter="0" w:footer="0" w:header="0"/>
        </w:sectPr>
      </w:pPr>
    </w:p>
    <w:bookmarkStart w:id="346" w:name="page347"/>
    <w:bookmarkEnd w:id="346"/>
    <w:p>
      <w:pPr>
        <w:ind w:left="680" w:hanging="236"/>
        <w:spacing w:after="0"/>
        <w:tabs>
          <w:tab w:leader="none" w:pos="680" w:val="left"/>
        </w:tabs>
        <w:numPr>
          <w:ilvl w:val="1"/>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Delegation to Committee.</w:t>
      </w:r>
    </w:p>
    <w:p>
      <w:pPr>
        <w:spacing w:after="0" w:line="113" w:lineRule="exact"/>
        <w:rPr>
          <w:rFonts w:ascii="Arial" w:cs="Arial" w:eastAsia="Arial" w:hAnsi="Arial"/>
          <w:sz w:val="18"/>
          <w:szCs w:val="18"/>
          <w:b w:val="1"/>
          <w:bCs w:val="1"/>
          <w:color w:val="auto"/>
        </w:rPr>
      </w:pPr>
    </w:p>
    <w:p>
      <w:pPr>
        <w:ind w:left="440" w:right="20" w:firstLine="423"/>
        <w:spacing w:after="0" w:line="268" w:lineRule="auto"/>
        <w:tabs>
          <w:tab w:leader="none" w:pos="1072" w:val="left"/>
        </w:tabs>
        <w:numPr>
          <w:ilvl w:val="2"/>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 Board may delegate some or all of the administration of the Plan to a Committee or Committees. If administration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68" w:lineRule="exact"/>
        <w:rPr>
          <w:rFonts w:ascii="Arial" w:cs="Arial" w:eastAsia="Arial" w:hAnsi="Arial"/>
          <w:sz w:val="17"/>
          <w:szCs w:val="17"/>
          <w:b w:val="1"/>
          <w:bCs w:val="1"/>
          <w:color w:val="auto"/>
        </w:rPr>
      </w:pPr>
    </w:p>
    <w:p>
      <w:pPr>
        <w:ind w:left="440" w:firstLine="423"/>
        <w:spacing w:after="0" w:line="255" w:lineRule="auto"/>
        <w:tabs>
          <w:tab w:leader="none" w:pos="1121" w:val="left"/>
        </w:tabs>
        <w:numPr>
          <w:ilvl w:val="2"/>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 16b-3 Compliance. </w:t>
      </w:r>
      <w:r>
        <w:rPr>
          <w:rFonts w:ascii="Arial" w:cs="Arial" w:eastAsia="Arial" w:hAnsi="Arial"/>
          <w:sz w:val="18"/>
          <w:szCs w:val="18"/>
          <w:color w:val="auto"/>
        </w:rPr>
        <w:t>To the extent an Award is intended to qualify for the exemption from Section 16(b) of the Exchange Act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77" w:lineRule="exact"/>
        <w:rPr>
          <w:rFonts w:ascii="Arial" w:cs="Arial" w:eastAsia="Arial" w:hAnsi="Arial"/>
          <w:sz w:val="18"/>
          <w:szCs w:val="18"/>
          <w:b w:val="1"/>
          <w:bCs w:val="1"/>
          <w:color w:val="auto"/>
        </w:rPr>
      </w:pPr>
    </w:p>
    <w:p>
      <w:pPr>
        <w:ind w:right="100" w:firstLine="444"/>
        <w:spacing w:after="0" w:line="275" w:lineRule="auto"/>
        <w:tabs>
          <w:tab w:leader="none" w:pos="699" w:val="left"/>
        </w:tabs>
        <w:numPr>
          <w:ilvl w:val="1"/>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or any Committee in good faith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review by any person and will be final, binding and conclusive on all persons.</w:t>
      </w:r>
    </w:p>
    <w:p>
      <w:pPr>
        <w:spacing w:after="0" w:line="60" w:lineRule="exact"/>
        <w:rPr>
          <w:rFonts w:ascii="Arial" w:cs="Arial" w:eastAsia="Arial" w:hAnsi="Arial"/>
          <w:sz w:val="18"/>
          <w:szCs w:val="18"/>
          <w:b w:val="1"/>
          <w:bCs w:val="1"/>
          <w:color w:val="auto"/>
        </w:rPr>
      </w:pPr>
    </w:p>
    <w:p>
      <w:pPr>
        <w:ind w:left="680" w:hanging="236"/>
        <w:spacing w:after="0"/>
        <w:tabs>
          <w:tab w:leader="none" w:pos="680" w:val="left"/>
        </w:tabs>
        <w:numPr>
          <w:ilvl w:val="1"/>
          <w:numId w:val="2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an Officer. </w:t>
      </w:r>
      <w:r>
        <w:rPr>
          <w:rFonts w:ascii="Arial" w:cs="Arial" w:eastAsia="Arial" w:hAnsi="Arial"/>
          <w:sz w:val="16"/>
          <w:szCs w:val="16"/>
          <w:color w:val="auto"/>
        </w:rPr>
        <w:t>The Board or any Committee may delegate to one or more Officers the authority to do one or both of the following</w:t>
      </w:r>
    </w:p>
    <w:p>
      <w:pPr>
        <w:spacing w:after="0" w:line="46" w:lineRule="exact"/>
        <w:rPr>
          <w:rFonts w:ascii="Arial" w:cs="Arial" w:eastAsia="Arial" w:hAnsi="Arial"/>
          <w:sz w:val="16"/>
          <w:szCs w:val="16"/>
          <w:b w:val="1"/>
          <w:bCs w:val="1"/>
          <w:color w:val="auto"/>
        </w:rPr>
      </w:pPr>
    </w:p>
    <w:p>
      <w:pPr>
        <w:ind w:left="220" w:hanging="213"/>
        <w:spacing w:after="0"/>
        <w:tabs>
          <w:tab w:leader="none" w:pos="22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designate Employees who are not Officers to be recipients of Options and SARs (and, to the extent permitted by Applicable Law, other types of</w:t>
      </w:r>
    </w:p>
    <w:p>
      <w:pPr>
        <w:spacing w:after="0" w:line="29" w:lineRule="exact"/>
        <w:rPr>
          <w:rFonts w:ascii="Arial" w:cs="Arial" w:eastAsia="Arial" w:hAnsi="Arial"/>
          <w:sz w:val="16"/>
          <w:szCs w:val="16"/>
          <w:color w:val="auto"/>
        </w:rPr>
      </w:pPr>
    </w:p>
    <w:p>
      <w:pPr>
        <w:ind w:right="60"/>
        <w:spacing w:after="0" w:line="266" w:lineRule="auto"/>
        <w:rPr>
          <w:rFonts w:ascii="Arial" w:cs="Arial" w:eastAsia="Arial" w:hAnsi="Arial"/>
          <w:sz w:val="16"/>
          <w:szCs w:val="16"/>
          <w:color w:val="auto"/>
        </w:rPr>
      </w:pPr>
      <w:r>
        <w:rPr>
          <w:rFonts w:ascii="Arial" w:cs="Arial" w:eastAsia="Arial" w:hAnsi="Arial"/>
          <w:sz w:val="17"/>
          <w:szCs w:val="17"/>
          <w:color w:val="auto"/>
        </w:rPr>
        <w:t>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480" w:top="268" w:right="519" w:bottom="1440" w:gutter="0" w:footer="0" w:header="0"/>
        </w:sectPr>
      </w:pPr>
    </w:p>
    <w:bookmarkStart w:id="347" w:name="page348"/>
    <w:bookmarkEnd w:id="347"/>
    <w:p>
      <w:pPr>
        <w:ind w:left="180" w:hanging="173"/>
        <w:spacing w:after="0"/>
        <w:tabs>
          <w:tab w:leader="none" w:pos="18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w:t>
      </w:r>
    </w:p>
    <w:p>
      <w:pPr>
        <w:spacing w:after="0" w:line="113" w:lineRule="exact"/>
        <w:rPr>
          <w:rFonts w:ascii="Arial" w:cs="Arial" w:eastAsia="Arial" w:hAnsi="Arial"/>
          <w:sz w:val="18"/>
          <w:szCs w:val="18"/>
          <w:b w:val="1"/>
          <w:bCs w:val="1"/>
          <w:color w:val="auto"/>
        </w:rPr>
      </w:pPr>
    </w:p>
    <w:p>
      <w:pPr>
        <w:ind w:right="20" w:firstLine="444"/>
        <w:spacing w:after="0" w:line="253" w:lineRule="auto"/>
        <w:tabs>
          <w:tab w:leader="none" w:pos="689" w:val="left"/>
        </w:tabs>
        <w:numPr>
          <w:ilvl w:val="1"/>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Authorization. </w:t>
      </w:r>
      <w:r>
        <w:rPr>
          <w:rFonts w:ascii="Arial" w:cs="Arial" w:eastAsia="Arial" w:hAnsi="Arial"/>
          <w:sz w:val="18"/>
          <w:szCs w:val="18"/>
          <w:color w:val="auto"/>
        </w:rPr>
        <w:t>As a condition to acceptance of any Award under the Plan, a Participant authorizes withholding from payroll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81" w:lineRule="exact"/>
        <w:rPr>
          <w:rFonts w:ascii="Arial" w:cs="Arial" w:eastAsia="Arial" w:hAnsi="Arial"/>
          <w:sz w:val="18"/>
          <w:szCs w:val="18"/>
          <w:b w:val="1"/>
          <w:bCs w:val="1"/>
          <w:color w:val="auto"/>
        </w:rPr>
      </w:pPr>
    </w:p>
    <w:p>
      <w:pPr>
        <w:ind w:left="700" w:hanging="256"/>
        <w:spacing w:after="0"/>
        <w:tabs>
          <w:tab w:leader="none" w:pos="700" w:val="left"/>
        </w:tabs>
        <w:numPr>
          <w:ilvl w:val="1"/>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Satisfaction of Withholding Obligation. </w:t>
      </w:r>
      <w:r>
        <w:rPr>
          <w:rFonts w:ascii="Arial" w:cs="Arial" w:eastAsia="Arial" w:hAnsi="Arial"/>
          <w:sz w:val="17"/>
          <w:szCs w:val="17"/>
          <w:color w:val="auto"/>
        </w:rPr>
        <w:t>To the extent permitted by the terms of an Award Agreement, the Company may, in its sole</w:t>
      </w:r>
    </w:p>
    <w:p>
      <w:pPr>
        <w:spacing w:after="0" w:line="35" w:lineRule="exact"/>
        <w:rPr>
          <w:rFonts w:ascii="Arial" w:cs="Arial" w:eastAsia="Arial" w:hAnsi="Arial"/>
          <w:sz w:val="17"/>
          <w:szCs w:val="17"/>
          <w:b w:val="1"/>
          <w:bCs w:val="1"/>
          <w:color w:val="auto"/>
        </w:rPr>
      </w:pPr>
    </w:p>
    <w:p>
      <w:pPr>
        <w:spacing w:after="0" w:line="249" w:lineRule="auto"/>
        <w:rPr>
          <w:rFonts w:ascii="Arial" w:cs="Arial" w:eastAsia="Arial" w:hAnsi="Arial"/>
          <w:sz w:val="17"/>
          <w:szCs w:val="17"/>
          <w:b w:val="1"/>
          <w:bCs w:val="1"/>
          <w:color w:val="auto"/>
        </w:rPr>
      </w:pPr>
      <w:r>
        <w:rPr>
          <w:rFonts w:ascii="Arial" w:cs="Arial" w:eastAsia="Arial" w:hAnsi="Arial"/>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85" w:lineRule="exact"/>
        <w:rPr>
          <w:rFonts w:ascii="Arial" w:cs="Arial" w:eastAsia="Arial" w:hAnsi="Arial"/>
          <w:sz w:val="17"/>
          <w:szCs w:val="17"/>
          <w:b w:val="1"/>
          <w:bCs w:val="1"/>
          <w:color w:val="auto"/>
        </w:rPr>
      </w:pPr>
    </w:p>
    <w:p>
      <w:pPr>
        <w:ind w:right="40" w:firstLine="444"/>
        <w:spacing w:after="0" w:line="283" w:lineRule="auto"/>
        <w:tabs>
          <w:tab w:leader="none" w:pos="679" w:val="left"/>
        </w:tabs>
        <w:numPr>
          <w:ilvl w:val="1"/>
          <w:numId w:val="2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Obligation to Notify or Minimize Taxes; No Liability to Claims. </w:t>
      </w:r>
      <w:r>
        <w:rPr>
          <w:rFonts w:ascii="Arial" w:cs="Arial" w:eastAsia="Arial" w:hAnsi="Arial"/>
          <w:sz w:val="16"/>
          <w:szCs w:val="16"/>
          <w:color w:val="auto"/>
        </w:rPr>
        <w:t>Except as required by Applicable Law the Company has no duty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80" w:top="268" w:right="499" w:bottom="1440" w:gutter="0" w:footer="0" w:header="0"/>
        </w:sectPr>
      </w:pPr>
    </w:p>
    <w:bookmarkStart w:id="348" w:name="page349"/>
    <w:bookmarkEnd w:id="348"/>
    <w:p>
      <w:pPr>
        <w:ind w:left="-7" w:firstLine="444"/>
        <w:spacing w:after="0" w:line="257" w:lineRule="auto"/>
        <w:tabs>
          <w:tab w:leader="none" w:pos="691" w:val="left"/>
        </w:tabs>
        <w:numPr>
          <w:ilvl w:val="1"/>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Withholding Indemnification. </w:t>
      </w:r>
      <w:r>
        <w:rPr>
          <w:rFonts w:ascii="Arial" w:cs="Arial" w:eastAsia="Arial" w:hAnsi="Arial"/>
          <w:sz w:val="18"/>
          <w:szCs w:val="18"/>
          <w:color w:val="auto"/>
        </w:rPr>
        <w:t>As a condition to accepting an Award under the Plan, in the event that the amount of the Company’s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290" w:lineRule="exact"/>
        <w:rPr>
          <w:rFonts w:ascii="Arial" w:cs="Arial" w:eastAsia="Arial" w:hAnsi="Arial"/>
          <w:sz w:val="18"/>
          <w:szCs w:val="18"/>
          <w:b w:val="1"/>
          <w:bCs w:val="1"/>
          <w:color w:val="auto"/>
        </w:rPr>
      </w:pPr>
    </w:p>
    <w:p>
      <w:pPr>
        <w:ind w:left="173" w:hanging="173"/>
        <w:spacing w:after="0"/>
        <w:tabs>
          <w:tab w:leader="none" w:pos="173"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b w:val="1"/>
          <w:bCs w:val="1"/>
          <w:color w:val="auto"/>
        </w:rPr>
      </w:pPr>
    </w:p>
    <w:p>
      <w:pPr>
        <w:ind w:left="-7" w:right="60" w:firstLine="444"/>
        <w:spacing w:after="0" w:line="275" w:lineRule="auto"/>
        <w:tabs>
          <w:tab w:leader="none" w:pos="681"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60" w:lineRule="exact"/>
        <w:rPr>
          <w:rFonts w:ascii="Arial" w:cs="Arial" w:eastAsia="Arial" w:hAnsi="Arial"/>
          <w:sz w:val="18"/>
          <w:szCs w:val="18"/>
          <w:b w:val="1"/>
          <w:bCs w:val="1"/>
          <w:color w:val="auto"/>
        </w:rPr>
      </w:pPr>
    </w:p>
    <w:p>
      <w:pPr>
        <w:ind w:left="-7" w:right="480" w:firstLine="444"/>
        <w:spacing w:after="0" w:line="275" w:lineRule="auto"/>
        <w:tabs>
          <w:tab w:leader="none" w:pos="691"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Awards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60" w:lineRule="exact"/>
        <w:rPr>
          <w:rFonts w:ascii="Arial" w:cs="Arial" w:eastAsia="Arial" w:hAnsi="Arial"/>
          <w:sz w:val="18"/>
          <w:szCs w:val="18"/>
          <w:b w:val="1"/>
          <w:bCs w:val="1"/>
          <w:color w:val="auto"/>
        </w:rPr>
      </w:pPr>
    </w:p>
    <w:p>
      <w:pPr>
        <w:ind w:left="-7" w:right="40" w:firstLine="444"/>
        <w:spacing w:after="0" w:line="269" w:lineRule="auto"/>
        <w:tabs>
          <w:tab w:leader="none" w:pos="671" w:val="left"/>
        </w:tabs>
        <w:numPr>
          <w:ilvl w:val="1"/>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Action Constituting Grant of Awards. </w:t>
      </w:r>
      <w:r>
        <w:rPr>
          <w:rFonts w:ascii="Arial" w:cs="Arial" w:eastAsia="Arial" w:hAnsi="Arial"/>
          <w:sz w:val="17"/>
          <w:szCs w:val="17"/>
          <w:color w:val="auto"/>
        </w:rPr>
        <w:t>Corporate action constituting a grant by the Company of an Award to any Participant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71" w:lineRule="exact"/>
        <w:rPr>
          <w:rFonts w:ascii="Arial" w:cs="Arial" w:eastAsia="Arial" w:hAnsi="Arial"/>
          <w:sz w:val="17"/>
          <w:szCs w:val="17"/>
          <w:b w:val="1"/>
          <w:bCs w:val="1"/>
          <w:color w:val="auto"/>
        </w:rPr>
      </w:pPr>
    </w:p>
    <w:p>
      <w:pPr>
        <w:ind w:left="-7" w:right="40" w:firstLine="444"/>
        <w:spacing w:after="0" w:line="284" w:lineRule="auto"/>
        <w:tabs>
          <w:tab w:leader="none" w:pos="691" w:val="left"/>
        </w:tabs>
        <w:numPr>
          <w:ilvl w:val="1"/>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 Rights. </w:t>
      </w:r>
      <w:r>
        <w:rPr>
          <w:rFonts w:ascii="Arial" w:cs="Arial" w:eastAsia="Arial" w:hAnsi="Arial"/>
          <w:sz w:val="17"/>
          <w:szCs w:val="17"/>
          <w:color w:val="auto"/>
        </w:rPr>
        <w:t>No Participant will be deemed to be the holder of, or to have any of the rights of a holder with respect to, any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55" w:lineRule="exact"/>
        <w:rPr>
          <w:rFonts w:ascii="Arial" w:cs="Arial" w:eastAsia="Arial" w:hAnsi="Arial"/>
          <w:sz w:val="17"/>
          <w:szCs w:val="17"/>
          <w:b w:val="1"/>
          <w:bCs w:val="1"/>
          <w:color w:val="auto"/>
        </w:rPr>
      </w:pPr>
    </w:p>
    <w:p>
      <w:pPr>
        <w:ind w:left="-7" w:right="20" w:firstLine="444"/>
        <w:spacing w:after="0" w:line="267" w:lineRule="auto"/>
        <w:tabs>
          <w:tab w:leader="none" w:pos="671" w:val="left"/>
        </w:tabs>
        <w:numPr>
          <w:ilvl w:val="1"/>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or Other Service Rights. </w:t>
      </w:r>
      <w:r>
        <w:rPr>
          <w:rFonts w:ascii="Arial" w:cs="Arial" w:eastAsia="Arial" w:hAnsi="Arial"/>
          <w:sz w:val="17"/>
          <w:szCs w:val="17"/>
          <w:color w:val="auto"/>
        </w:rPr>
        <w:t>Nothing in the Plan, any Award Agreement or any other instrument executed thereunder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13"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53"/>
          </w:cols>
          <w:pgMar w:left="487" w:top="268" w:right="559" w:bottom="1440" w:gutter="0" w:footer="0" w:header="0"/>
        </w:sectPr>
      </w:pPr>
    </w:p>
    <w:bookmarkStart w:id="349" w:name="page350"/>
    <w:bookmarkEnd w:id="349"/>
    <w:p>
      <w:pPr>
        <w:ind w:left="-20" w:right="80" w:firstLine="444"/>
        <w:spacing w:after="0" w:line="289" w:lineRule="auto"/>
        <w:tabs>
          <w:tab w:leader="none" w:pos="639" w:val="left"/>
        </w:tabs>
        <w:numPr>
          <w:ilvl w:val="0"/>
          <w:numId w:val="27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Change in Time Commitment. </w:t>
      </w:r>
      <w:r>
        <w:rPr>
          <w:rFonts w:ascii="Arial" w:cs="Arial" w:eastAsia="Arial" w:hAnsi="Arial"/>
          <w:sz w:val="16"/>
          <w:szCs w:val="16"/>
          <w:color w:val="auto"/>
        </w:rPr>
        <w:t>In the event a Participant’s regular level of time commitment in the performance of his or her services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54" w:lineRule="exact"/>
        <w:rPr>
          <w:rFonts w:ascii="Arial" w:cs="Arial" w:eastAsia="Arial" w:hAnsi="Arial"/>
          <w:sz w:val="16"/>
          <w:szCs w:val="16"/>
          <w:b w:val="1"/>
          <w:bCs w:val="1"/>
          <w:color w:val="auto"/>
        </w:rPr>
      </w:pPr>
    </w:p>
    <w:p>
      <w:pPr>
        <w:ind w:left="-20" w:right="200" w:firstLine="444"/>
        <w:spacing w:after="0" w:line="309" w:lineRule="auto"/>
        <w:tabs>
          <w:tab w:leader="none" w:pos="669" w:val="left"/>
        </w:tabs>
        <w:numPr>
          <w:ilvl w:val="0"/>
          <w:numId w:val="2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Execution of Additional Documents. </w:t>
      </w:r>
      <w:r>
        <w:rPr>
          <w:rFonts w:ascii="Arial" w:cs="Arial" w:eastAsia="Arial" w:hAnsi="Arial"/>
          <w:sz w:val="16"/>
          <w:szCs w:val="16"/>
          <w:color w:val="auto"/>
        </w:rPr>
        <w:t>As a condition to accepting an Award under the Plan, the Participant agrees to execute any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38" w:lineRule="exact"/>
        <w:rPr>
          <w:rFonts w:ascii="Arial" w:cs="Arial" w:eastAsia="Arial" w:hAnsi="Arial"/>
          <w:sz w:val="16"/>
          <w:szCs w:val="16"/>
          <w:b w:val="1"/>
          <w:bCs w:val="1"/>
          <w:color w:val="auto"/>
        </w:rPr>
      </w:pPr>
    </w:p>
    <w:p>
      <w:pPr>
        <w:ind w:left="-20" w:right="80" w:firstLine="444"/>
        <w:spacing w:after="0" w:line="271" w:lineRule="auto"/>
        <w:tabs>
          <w:tab w:leader="none" w:pos="679"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Electronic Delivery and Participation. </w:t>
      </w:r>
      <w:r>
        <w:rPr>
          <w:rFonts w:ascii="Arial" w:cs="Arial" w:eastAsia="Arial" w:hAnsi="Arial"/>
          <w:sz w:val="17"/>
          <w:szCs w:val="17"/>
          <w:color w:val="auto"/>
        </w:rPr>
        <w:t>Any reference herein or in an Award Agreement to a “written” agreement or document will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66" w:lineRule="exact"/>
        <w:rPr>
          <w:rFonts w:ascii="Arial" w:cs="Arial" w:eastAsia="Arial" w:hAnsi="Arial"/>
          <w:sz w:val="17"/>
          <w:szCs w:val="17"/>
          <w:b w:val="1"/>
          <w:bCs w:val="1"/>
          <w:color w:val="auto"/>
        </w:rPr>
      </w:pPr>
    </w:p>
    <w:p>
      <w:pPr>
        <w:ind w:left="-20" w:firstLine="444"/>
        <w:spacing w:after="0" w:line="287" w:lineRule="auto"/>
        <w:tabs>
          <w:tab w:leader="none" w:pos="629" w:val="left"/>
        </w:tabs>
        <w:numPr>
          <w:ilvl w:val="0"/>
          <w:numId w:val="2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Clawback/Recovery. </w:t>
      </w:r>
      <w:r>
        <w:rPr>
          <w:rFonts w:ascii="Arial" w:cs="Arial" w:eastAsia="Arial" w:hAnsi="Arial"/>
          <w:sz w:val="16"/>
          <w:szCs w:val="16"/>
          <w:color w:val="auto"/>
        </w:rPr>
        <w:t>All Awards granted under the Plan will be subject to recoupment in accordance with any clawback policy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80"/>
          </w:cols>
          <w:pgMar w:left="500" w:top="268" w:right="519" w:bottom="1440" w:gutter="0" w:footer="0" w:header="0"/>
        </w:sectPr>
      </w:pPr>
    </w:p>
    <w:bookmarkStart w:id="350" w:name="page351"/>
    <w:bookmarkEnd w:id="350"/>
    <w:p>
      <w:pPr>
        <w:ind w:left="-40" w:firstLine="444"/>
        <w:spacing w:after="0" w:line="257" w:lineRule="auto"/>
        <w:tabs>
          <w:tab w:leader="none" w:pos="619"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Securities Law Compliance. </w:t>
      </w:r>
      <w:r>
        <w:rPr>
          <w:rFonts w:ascii="Arial" w:cs="Arial" w:eastAsia="Arial" w:hAnsi="Arial"/>
          <w:sz w:val="18"/>
          <w:szCs w:val="18"/>
          <w:color w:val="auto"/>
        </w:rPr>
        <w:t>A Participant will not be issued any shares in respect of an Award unless either (i) the shares are registered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76" w:lineRule="exact"/>
        <w:rPr>
          <w:rFonts w:ascii="Arial" w:cs="Arial" w:eastAsia="Arial" w:hAnsi="Arial"/>
          <w:sz w:val="18"/>
          <w:szCs w:val="18"/>
          <w:b w:val="1"/>
          <w:bCs w:val="1"/>
          <w:color w:val="auto"/>
        </w:rPr>
      </w:pPr>
    </w:p>
    <w:p>
      <w:pPr>
        <w:ind w:left="-40" w:firstLine="444"/>
        <w:spacing w:after="0" w:line="255" w:lineRule="auto"/>
        <w:tabs>
          <w:tab w:leader="none" w:pos="659"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or Assignment of Awards; Issued Shares. </w:t>
      </w:r>
      <w:r>
        <w:rPr>
          <w:rFonts w:ascii="Arial" w:cs="Arial" w:eastAsia="Arial" w:hAnsi="Arial"/>
          <w:sz w:val="18"/>
          <w:szCs w:val="18"/>
          <w:color w:val="auto"/>
        </w:rPr>
        <w:t>Except as expressly provided in the Plan or the form of Award Agreement, Awards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77" w:lineRule="exact"/>
        <w:rPr>
          <w:rFonts w:ascii="Arial" w:cs="Arial" w:eastAsia="Arial" w:hAnsi="Arial"/>
          <w:sz w:val="18"/>
          <w:szCs w:val="18"/>
          <w:b w:val="1"/>
          <w:bCs w:val="1"/>
          <w:color w:val="auto"/>
        </w:rPr>
      </w:pPr>
    </w:p>
    <w:p>
      <w:pPr>
        <w:jc w:val="both"/>
        <w:ind w:left="-40" w:right="20" w:firstLine="444"/>
        <w:spacing w:after="0" w:line="277" w:lineRule="auto"/>
        <w:tabs>
          <w:tab w:leader="none" w:pos="609" w:val="left"/>
        </w:tabs>
        <w:numPr>
          <w:ilvl w:val="0"/>
          <w:numId w:val="27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 on Other Employee Benefit Plans. </w:t>
      </w:r>
      <w:r>
        <w:rPr>
          <w:rFonts w:ascii="Arial" w:cs="Arial" w:eastAsia="Arial" w:hAnsi="Arial"/>
          <w:sz w:val="17"/>
          <w:szCs w:val="17"/>
          <w:color w:val="auto"/>
        </w:rPr>
        <w:t>The value of any Award granted under the Plan, as determined upon grant, vesting or settlement,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60" w:lineRule="exact"/>
        <w:rPr>
          <w:rFonts w:ascii="Arial" w:cs="Arial" w:eastAsia="Arial" w:hAnsi="Arial"/>
          <w:sz w:val="17"/>
          <w:szCs w:val="17"/>
          <w:b w:val="1"/>
          <w:bCs w:val="1"/>
          <w:color w:val="auto"/>
        </w:rPr>
      </w:pPr>
    </w:p>
    <w:p>
      <w:pPr>
        <w:ind w:left="-40" w:right="60" w:firstLine="444"/>
        <w:spacing w:after="0" w:line="309" w:lineRule="auto"/>
        <w:tabs>
          <w:tab w:leader="none" w:pos="708" w:val="left"/>
        </w:tabs>
        <w:numPr>
          <w:ilvl w:val="0"/>
          <w:numId w:val="2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 that the delivery of Common Stock or</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38" w:lineRule="exact"/>
        <w:rPr>
          <w:rFonts w:ascii="Arial" w:cs="Arial" w:eastAsia="Arial" w:hAnsi="Arial"/>
          <w:sz w:val="16"/>
          <w:szCs w:val="16"/>
          <w:b w:val="1"/>
          <w:bCs w:val="1"/>
          <w:color w:val="auto"/>
        </w:rPr>
      </w:pPr>
    </w:p>
    <w:p>
      <w:pPr>
        <w:ind w:left="-40" w:right="20" w:firstLine="444"/>
        <w:spacing w:after="0" w:line="284" w:lineRule="auto"/>
        <w:tabs>
          <w:tab w:leader="none" w:pos="659" w:val="left"/>
        </w:tabs>
        <w:numPr>
          <w:ilvl w:val="0"/>
          <w:numId w:val="2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Unless otherwise expressly provided for in an Award Agreement, the Plan and Award Agreements will be interpreted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40"/>
          </w:cols>
          <w:pgMar w:left="520" w:top="268" w:right="539" w:bottom="1440" w:gutter="0" w:footer="0" w:header="0"/>
        </w:sectPr>
      </w:pPr>
    </w:p>
    <w:bookmarkStart w:id="351" w:name="page352"/>
    <w:bookmarkEnd w:id="351"/>
    <w:p>
      <w:pPr>
        <w:ind w:left="-7" w:firstLine="444"/>
        <w:spacing w:after="0" w:line="261" w:lineRule="auto"/>
        <w:tabs>
          <w:tab w:leader="none" w:pos="681" w:val="left"/>
        </w:tabs>
        <w:numPr>
          <w:ilvl w:val="1"/>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and any controversy arising out of or relating to this Plan shall be governed by, and construed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laws of the State of Delaware, without regard to conflict of law principles that would result in any application of any law other than the law of the State of Delaware.</w:t>
      </w:r>
    </w:p>
    <w:p>
      <w:pPr>
        <w:spacing w:after="0" w:line="287" w:lineRule="exact"/>
        <w:rPr>
          <w:rFonts w:ascii="Arial" w:cs="Arial" w:eastAsia="Arial" w:hAnsi="Arial"/>
          <w:sz w:val="18"/>
          <w:szCs w:val="18"/>
          <w:b w:val="1"/>
          <w:bCs w:val="1"/>
          <w:color w:val="auto"/>
        </w:rPr>
      </w:pPr>
    </w:p>
    <w:p>
      <w:pPr>
        <w:ind w:left="273" w:hanging="273"/>
        <w:spacing w:after="0"/>
        <w:tabs>
          <w:tab w:leader="none" w:pos="273"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b w:val="1"/>
          <w:bCs w:val="1"/>
          <w:color w:val="auto"/>
        </w:rPr>
      </w:pPr>
    </w:p>
    <w:p>
      <w:pPr>
        <w:ind w:left="-7" w:firstLine="444"/>
        <w:spacing w:after="0" w:line="287" w:lineRule="auto"/>
        <w:tabs>
          <w:tab w:leader="none" w:pos="681" w:val="left"/>
        </w:tabs>
        <w:numPr>
          <w:ilvl w:val="1"/>
          <w:numId w:val="2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w:t>
      </w:r>
      <w:r>
        <w:rPr>
          <w:rFonts w:ascii="Arial" w:cs="Arial" w:eastAsia="Arial" w:hAnsi="Arial"/>
          <w:sz w:val="16"/>
          <w:szCs w:val="16"/>
          <w:color w:val="auto"/>
        </w:rPr>
        <w:t>The Company will seek to obtain from each regulatory commission or agency, as may be deemed to be necessary,</w:t>
      </w:r>
      <w:r>
        <w:rPr>
          <w:rFonts w:ascii="Arial" w:cs="Arial" w:eastAsia="Arial" w:hAnsi="Arial"/>
          <w:sz w:val="16"/>
          <w:szCs w:val="16"/>
          <w:b w:val="1"/>
          <w:bCs w:val="1"/>
          <w:color w:val="auto"/>
        </w:rPr>
        <w:t xml:space="preserve"> </w:t>
      </w:r>
      <w:r>
        <w:rPr>
          <w:rFonts w:ascii="Arial" w:cs="Arial" w:eastAsia="Arial" w:hAnsi="Arial"/>
          <w:sz w:val="16"/>
          <w:szCs w:val="16"/>
          <w:color w:val="auto"/>
        </w:rPr>
        <w:t>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72" w:lineRule="exact"/>
        <w:rPr>
          <w:rFonts w:ascii="Arial" w:cs="Arial" w:eastAsia="Arial" w:hAnsi="Arial"/>
          <w:sz w:val="16"/>
          <w:szCs w:val="16"/>
          <w:b w:val="1"/>
          <w:bCs w:val="1"/>
          <w:color w:val="auto"/>
        </w:rPr>
      </w:pPr>
    </w:p>
    <w:p>
      <w:pPr>
        <w:ind w:left="253" w:hanging="253"/>
        <w:spacing w:after="0"/>
        <w:tabs>
          <w:tab w:leader="none" w:pos="253"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ULES FOR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409A.</w:t>
      </w:r>
    </w:p>
    <w:p>
      <w:pPr>
        <w:spacing w:after="0" w:line="113" w:lineRule="exact"/>
        <w:rPr>
          <w:rFonts w:ascii="Arial" w:cs="Arial" w:eastAsia="Arial" w:hAnsi="Arial"/>
          <w:sz w:val="18"/>
          <w:szCs w:val="18"/>
          <w:b w:val="1"/>
          <w:bCs w:val="1"/>
          <w:color w:val="auto"/>
        </w:rPr>
      </w:pPr>
    </w:p>
    <w:p>
      <w:pPr>
        <w:ind w:left="-7" w:firstLine="444"/>
        <w:spacing w:after="0" w:line="340" w:lineRule="auto"/>
        <w:tabs>
          <w:tab w:leader="none" w:pos="681" w:val="left"/>
        </w:tabs>
        <w:numPr>
          <w:ilvl w:val="1"/>
          <w:numId w:val="2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Application. </w:t>
      </w:r>
      <w:r>
        <w:rPr>
          <w:rFonts w:ascii="Arial" w:cs="Arial" w:eastAsia="Arial" w:hAnsi="Arial"/>
          <w:sz w:val="16"/>
          <w:szCs w:val="16"/>
          <w:color w:val="auto"/>
        </w:rPr>
        <w:t>Unless the provisions of this Section of the Plan are expressly superseded by the provisions in the form of Award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Section shall apply and shall supersede anything to the contrary set forth in the Award Agreement for a Non-Exempt Award.</w:t>
      </w:r>
    </w:p>
    <w:p>
      <w:pPr>
        <w:spacing w:after="0" w:line="13" w:lineRule="exact"/>
        <w:rPr>
          <w:rFonts w:ascii="Arial" w:cs="Arial" w:eastAsia="Arial" w:hAnsi="Arial"/>
          <w:sz w:val="16"/>
          <w:szCs w:val="16"/>
          <w:b w:val="1"/>
          <w:bCs w:val="1"/>
          <w:color w:val="auto"/>
        </w:rPr>
      </w:pPr>
    </w:p>
    <w:p>
      <w:pPr>
        <w:ind w:left="-7" w:right="260" w:firstLine="444"/>
        <w:spacing w:after="0" w:line="275" w:lineRule="auto"/>
        <w:tabs>
          <w:tab w:leader="none" w:pos="691" w:val="left"/>
        </w:tabs>
        <w:numPr>
          <w:ilvl w:val="1"/>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Non-Exempt Awards Subject to Non-Exempt Severance Arrangements. </w:t>
      </w:r>
      <w:r>
        <w:rPr>
          <w:rFonts w:ascii="Arial" w:cs="Arial" w:eastAsia="Arial" w:hAnsi="Arial"/>
          <w:sz w:val="18"/>
          <w:szCs w:val="18"/>
          <w:color w:val="auto"/>
        </w:rPr>
        <w:t>To the extent a Non-Exempt Award is subject to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due to application of a Non-Exempt Severance Arrangement, the following provisions of this subsection (b) apply.</w:t>
      </w:r>
    </w:p>
    <w:p>
      <w:pPr>
        <w:spacing w:after="0" w:line="64" w:lineRule="exact"/>
        <w:rPr>
          <w:rFonts w:ascii="Arial" w:cs="Arial" w:eastAsia="Arial" w:hAnsi="Arial"/>
          <w:sz w:val="18"/>
          <w:szCs w:val="18"/>
          <w:b w:val="1"/>
          <w:bCs w:val="1"/>
          <w:color w:val="auto"/>
        </w:rPr>
      </w:pPr>
    </w:p>
    <w:p>
      <w:pPr>
        <w:ind w:left="433" w:firstLine="423"/>
        <w:spacing w:after="0" w:line="255" w:lineRule="auto"/>
        <w:tabs>
          <w:tab w:leader="none" w:pos="1064" w:val="left"/>
        </w:tabs>
        <w:numPr>
          <w:ilvl w:val="2"/>
          <w:numId w:val="273"/>
        </w:numPr>
        <w:rPr>
          <w:rFonts w:ascii="Arial" w:cs="Arial" w:eastAsia="Arial" w:hAnsi="Arial"/>
          <w:sz w:val="18"/>
          <w:szCs w:val="18"/>
          <w:b w:val="1"/>
          <w:bCs w:val="1"/>
          <w:color w:val="auto"/>
        </w:rPr>
      </w:pPr>
      <w:r>
        <w:rPr>
          <w:rFonts w:ascii="Arial" w:cs="Arial" w:eastAsia="Arial" w:hAnsi="Arial"/>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Arial" w:cs="Arial" w:eastAsia="Arial" w:hAnsi="Arial"/>
          <w:sz w:val="15"/>
          <w:szCs w:val="15"/>
          <w:color w:val="auto"/>
        </w:rPr>
        <w:t>st</w:t>
      </w:r>
      <w:r>
        <w:rPr>
          <w:rFonts w:ascii="Arial" w:cs="Arial" w:eastAsia="Arial" w:hAnsi="Arial"/>
          <w:sz w:val="18"/>
          <w:szCs w:val="18"/>
          <w:color w:val="auto"/>
        </w:rPr>
        <w:t xml:space="preserve"> of the calendar year that includes the applicable vesting date, or (ii) the 60</w:t>
      </w:r>
      <w:r>
        <w:rPr>
          <w:rFonts w:ascii="Arial" w:cs="Arial" w:eastAsia="Arial" w:hAnsi="Arial"/>
          <w:sz w:val="15"/>
          <w:szCs w:val="15"/>
          <w:color w:val="auto"/>
        </w:rPr>
        <w:t>th</w:t>
      </w:r>
      <w:r>
        <w:rPr>
          <w:rFonts w:ascii="Arial" w:cs="Arial" w:eastAsia="Arial" w:hAnsi="Arial"/>
          <w:sz w:val="18"/>
          <w:szCs w:val="18"/>
          <w:color w:val="auto"/>
        </w:rPr>
        <w:t xml:space="preserve"> day that follows the applicable vesting date.</w:t>
      </w:r>
    </w:p>
    <w:p>
      <w:pPr>
        <w:spacing w:after="0" w:line="83" w:lineRule="exact"/>
        <w:rPr>
          <w:rFonts w:ascii="Arial" w:cs="Arial" w:eastAsia="Arial" w:hAnsi="Arial"/>
          <w:sz w:val="18"/>
          <w:szCs w:val="18"/>
          <w:b w:val="1"/>
          <w:bCs w:val="1"/>
          <w:color w:val="auto"/>
        </w:rPr>
      </w:pPr>
    </w:p>
    <w:p>
      <w:pPr>
        <w:ind w:left="433" w:right="40" w:firstLine="423"/>
        <w:spacing w:after="0" w:line="252" w:lineRule="auto"/>
        <w:tabs>
          <w:tab w:leader="none" w:pos="1114" w:val="left"/>
        </w:tabs>
        <w:numPr>
          <w:ilvl w:val="2"/>
          <w:numId w:val="273"/>
        </w:numPr>
        <w:rPr>
          <w:rFonts w:ascii="Arial" w:cs="Arial" w:eastAsia="Arial" w:hAnsi="Arial"/>
          <w:sz w:val="18"/>
          <w:szCs w:val="18"/>
          <w:b w:val="1"/>
          <w:bCs w:val="1"/>
          <w:color w:val="auto"/>
        </w:rPr>
      </w:pPr>
      <w:r>
        <w:rPr>
          <w:rFonts w:ascii="Arial" w:cs="Arial" w:eastAsia="Arial" w:hAnsi="Arial"/>
          <w:sz w:val="18"/>
          <w:szCs w:val="18"/>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Arial" w:cs="Arial" w:eastAsia="Arial" w:hAnsi="Arial"/>
          <w:sz w:val="15"/>
          <w:szCs w:val="15"/>
          <w:color w:val="auto"/>
        </w:rPr>
        <w:t>th</w:t>
      </w:r>
      <w:r>
        <w:rPr>
          <w:rFonts w:ascii="Arial" w:cs="Arial" w:eastAsia="Arial" w:hAnsi="Arial"/>
          <w:sz w:val="18"/>
          <w:szCs w:val="18"/>
          <w:color w:val="auto"/>
        </w:rPr>
        <w:t xml:space="preserve"> day that follows the date of the Participant’s Separation from Service. However, if at the time the shares would otherwise be issued the</w:t>
      </w:r>
    </w:p>
    <w:p>
      <w:pPr>
        <w:spacing w:after="0" w:line="127"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73"/>
          </w:cols>
          <w:pgMar w:left="487" w:top="268" w:right="539" w:bottom="1440" w:gutter="0" w:footer="0" w:header="0"/>
        </w:sectPr>
      </w:pPr>
    </w:p>
    <w:bookmarkStart w:id="352" w:name="page353"/>
    <w:bookmarkEnd w:id="352"/>
    <w:p>
      <w:pPr>
        <w:ind w:left="433"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Participant is subject to the distribution limitations contained in Section 409A applicable to “specified employees,” as defined in Section 409A(a) (2)(B)(i) of the Code, such shares shall not be issued before the date that is six months following the date of such Participant’s Separation from Service, or, if earlier, the date of the Participant’s death that occurs within such six month period.</w:t>
      </w:r>
    </w:p>
    <w:p>
      <w:pPr>
        <w:spacing w:after="0" w:line="79" w:lineRule="exact"/>
        <w:rPr>
          <w:sz w:val="20"/>
          <w:szCs w:val="20"/>
          <w:color w:val="auto"/>
        </w:rPr>
      </w:pPr>
    </w:p>
    <w:p>
      <w:pPr>
        <w:ind w:left="1173" w:hanging="317"/>
        <w:spacing w:after="0"/>
        <w:tabs>
          <w:tab w:leader="none" w:pos="1173" w:val="left"/>
        </w:tabs>
        <w:numPr>
          <w:ilvl w:val="2"/>
          <w:numId w:val="274"/>
        </w:numPr>
        <w:rPr>
          <w:rFonts w:ascii="Arial" w:cs="Arial" w:eastAsia="Arial" w:hAnsi="Arial"/>
          <w:sz w:val="17"/>
          <w:szCs w:val="17"/>
          <w:b w:val="1"/>
          <w:bCs w:val="1"/>
          <w:color w:val="auto"/>
        </w:rPr>
      </w:pPr>
      <w:r>
        <w:rPr>
          <w:rFonts w:ascii="Arial" w:cs="Arial" w:eastAsia="Arial" w:hAnsi="Arial"/>
          <w:sz w:val="17"/>
          <w:szCs w:val="17"/>
          <w:color w:val="auto"/>
        </w:rPr>
        <w:t>If vesting of a Non-Exempt Award accelerates under the terms of a Non-Exempt Severance Arrangement in connection with a</w:t>
      </w:r>
    </w:p>
    <w:p>
      <w:pPr>
        <w:spacing w:after="0" w:line="31" w:lineRule="exact"/>
        <w:rPr>
          <w:rFonts w:ascii="Arial" w:cs="Arial" w:eastAsia="Arial" w:hAnsi="Arial"/>
          <w:sz w:val="17"/>
          <w:szCs w:val="17"/>
          <w:b w:val="1"/>
          <w:bCs w:val="1"/>
          <w:color w:val="auto"/>
        </w:rPr>
      </w:pPr>
    </w:p>
    <w:p>
      <w:pPr>
        <w:ind w:left="433"/>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69" w:lineRule="exact"/>
        <w:rPr>
          <w:rFonts w:ascii="Arial" w:cs="Arial" w:eastAsia="Arial" w:hAnsi="Arial"/>
          <w:sz w:val="17"/>
          <w:szCs w:val="17"/>
          <w:b w:val="1"/>
          <w:bCs w:val="1"/>
          <w:color w:val="auto"/>
        </w:rPr>
      </w:pPr>
    </w:p>
    <w:p>
      <w:pPr>
        <w:ind w:left="673" w:hanging="236"/>
        <w:spacing w:after="0"/>
        <w:tabs>
          <w:tab w:leader="none" w:pos="673" w:val="left"/>
        </w:tabs>
        <w:numPr>
          <w:ilvl w:val="1"/>
          <w:numId w:val="2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Treatment of Non-Exempt Awards Upon a Corporate Transaction for Employees and Consultants. </w:t>
      </w:r>
      <w:r>
        <w:rPr>
          <w:rFonts w:ascii="Arial" w:cs="Arial" w:eastAsia="Arial" w:hAnsi="Arial"/>
          <w:sz w:val="16"/>
          <w:szCs w:val="16"/>
          <w:color w:val="auto"/>
        </w:rPr>
        <w:t>The provisions of this subsection</w:t>
      </w:r>
    </w:p>
    <w:p>
      <w:pPr>
        <w:spacing w:after="0" w:line="46" w:lineRule="exact"/>
        <w:rPr>
          <w:rFonts w:ascii="Arial" w:cs="Arial" w:eastAsia="Arial" w:hAnsi="Arial"/>
          <w:sz w:val="16"/>
          <w:szCs w:val="16"/>
          <w:b w:val="1"/>
          <w:bCs w:val="1"/>
          <w:color w:val="auto"/>
        </w:rPr>
      </w:pPr>
    </w:p>
    <w:p>
      <w:pPr>
        <w:ind w:left="-7" w:right="180" w:firstLine="7"/>
        <w:spacing w:after="0" w:line="252" w:lineRule="auto"/>
        <w:tabs>
          <w:tab w:leader="none" w:pos="23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80" w:lineRule="exact"/>
        <w:rPr>
          <w:rFonts w:ascii="Arial" w:cs="Arial" w:eastAsia="Arial" w:hAnsi="Arial"/>
          <w:sz w:val="18"/>
          <w:szCs w:val="18"/>
          <w:color w:val="auto"/>
        </w:rPr>
      </w:pPr>
    </w:p>
    <w:p>
      <w:pPr>
        <w:ind w:left="433" w:right="240" w:firstLine="423"/>
        <w:spacing w:after="0" w:line="275" w:lineRule="auto"/>
        <w:tabs>
          <w:tab w:leader="none" w:pos="1064" w:val="left"/>
        </w:tabs>
        <w:numPr>
          <w:ilvl w:val="2"/>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Vested Non-Exempt Awards. </w:t>
      </w:r>
      <w:r>
        <w:rPr>
          <w:rFonts w:ascii="Arial" w:cs="Arial" w:eastAsia="Arial" w:hAnsi="Arial"/>
          <w:sz w:val="18"/>
          <w:szCs w:val="18"/>
          <w:color w:val="auto"/>
        </w:rPr>
        <w:t>The following provisions shall apply to any Vested Non-Exempt Award in connection with a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w:t>
      </w:r>
    </w:p>
    <w:p>
      <w:pPr>
        <w:spacing w:after="0" w:line="64" w:lineRule="exact"/>
        <w:rPr>
          <w:rFonts w:ascii="Arial" w:cs="Arial" w:eastAsia="Arial" w:hAnsi="Arial"/>
          <w:sz w:val="18"/>
          <w:szCs w:val="18"/>
          <w:b w:val="1"/>
          <w:bCs w:val="1"/>
          <w:color w:val="auto"/>
        </w:rPr>
      </w:pPr>
    </w:p>
    <w:p>
      <w:pPr>
        <w:ind w:left="-7" w:firstLine="1426"/>
        <w:spacing w:after="0" w:line="253" w:lineRule="auto"/>
        <w:tabs>
          <w:tab w:leader="none" w:pos="1664" w:val="left"/>
        </w:tabs>
        <w:numPr>
          <w:ilvl w:val="3"/>
          <w:numId w:val="276"/>
        </w:numPr>
        <w:rPr>
          <w:rFonts w:ascii="Arial" w:cs="Arial" w:eastAsia="Arial" w:hAnsi="Arial"/>
          <w:sz w:val="18"/>
          <w:szCs w:val="18"/>
          <w:b w:val="1"/>
          <w:bCs w:val="1"/>
          <w:color w:val="auto"/>
        </w:rPr>
      </w:pPr>
      <w:r>
        <w:rPr>
          <w:rFonts w:ascii="Arial" w:cs="Arial" w:eastAsia="Arial" w:hAnsi="Arial"/>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85" w:lineRule="exact"/>
        <w:rPr>
          <w:rFonts w:ascii="Arial" w:cs="Arial" w:eastAsia="Arial" w:hAnsi="Arial"/>
          <w:sz w:val="18"/>
          <w:szCs w:val="18"/>
          <w:b w:val="1"/>
          <w:bCs w:val="1"/>
          <w:color w:val="auto"/>
        </w:rPr>
      </w:pPr>
    </w:p>
    <w:p>
      <w:pPr>
        <w:ind w:left="-7" w:right="140" w:firstLine="1426"/>
        <w:spacing w:after="0" w:line="270" w:lineRule="auto"/>
        <w:tabs>
          <w:tab w:leader="none" w:pos="1664" w:val="left"/>
        </w:tabs>
        <w:numPr>
          <w:ilvl w:val="3"/>
          <w:numId w:val="276"/>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67" w:lineRule="exact"/>
        <w:rPr>
          <w:sz w:val="20"/>
          <w:szCs w:val="20"/>
          <w:color w:val="auto"/>
        </w:rPr>
      </w:pPr>
    </w:p>
    <w:p>
      <w:pPr>
        <w:ind w:left="433" w:right="800" w:firstLine="423"/>
        <w:spacing w:after="0" w:line="275" w:lineRule="auto"/>
        <w:tabs>
          <w:tab w:leader="none" w:pos="1114"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Unvested Non-Exempt Awards. </w:t>
      </w:r>
      <w:r>
        <w:rPr>
          <w:rFonts w:ascii="Arial" w:cs="Arial" w:eastAsia="Arial" w:hAnsi="Arial"/>
          <w:sz w:val="18"/>
          <w:szCs w:val="18"/>
          <w:color w:val="auto"/>
        </w:rPr>
        <w:t>The following provisions shall apply to any Unvested Non-Exempt Award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pursuant to subsection (e) of this Section.</w:t>
      </w:r>
    </w:p>
    <w:p>
      <w:pPr>
        <w:spacing w:after="0" w:line="105"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93"/>
          </w:cols>
          <w:pgMar w:left="487" w:top="272" w:right="519" w:bottom="1440" w:gutter="0" w:footer="0" w:header="0"/>
        </w:sectPr>
      </w:pPr>
    </w:p>
    <w:bookmarkStart w:id="353" w:name="page354"/>
    <w:bookmarkEnd w:id="353"/>
    <w:p>
      <w:pPr>
        <w:ind w:left="-20" w:right="100" w:firstLine="1426"/>
        <w:spacing w:after="0" w:line="288" w:lineRule="auto"/>
        <w:tabs>
          <w:tab w:leader="none" w:pos="1651" w:val="left"/>
        </w:tabs>
        <w:numPr>
          <w:ilvl w:val="2"/>
          <w:numId w:val="27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59" w:lineRule="exact"/>
        <w:rPr>
          <w:rFonts w:ascii="Arial" w:cs="Arial" w:eastAsia="Arial" w:hAnsi="Arial"/>
          <w:sz w:val="16"/>
          <w:szCs w:val="16"/>
          <w:b w:val="1"/>
          <w:bCs w:val="1"/>
          <w:color w:val="auto"/>
        </w:rPr>
      </w:pPr>
    </w:p>
    <w:p>
      <w:pPr>
        <w:ind w:left="-20" w:right="40" w:firstLine="1426"/>
        <w:spacing w:after="0" w:line="287" w:lineRule="auto"/>
        <w:tabs>
          <w:tab w:leader="none" w:pos="1651" w:val="left"/>
        </w:tabs>
        <w:numPr>
          <w:ilvl w:val="2"/>
          <w:numId w:val="278"/>
        </w:numPr>
        <w:rPr>
          <w:rFonts w:ascii="Arial" w:cs="Arial" w:eastAsia="Arial" w:hAnsi="Arial"/>
          <w:sz w:val="16"/>
          <w:szCs w:val="16"/>
          <w:b w:val="1"/>
          <w:bCs w:val="1"/>
          <w:color w:val="auto"/>
        </w:rPr>
      </w:pPr>
      <w:r>
        <w:rPr>
          <w:rFonts w:ascii="Arial" w:cs="Arial" w:eastAsia="Arial" w:hAnsi="Arial"/>
          <w:sz w:val="16"/>
          <w:szCs w:val="16"/>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58" w:lineRule="exact"/>
        <w:rPr>
          <w:rFonts w:ascii="Arial" w:cs="Arial" w:eastAsia="Arial" w:hAnsi="Arial"/>
          <w:sz w:val="16"/>
          <w:szCs w:val="16"/>
          <w:b w:val="1"/>
          <w:bCs w:val="1"/>
          <w:color w:val="auto"/>
        </w:rPr>
      </w:pPr>
    </w:p>
    <w:p>
      <w:pPr>
        <w:ind w:left="-20" w:right="420" w:firstLine="1426"/>
        <w:spacing w:after="0" w:line="271" w:lineRule="auto"/>
        <w:tabs>
          <w:tab w:leader="none" w:pos="1651" w:val="left"/>
        </w:tabs>
        <w:numPr>
          <w:ilvl w:val="2"/>
          <w:numId w:val="278"/>
        </w:numPr>
        <w:rPr>
          <w:rFonts w:ascii="Arial" w:cs="Arial" w:eastAsia="Arial" w:hAnsi="Arial"/>
          <w:sz w:val="18"/>
          <w:szCs w:val="18"/>
          <w:b w:val="1"/>
          <w:bCs w:val="1"/>
          <w:color w:val="auto"/>
        </w:rPr>
      </w:pPr>
      <w:r>
        <w:rPr>
          <w:rFonts w:ascii="Arial" w:cs="Arial" w:eastAsia="Arial" w:hAnsi="Arial"/>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63" w:lineRule="exact"/>
        <w:rPr>
          <w:rFonts w:ascii="Arial" w:cs="Arial" w:eastAsia="Arial" w:hAnsi="Arial"/>
          <w:sz w:val="18"/>
          <w:szCs w:val="18"/>
          <w:b w:val="1"/>
          <w:bCs w:val="1"/>
          <w:color w:val="auto"/>
        </w:rPr>
      </w:pPr>
    </w:p>
    <w:p>
      <w:pPr>
        <w:ind w:left="-20" w:right="460" w:firstLine="444"/>
        <w:spacing w:after="0" w:line="261" w:lineRule="auto"/>
        <w:tabs>
          <w:tab w:leader="none" w:pos="679"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Treatment of Non-Exempt Awards Upon a Corporate Transaction for Non-Employee Directors. </w:t>
      </w:r>
      <w:r>
        <w:rPr>
          <w:rFonts w:ascii="Arial" w:cs="Arial" w:eastAsia="Arial" w:hAnsi="Arial"/>
          <w:sz w:val="18"/>
          <w:szCs w:val="18"/>
          <w:color w:val="auto"/>
        </w:rPr>
        <w:t>The following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77" w:lineRule="exact"/>
        <w:rPr>
          <w:rFonts w:ascii="Arial" w:cs="Arial" w:eastAsia="Arial" w:hAnsi="Arial"/>
          <w:sz w:val="18"/>
          <w:szCs w:val="18"/>
          <w:b w:val="1"/>
          <w:bCs w:val="1"/>
          <w:color w:val="auto"/>
        </w:rPr>
      </w:pPr>
    </w:p>
    <w:p>
      <w:pPr>
        <w:jc w:val="both"/>
        <w:ind w:left="420" w:right="140" w:firstLine="423"/>
        <w:spacing w:after="0" w:line="284" w:lineRule="auto"/>
        <w:tabs>
          <w:tab w:leader="none" w:pos="1052" w:val="left"/>
        </w:tabs>
        <w:numPr>
          <w:ilvl w:val="1"/>
          <w:numId w:val="279"/>
        </w:numPr>
        <w:rPr>
          <w:rFonts w:ascii="Arial" w:cs="Arial" w:eastAsia="Arial" w:hAnsi="Arial"/>
          <w:sz w:val="16"/>
          <w:szCs w:val="16"/>
          <w:b w:val="1"/>
          <w:bCs w:val="1"/>
          <w:color w:val="auto"/>
        </w:rPr>
      </w:pPr>
      <w:r>
        <w:rPr>
          <w:rFonts w:ascii="Arial" w:cs="Arial" w:eastAsia="Arial" w:hAnsi="Arial"/>
          <w:sz w:val="16"/>
          <w:szCs w:val="16"/>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w:t>
      </w:r>
    </w:p>
    <w:p>
      <w:pPr>
        <w:spacing w:after="0" w:line="1" w:lineRule="exact"/>
        <w:rPr>
          <w:rFonts w:ascii="Arial" w:cs="Arial" w:eastAsia="Arial" w:hAnsi="Arial"/>
          <w:sz w:val="16"/>
          <w:szCs w:val="16"/>
          <w:b w:val="1"/>
          <w:bCs w:val="1"/>
          <w:color w:val="auto"/>
        </w:rPr>
      </w:pPr>
    </w:p>
    <w:p>
      <w:pPr>
        <w:ind w:left="420"/>
        <w:spacing w:after="0" w:line="285" w:lineRule="auto"/>
        <w:rPr>
          <w:rFonts w:ascii="Arial" w:cs="Arial" w:eastAsia="Arial" w:hAnsi="Arial"/>
          <w:sz w:val="16"/>
          <w:szCs w:val="16"/>
          <w:b w:val="1"/>
          <w:bCs w:val="1"/>
          <w:color w:val="auto"/>
        </w:rPr>
      </w:pPr>
      <w:r>
        <w:rPr>
          <w:rFonts w:ascii="Arial" w:cs="Arial" w:eastAsia="Arial" w:hAnsi="Arial"/>
          <w:sz w:val="17"/>
          <w:szCs w:val="17"/>
          <w:color w:val="auto"/>
        </w:rPr>
        <w:t>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57" w:lineRule="exact"/>
        <w:rPr>
          <w:rFonts w:ascii="Arial" w:cs="Arial" w:eastAsia="Arial" w:hAnsi="Arial"/>
          <w:sz w:val="16"/>
          <w:szCs w:val="16"/>
          <w:b w:val="1"/>
          <w:bCs w:val="1"/>
          <w:color w:val="auto"/>
        </w:rPr>
      </w:pPr>
    </w:p>
    <w:p>
      <w:pPr>
        <w:ind w:left="420" w:right="300" w:firstLine="423"/>
        <w:spacing w:after="0" w:line="335" w:lineRule="auto"/>
        <w:tabs>
          <w:tab w:leader="none" w:pos="1101" w:val="left"/>
        </w:tabs>
        <w:numPr>
          <w:ilvl w:val="1"/>
          <w:numId w:val="279"/>
        </w:numPr>
        <w:rPr>
          <w:rFonts w:ascii="Arial" w:cs="Arial" w:eastAsia="Arial" w:hAnsi="Arial"/>
          <w:sz w:val="16"/>
          <w:szCs w:val="16"/>
          <w:b w:val="1"/>
          <w:bCs w:val="1"/>
          <w:color w:val="auto"/>
        </w:rPr>
      </w:pPr>
      <w:r>
        <w:rPr>
          <w:rFonts w:ascii="Arial" w:cs="Arial" w:eastAsia="Arial" w:hAnsi="Arial"/>
          <w:sz w:val="16"/>
          <w:szCs w:val="16"/>
          <w:color w:val="auto"/>
        </w:rPr>
        <w:t>If the Corporate Transaction is not also a Section 409A Change in Control, then the Acquiring Entity must either assume, continue or substitute the Non-Exempt Director Award. Unless otherwise determined by the Board, the Non-Exempt Director Award will remain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500" w:top="272" w:right="499" w:bottom="1440" w:gutter="0" w:footer="0" w:header="0"/>
        </w:sectPr>
      </w:pPr>
    </w:p>
    <w:bookmarkStart w:id="354" w:name="page355"/>
    <w:bookmarkEnd w:id="354"/>
    <w:p>
      <w:pPr>
        <w:ind w:left="44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87" w:lineRule="exact"/>
        <w:rPr>
          <w:sz w:val="20"/>
          <w:szCs w:val="20"/>
          <w:color w:val="auto"/>
        </w:rPr>
      </w:pPr>
    </w:p>
    <w:p>
      <w:pPr>
        <w:ind w:right="300" w:firstLine="444"/>
        <w:spacing w:after="0" w:line="301" w:lineRule="auto"/>
        <w:tabs>
          <w:tab w:leader="none" w:pos="679" w:val="left"/>
        </w:tabs>
        <w:numPr>
          <w:ilvl w:val="1"/>
          <w:numId w:val="280"/>
        </w:numPr>
        <w:rPr>
          <w:rFonts w:ascii="Arial" w:cs="Arial" w:eastAsia="Arial" w:hAnsi="Arial"/>
          <w:sz w:val="17"/>
          <w:szCs w:val="17"/>
          <w:b w:val="1"/>
          <w:bCs w:val="1"/>
          <w:color w:val="auto"/>
        </w:rPr>
      </w:pPr>
      <w:r>
        <w:rPr>
          <w:rFonts w:ascii="Arial" w:cs="Arial" w:eastAsia="Arial" w:hAnsi="Arial"/>
          <w:sz w:val="17"/>
          <w:szCs w:val="17"/>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44" w:lineRule="exact"/>
        <w:rPr>
          <w:rFonts w:ascii="Arial" w:cs="Arial" w:eastAsia="Arial" w:hAnsi="Arial"/>
          <w:sz w:val="17"/>
          <w:szCs w:val="17"/>
          <w:b w:val="1"/>
          <w:bCs w:val="1"/>
          <w:color w:val="auto"/>
        </w:rPr>
      </w:pPr>
    </w:p>
    <w:p>
      <w:pPr>
        <w:ind w:left="440" w:right="20" w:firstLine="423"/>
        <w:spacing w:after="0" w:line="259" w:lineRule="auto"/>
        <w:tabs>
          <w:tab w:leader="none" w:pos="1072" w:val="left"/>
        </w:tabs>
        <w:numPr>
          <w:ilvl w:val="2"/>
          <w:numId w:val="280"/>
        </w:numPr>
        <w:rPr>
          <w:rFonts w:ascii="Arial" w:cs="Arial" w:eastAsia="Arial" w:hAnsi="Arial"/>
          <w:sz w:val="18"/>
          <w:szCs w:val="18"/>
          <w:b w:val="1"/>
          <w:bCs w:val="1"/>
          <w:color w:val="auto"/>
        </w:rPr>
      </w:pPr>
      <w:r>
        <w:rPr>
          <w:rFonts w:ascii="Arial" w:cs="Arial" w:eastAsia="Arial" w:hAnsi="Arial"/>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78" w:lineRule="exact"/>
        <w:rPr>
          <w:rFonts w:ascii="Arial" w:cs="Arial" w:eastAsia="Arial" w:hAnsi="Arial"/>
          <w:sz w:val="18"/>
          <w:szCs w:val="18"/>
          <w:b w:val="1"/>
          <w:bCs w:val="1"/>
          <w:color w:val="auto"/>
        </w:rPr>
      </w:pPr>
    </w:p>
    <w:p>
      <w:pPr>
        <w:ind w:left="440" w:right="260" w:firstLine="423"/>
        <w:spacing w:after="0" w:line="335" w:lineRule="auto"/>
        <w:tabs>
          <w:tab w:leader="none" w:pos="1121" w:val="left"/>
        </w:tabs>
        <w:numPr>
          <w:ilvl w:val="2"/>
          <w:numId w:val="280"/>
        </w:numPr>
        <w:rPr>
          <w:rFonts w:ascii="Arial" w:cs="Arial" w:eastAsia="Arial" w:hAnsi="Arial"/>
          <w:sz w:val="16"/>
          <w:szCs w:val="16"/>
          <w:b w:val="1"/>
          <w:bCs w:val="1"/>
          <w:color w:val="auto"/>
        </w:rPr>
      </w:pPr>
      <w:r>
        <w:rPr>
          <w:rFonts w:ascii="Arial" w:cs="Arial" w:eastAsia="Arial" w:hAnsi="Arial"/>
          <w:sz w:val="16"/>
          <w:szCs w:val="16"/>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21" w:lineRule="exact"/>
        <w:rPr>
          <w:rFonts w:ascii="Arial" w:cs="Arial" w:eastAsia="Arial" w:hAnsi="Arial"/>
          <w:sz w:val="16"/>
          <w:szCs w:val="16"/>
          <w:b w:val="1"/>
          <w:bCs w:val="1"/>
          <w:color w:val="auto"/>
        </w:rPr>
      </w:pPr>
    </w:p>
    <w:p>
      <w:pPr>
        <w:ind w:left="440" w:right="60" w:firstLine="423"/>
        <w:spacing w:after="0" w:line="267" w:lineRule="auto"/>
        <w:tabs>
          <w:tab w:leader="none" w:pos="1171" w:val="left"/>
        </w:tabs>
        <w:numPr>
          <w:ilvl w:val="2"/>
          <w:numId w:val="280"/>
        </w:numPr>
        <w:rPr>
          <w:rFonts w:ascii="Arial" w:cs="Arial" w:eastAsia="Arial" w:hAnsi="Arial"/>
          <w:sz w:val="17"/>
          <w:szCs w:val="17"/>
          <w:b w:val="1"/>
          <w:bCs w:val="1"/>
          <w:color w:val="auto"/>
        </w:rPr>
      </w:pPr>
      <w:r>
        <w:rPr>
          <w:rFonts w:ascii="Arial" w:cs="Arial" w:eastAsia="Arial" w:hAnsi="Arial"/>
          <w:sz w:val="17"/>
          <w:szCs w:val="17"/>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75" w:lineRule="exact"/>
        <w:rPr>
          <w:rFonts w:ascii="Arial" w:cs="Arial" w:eastAsia="Arial" w:hAnsi="Arial"/>
          <w:sz w:val="17"/>
          <w:szCs w:val="17"/>
          <w:b w:val="1"/>
          <w:bCs w:val="1"/>
          <w:color w:val="auto"/>
        </w:rPr>
      </w:pPr>
    </w:p>
    <w:p>
      <w:pPr>
        <w:ind w:left="440" w:right="480" w:firstLine="423"/>
        <w:spacing w:after="0" w:line="307" w:lineRule="auto"/>
        <w:tabs>
          <w:tab w:leader="none" w:pos="1161" w:val="left"/>
        </w:tabs>
        <w:numPr>
          <w:ilvl w:val="2"/>
          <w:numId w:val="280"/>
        </w:numPr>
        <w:rPr>
          <w:rFonts w:ascii="Arial" w:cs="Arial" w:eastAsia="Arial" w:hAnsi="Arial"/>
          <w:sz w:val="16"/>
          <w:szCs w:val="16"/>
          <w:b w:val="1"/>
          <w:bCs w:val="1"/>
          <w:color w:val="auto"/>
        </w:rPr>
      </w:pPr>
      <w:r>
        <w:rPr>
          <w:rFonts w:ascii="Arial" w:cs="Arial" w:eastAsia="Arial" w:hAnsi="Arial"/>
          <w:sz w:val="16"/>
          <w:szCs w:val="16"/>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252" w:lineRule="exact"/>
        <w:rPr>
          <w:rFonts w:ascii="Arial" w:cs="Arial" w:eastAsia="Arial" w:hAnsi="Arial"/>
          <w:sz w:val="16"/>
          <w:szCs w:val="16"/>
          <w:b w:val="1"/>
          <w:bCs w:val="1"/>
          <w:color w:val="auto"/>
        </w:rPr>
      </w:pPr>
    </w:p>
    <w:p>
      <w:pPr>
        <w:ind w:left="280" w:hanging="273"/>
        <w:spacing w:after="0"/>
        <w:tabs>
          <w:tab w:leader="none" w:pos="28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r>
        <w:rPr>
          <w:rFonts w:ascii="Arial" w:cs="Arial" w:eastAsia="Arial" w:hAnsi="Arial"/>
          <w:sz w:val="18"/>
          <w:szCs w:val="18"/>
          <w:b w:val="1"/>
          <w:bCs w:val="1"/>
          <w:color w:val="auto"/>
        </w:rPr>
        <w:t>.</w:t>
      </w:r>
    </w:p>
    <w:p>
      <w:pPr>
        <w:spacing w:after="0" w:line="118" w:lineRule="exact"/>
        <w:rPr>
          <w:sz w:val="20"/>
          <w:szCs w:val="20"/>
          <w:color w:val="auto"/>
        </w:rPr>
      </w:pPr>
    </w:p>
    <w:p>
      <w:pPr>
        <w:ind w:right="760" w:firstLine="436"/>
        <w:spacing w:after="0" w:line="271" w:lineRule="auto"/>
        <w:rPr>
          <w:sz w:val="20"/>
          <w:szCs w:val="20"/>
          <w:color w:val="auto"/>
        </w:rPr>
      </w:pPr>
      <w:r>
        <w:rPr>
          <w:rFonts w:ascii="Arial" w:cs="Arial" w:eastAsia="Arial" w:hAnsi="Arial"/>
          <w:sz w:val="18"/>
          <w:szCs w:val="18"/>
          <w:color w:val="auto"/>
        </w:rPr>
        <w:t>If all or any part of the Plan or any Award Agreement is declared by any court or governmental authority to be unlawful or invalid, such unlawfulness or invalidity shall not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480" w:top="272" w:right="519" w:bottom="1440" w:gutter="0" w:footer="0" w:header="0"/>
        </w:sectPr>
      </w:pPr>
    </w:p>
    <w:bookmarkStart w:id="355" w:name="page356"/>
    <w:bookmarkEnd w:id="35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89" w:lineRule="exact"/>
        <w:rPr>
          <w:sz w:val="20"/>
          <w:szCs w:val="20"/>
          <w:color w:val="auto"/>
        </w:rPr>
      </w:pPr>
    </w:p>
    <w:p>
      <w:pPr>
        <w:ind w:left="280" w:hanging="273"/>
        <w:spacing w:after="0"/>
        <w:tabs>
          <w:tab w:leader="none" w:pos="2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Board may suspend or terminate the Plan at any time. No Incentive Stock Options may be granted after the tenth anniversary of the earlier of:</w:t>
      </w:r>
    </w:p>
    <w:p>
      <w:pPr>
        <w:spacing w:after="0" w:line="43" w:lineRule="exact"/>
        <w:rPr>
          <w:sz w:val="20"/>
          <w:szCs w:val="20"/>
          <w:color w:val="auto"/>
        </w:rPr>
      </w:pPr>
    </w:p>
    <w:p>
      <w:pPr>
        <w:ind w:right="160" w:firstLine="7"/>
        <w:spacing w:after="0" w:line="256" w:lineRule="auto"/>
        <w:tabs>
          <w:tab w:leader="none" w:pos="213"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Adoption Date, or (ii) the date the Plan is approved by the Company’s stockholders. No Awards may be granted under the Plan while the Plan is suspended or after it is terminated.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80" w:top="272" w:right="499" w:bottom="1440" w:gutter="0" w:footer="0" w:header="0"/>
        </w:sectPr>
      </w:pPr>
    </w:p>
    <w:bookmarkStart w:id="356" w:name="page357"/>
    <w:bookmarkEnd w:id="356"/>
    <w:p>
      <w:pPr>
        <w:ind w:left="273" w:hanging="273"/>
        <w:spacing w:after="0"/>
        <w:tabs>
          <w:tab w:leader="none" w:pos="273"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Definitions.</w:t>
      </w:r>
    </w:p>
    <w:p>
      <w:pPr>
        <w:spacing w:after="0" w:line="114" w:lineRule="exact"/>
        <w:rPr>
          <w:sz w:val="20"/>
          <w:szCs w:val="20"/>
          <w:color w:val="auto"/>
        </w:rPr>
      </w:pPr>
    </w:p>
    <w:p>
      <w:pPr>
        <w:ind w:left="433"/>
        <w:spacing w:after="0"/>
        <w:rPr>
          <w:sz w:val="20"/>
          <w:szCs w:val="20"/>
          <w:color w:val="auto"/>
        </w:rPr>
      </w:pPr>
      <w:r>
        <w:rPr>
          <w:rFonts w:ascii="Arial" w:cs="Arial" w:eastAsia="Arial" w:hAnsi="Arial"/>
          <w:sz w:val="18"/>
          <w:szCs w:val="18"/>
          <w:color w:val="auto"/>
        </w:rPr>
        <w:t>As used in the Plan, the following definitions apply to the capitalized terms indicated below:</w:t>
      </w:r>
    </w:p>
    <w:p>
      <w:pPr>
        <w:spacing w:after="0" w:line="114" w:lineRule="exact"/>
        <w:rPr>
          <w:sz w:val="20"/>
          <w:szCs w:val="20"/>
          <w:color w:val="auto"/>
        </w:rPr>
      </w:pPr>
    </w:p>
    <w:p>
      <w:pPr>
        <w:ind w:left="693" w:hanging="256"/>
        <w:spacing w:after="0"/>
        <w:tabs>
          <w:tab w:leader="none" w:pos="693" w:val="left"/>
        </w:tabs>
        <w:numPr>
          <w:ilvl w:val="0"/>
          <w:numId w:val="28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Acquiring Entity</w:t>
      </w:r>
      <w:r>
        <w:rPr>
          <w:rFonts w:ascii="Arial" w:cs="Arial" w:eastAsia="Arial" w:hAnsi="Arial"/>
          <w:sz w:val="17"/>
          <w:szCs w:val="17"/>
          <w:color w:val="auto"/>
        </w:rPr>
        <w:t>” means the surviving or acquiring corporation (or its parent company) in connection with a Corporate Transaction.</w:t>
      </w:r>
    </w:p>
    <w:p>
      <w:pPr>
        <w:spacing w:after="0" w:line="125" w:lineRule="exact"/>
        <w:rPr>
          <w:rFonts w:ascii="Arial" w:cs="Arial" w:eastAsia="Arial" w:hAnsi="Arial"/>
          <w:sz w:val="17"/>
          <w:szCs w:val="17"/>
          <w:b w:val="1"/>
          <w:bCs w:val="1"/>
          <w:color w:val="auto"/>
        </w:rPr>
      </w:pPr>
    </w:p>
    <w:p>
      <w:pPr>
        <w:ind w:left="693" w:hanging="256"/>
        <w:spacing w:after="0"/>
        <w:tabs>
          <w:tab w:leader="none" w:pos="693"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Adoption Date</w:t>
      </w:r>
      <w:r>
        <w:rPr>
          <w:rFonts w:ascii="Arial" w:cs="Arial" w:eastAsia="Arial" w:hAnsi="Arial"/>
          <w:sz w:val="18"/>
          <w:szCs w:val="18"/>
          <w:color w:val="auto"/>
        </w:rPr>
        <w:t>” means the date the Plan is first approved by the Board or Compensation Committee.</w:t>
      </w:r>
    </w:p>
    <w:p>
      <w:pPr>
        <w:spacing w:after="0" w:line="113" w:lineRule="exact"/>
        <w:rPr>
          <w:rFonts w:ascii="Arial" w:cs="Arial" w:eastAsia="Arial" w:hAnsi="Arial"/>
          <w:sz w:val="18"/>
          <w:szCs w:val="18"/>
          <w:b w:val="1"/>
          <w:bCs w:val="1"/>
          <w:color w:val="auto"/>
        </w:rPr>
      </w:pPr>
    </w:p>
    <w:p>
      <w:pPr>
        <w:ind w:left="-7" w:right="360" w:firstLine="444"/>
        <w:spacing w:after="0" w:line="259" w:lineRule="auto"/>
        <w:tabs>
          <w:tab w:leader="none" w:pos="671"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78" w:lineRule="exact"/>
        <w:rPr>
          <w:rFonts w:ascii="Arial" w:cs="Arial" w:eastAsia="Arial" w:hAnsi="Arial"/>
          <w:sz w:val="18"/>
          <w:szCs w:val="18"/>
          <w:b w:val="1"/>
          <w:bCs w:val="1"/>
          <w:color w:val="auto"/>
        </w:rPr>
      </w:pPr>
    </w:p>
    <w:p>
      <w:pPr>
        <w:ind w:left="-7" w:firstLine="444"/>
        <w:spacing w:after="0" w:line="253" w:lineRule="auto"/>
        <w:tabs>
          <w:tab w:leader="none" w:pos="691"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85" w:lineRule="exact"/>
        <w:rPr>
          <w:rFonts w:ascii="Arial" w:cs="Arial" w:eastAsia="Arial" w:hAnsi="Arial"/>
          <w:sz w:val="18"/>
          <w:szCs w:val="18"/>
          <w:b w:val="1"/>
          <w:bCs w:val="1"/>
          <w:color w:val="auto"/>
        </w:rPr>
      </w:pPr>
    </w:p>
    <w:p>
      <w:pPr>
        <w:ind w:left="-7" w:right="320" w:firstLine="444"/>
        <w:spacing w:after="0" w:line="301" w:lineRule="auto"/>
        <w:tabs>
          <w:tab w:leader="none" w:pos="671" w:val="left"/>
        </w:tabs>
        <w:numPr>
          <w:ilvl w:val="0"/>
          <w:numId w:val="28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44" w:lineRule="exact"/>
        <w:rPr>
          <w:rFonts w:ascii="Arial" w:cs="Arial" w:eastAsia="Arial" w:hAnsi="Arial"/>
          <w:sz w:val="17"/>
          <w:szCs w:val="17"/>
          <w:b w:val="1"/>
          <w:bCs w:val="1"/>
          <w:color w:val="auto"/>
        </w:rPr>
      </w:pPr>
    </w:p>
    <w:p>
      <w:pPr>
        <w:ind w:left="-7" w:right="140" w:firstLine="444"/>
        <w:spacing w:after="0" w:line="307" w:lineRule="auto"/>
        <w:tabs>
          <w:tab w:leader="none" w:pos="652" w:val="left"/>
        </w:tabs>
        <w:numPr>
          <w:ilvl w:val="0"/>
          <w:numId w:val="28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42" w:lineRule="exact"/>
        <w:rPr>
          <w:rFonts w:ascii="Arial" w:cs="Arial" w:eastAsia="Arial" w:hAnsi="Arial"/>
          <w:sz w:val="16"/>
          <w:szCs w:val="16"/>
          <w:b w:val="1"/>
          <w:bCs w:val="1"/>
          <w:color w:val="auto"/>
        </w:rPr>
      </w:pPr>
    </w:p>
    <w:p>
      <w:pPr>
        <w:ind w:left="-7" w:right="20" w:firstLine="444"/>
        <w:spacing w:after="0" w:line="259" w:lineRule="auto"/>
        <w:tabs>
          <w:tab w:leader="none" w:pos="681"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78" w:lineRule="exact"/>
        <w:rPr>
          <w:rFonts w:ascii="Arial" w:cs="Arial" w:eastAsia="Arial" w:hAnsi="Arial"/>
          <w:sz w:val="18"/>
          <w:szCs w:val="18"/>
          <w:b w:val="1"/>
          <w:bCs w:val="1"/>
          <w:color w:val="auto"/>
        </w:rPr>
      </w:pPr>
    </w:p>
    <w:p>
      <w:pPr>
        <w:ind w:left="-7" w:right="140" w:firstLine="444"/>
        <w:spacing w:after="0" w:line="251" w:lineRule="auto"/>
        <w:tabs>
          <w:tab w:leader="none" w:pos="691" w:val="left"/>
        </w:tabs>
        <w:numPr>
          <w:ilvl w:val="0"/>
          <w:numId w:val="285"/>
        </w:numPr>
        <w:rPr>
          <w:rFonts w:ascii="Arial" w:cs="Arial" w:eastAsia="Arial" w:hAnsi="Arial"/>
          <w:sz w:val="18"/>
          <w:szCs w:val="18"/>
          <w:b w:val="1"/>
          <w:b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Capitalization Adjustment</w:t>
      </w:r>
      <w:r>
        <w:rPr>
          <w:rFonts w:ascii="Arial" w:cs="Arial" w:eastAsia="Arial" w:hAnsi="Arial"/>
          <w:sz w:val="18"/>
          <w:szCs w:val="18"/>
          <w:color w:val="auto"/>
        </w:rPr>
        <w:t>” means any change that is made in, or other events that occur with respect to, the Common Stock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30"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73"/>
          </w:cols>
          <w:pgMar w:left="487" w:top="272" w:right="539" w:bottom="1440" w:gutter="0" w:footer="0" w:header="0"/>
        </w:sectPr>
      </w:pPr>
    </w:p>
    <w:bookmarkStart w:id="357" w:name="page358"/>
    <w:bookmarkEnd w:id="357"/>
    <w:p>
      <w:pPr>
        <w:ind w:left="-20" w:firstLine="444"/>
        <w:spacing w:after="0" w:line="283" w:lineRule="auto"/>
        <w:tabs>
          <w:tab w:leader="none" w:pos="629" w:val="left"/>
        </w:tabs>
        <w:numPr>
          <w:ilvl w:val="0"/>
          <w:numId w:val="28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68" w:lineRule="exact"/>
        <w:rPr>
          <w:rFonts w:ascii="Arial" w:cs="Arial" w:eastAsia="Arial" w:hAnsi="Arial"/>
          <w:sz w:val="16"/>
          <w:szCs w:val="16"/>
          <w:b w:val="1"/>
          <w:bCs w:val="1"/>
          <w:color w:val="auto"/>
        </w:rPr>
      </w:pPr>
    </w:p>
    <w:p>
      <w:pPr>
        <w:ind w:left="-20" w:right="100" w:firstLine="444"/>
        <w:spacing w:after="0" w:line="271" w:lineRule="auto"/>
        <w:tabs>
          <w:tab w:leader="none" w:pos="639"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or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in a single transaction or in a series of related transactions, of any one or more of the following events:</w:t>
      </w:r>
    </w:p>
    <w:p>
      <w:pPr>
        <w:spacing w:after="0" w:line="67" w:lineRule="exact"/>
        <w:rPr>
          <w:rFonts w:ascii="Arial" w:cs="Arial" w:eastAsia="Arial" w:hAnsi="Arial"/>
          <w:sz w:val="18"/>
          <w:szCs w:val="18"/>
          <w:b w:val="1"/>
          <w:bCs w:val="1"/>
          <w:color w:val="auto"/>
        </w:rPr>
      </w:pPr>
    </w:p>
    <w:p>
      <w:pPr>
        <w:ind w:left="420" w:right="160" w:firstLine="423"/>
        <w:spacing w:after="0" w:line="284" w:lineRule="auto"/>
        <w:tabs>
          <w:tab w:leader="none" w:pos="1052" w:val="left"/>
        </w:tabs>
        <w:numPr>
          <w:ilvl w:val="1"/>
          <w:numId w:val="286"/>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500" w:top="271" w:right="499" w:bottom="1440" w:gutter="0" w:footer="0" w:header="0"/>
        </w:sectPr>
      </w:pPr>
    </w:p>
    <w:bookmarkStart w:id="358" w:name="page359"/>
    <w:bookmarkEnd w:id="358"/>
    <w:p>
      <w:pPr>
        <w:ind w:left="440" w:right="80" w:firstLine="423"/>
        <w:spacing w:after="0" w:line="290" w:lineRule="auto"/>
        <w:tabs>
          <w:tab w:leader="none" w:pos="1121" w:val="left"/>
        </w:tabs>
        <w:numPr>
          <w:ilvl w:val="0"/>
          <w:numId w:val="28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56" w:lineRule="exact"/>
        <w:rPr>
          <w:rFonts w:ascii="Arial" w:cs="Arial" w:eastAsia="Arial" w:hAnsi="Arial"/>
          <w:sz w:val="16"/>
          <w:szCs w:val="16"/>
          <w:b w:val="1"/>
          <w:bCs w:val="1"/>
          <w:color w:val="auto"/>
        </w:rPr>
      </w:pPr>
    </w:p>
    <w:p>
      <w:pPr>
        <w:ind w:left="440" w:right="440" w:firstLine="423"/>
        <w:spacing w:after="0" w:line="272" w:lineRule="auto"/>
        <w:tabs>
          <w:tab w:leader="none" w:pos="1171" w:val="left"/>
        </w:tabs>
        <w:numPr>
          <w:ilvl w:val="0"/>
          <w:numId w:val="287"/>
        </w:numPr>
        <w:rPr>
          <w:rFonts w:ascii="Arial" w:cs="Arial" w:eastAsia="Arial" w:hAnsi="Arial"/>
          <w:sz w:val="17"/>
          <w:szCs w:val="17"/>
          <w:b w:val="1"/>
          <w:bCs w:val="1"/>
          <w:color w:val="auto"/>
        </w:rPr>
      </w:pPr>
      <w:r>
        <w:rPr>
          <w:rFonts w:ascii="Arial" w:cs="Arial" w:eastAsia="Arial" w:hAnsi="Arial"/>
          <w:sz w:val="17"/>
          <w:szCs w:val="17"/>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69" w:lineRule="exact"/>
        <w:rPr>
          <w:rFonts w:ascii="Arial" w:cs="Arial" w:eastAsia="Arial" w:hAnsi="Arial"/>
          <w:sz w:val="17"/>
          <w:szCs w:val="17"/>
          <w:b w:val="1"/>
          <w:bCs w:val="1"/>
          <w:color w:val="auto"/>
        </w:rPr>
      </w:pPr>
    </w:p>
    <w:p>
      <w:pPr>
        <w:jc w:val="both"/>
        <w:ind w:left="440" w:firstLine="423"/>
        <w:spacing w:after="0" w:line="275" w:lineRule="auto"/>
        <w:tabs>
          <w:tab w:leader="none" w:pos="1161" w:val="left"/>
        </w:tabs>
        <w:numPr>
          <w:ilvl w:val="0"/>
          <w:numId w:val="287"/>
        </w:numPr>
        <w:rPr>
          <w:rFonts w:ascii="Arial" w:cs="Arial" w:eastAsia="Arial" w:hAnsi="Arial"/>
          <w:sz w:val="17"/>
          <w:szCs w:val="17"/>
          <w:b w:val="1"/>
          <w:bCs w:val="1"/>
          <w:color w:val="auto"/>
        </w:rPr>
      </w:pPr>
      <w:r>
        <w:rPr>
          <w:rFonts w:ascii="Arial" w:cs="Arial" w:eastAsia="Arial" w:hAnsi="Arial"/>
          <w:sz w:val="17"/>
          <w:szCs w:val="17"/>
          <w:color w:val="auto"/>
        </w:rPr>
        <w:t>individuals who, on the date the Plan is adopted by the Board, are members of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67" w:lineRule="exact"/>
        <w:rPr>
          <w:sz w:val="20"/>
          <w:szCs w:val="20"/>
          <w:color w:val="auto"/>
        </w:rPr>
      </w:pPr>
    </w:p>
    <w:p>
      <w:pPr>
        <w:ind w:right="20" w:firstLine="436"/>
        <w:spacing w:after="0" w:line="269" w:lineRule="auto"/>
        <w:rPr>
          <w:sz w:val="20"/>
          <w:szCs w:val="20"/>
          <w:color w:val="auto"/>
        </w:rPr>
      </w:pPr>
      <w:r>
        <w:rPr>
          <w:rFonts w:ascii="Arial" w:cs="Arial" w:eastAsia="Arial" w:hAnsi="Arial"/>
          <w:sz w:val="17"/>
          <w:szCs w:val="17"/>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71" w:lineRule="exact"/>
        <w:rPr>
          <w:sz w:val="20"/>
          <w:szCs w:val="20"/>
          <w:color w:val="auto"/>
        </w:rPr>
      </w:pPr>
    </w:p>
    <w:p>
      <w:pPr>
        <w:ind w:left="700" w:hanging="256"/>
        <w:spacing w:after="0"/>
        <w:tabs>
          <w:tab w:leader="none" w:pos="700" w:val="left"/>
        </w:tabs>
        <w:numPr>
          <w:ilvl w:val="0"/>
          <w:numId w:val="2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113" w:lineRule="exact"/>
        <w:rPr>
          <w:rFonts w:ascii="Arial" w:cs="Arial" w:eastAsia="Arial" w:hAnsi="Arial"/>
          <w:sz w:val="18"/>
          <w:szCs w:val="18"/>
          <w:b w:val="1"/>
          <w:bCs w:val="1"/>
          <w:color w:val="auto"/>
        </w:rPr>
      </w:pPr>
    </w:p>
    <w:p>
      <w:pPr>
        <w:ind w:firstLine="444"/>
        <w:spacing w:after="0" w:line="271" w:lineRule="auto"/>
        <w:tabs>
          <w:tab w:leader="none" w:pos="649" w:val="left"/>
        </w:tabs>
        <w:numPr>
          <w:ilvl w:val="0"/>
          <w:numId w:val="2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and any other committee of one or more Directors to whom authority has been delegated by the Board or Compensation Committee in accordance with the Plan.</w:t>
      </w:r>
    </w:p>
    <w:p>
      <w:pPr>
        <w:spacing w:after="0" w:line="67" w:lineRule="exact"/>
        <w:rPr>
          <w:rFonts w:ascii="Arial" w:cs="Arial" w:eastAsia="Arial" w:hAnsi="Arial"/>
          <w:sz w:val="18"/>
          <w:szCs w:val="18"/>
          <w:b w:val="1"/>
          <w:bCs w:val="1"/>
          <w:color w:val="auto"/>
        </w:rPr>
      </w:pPr>
    </w:p>
    <w:p>
      <w:pPr>
        <w:ind w:left="760" w:hanging="316"/>
        <w:spacing w:after="0"/>
        <w:tabs>
          <w:tab w:leader="none" w:pos="760" w:val="left"/>
        </w:tabs>
        <w:numPr>
          <w:ilvl w:val="0"/>
          <w:numId w:val="2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A Common Stock of the Company.</w:t>
      </w:r>
    </w:p>
    <w:p>
      <w:pPr>
        <w:spacing w:after="0" w:line="113" w:lineRule="exact"/>
        <w:rPr>
          <w:rFonts w:ascii="Arial" w:cs="Arial" w:eastAsia="Arial" w:hAnsi="Arial"/>
          <w:sz w:val="18"/>
          <w:szCs w:val="18"/>
          <w:b w:val="1"/>
          <w:bCs w:val="1"/>
          <w:color w:val="auto"/>
        </w:rPr>
      </w:pPr>
    </w:p>
    <w:p>
      <w:pPr>
        <w:ind w:left="700" w:hanging="256"/>
        <w:spacing w:after="0"/>
        <w:tabs>
          <w:tab w:leader="none" w:pos="700" w:val="left"/>
        </w:tabs>
        <w:numPr>
          <w:ilvl w:val="0"/>
          <w:numId w:val="2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Vera Therapeutics, Inc., a Delaware corporation.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80"/>
          </w:cols>
          <w:pgMar w:left="480" w:top="272" w:right="539" w:bottom="1440" w:gutter="0" w:footer="0" w:header="0"/>
        </w:sectPr>
      </w:pPr>
    </w:p>
    <w:bookmarkStart w:id="359" w:name="page360"/>
    <w:bookmarkEnd w:id="359"/>
    <w:p>
      <w:pPr>
        <w:ind w:left="700" w:hanging="256"/>
        <w:spacing w:after="0"/>
        <w:tabs>
          <w:tab w:leader="none" w:pos="700" w:val="left"/>
        </w:tabs>
        <w:numPr>
          <w:ilvl w:val="0"/>
          <w:numId w:val="28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means the Compensation Committee of the Board.</w:t>
      </w:r>
    </w:p>
    <w:p>
      <w:pPr>
        <w:spacing w:after="0" w:line="113" w:lineRule="exact"/>
        <w:rPr>
          <w:rFonts w:ascii="Arial" w:cs="Arial" w:eastAsia="Arial" w:hAnsi="Arial"/>
          <w:sz w:val="18"/>
          <w:szCs w:val="18"/>
          <w:b w:val="1"/>
          <w:bCs w:val="1"/>
          <w:color w:val="auto"/>
        </w:rPr>
      </w:pPr>
    </w:p>
    <w:p>
      <w:pPr>
        <w:ind w:right="60" w:firstLine="444"/>
        <w:spacing w:after="0" w:line="272" w:lineRule="auto"/>
        <w:tabs>
          <w:tab w:leader="none" w:pos="699" w:val="left"/>
        </w:tabs>
        <w:numPr>
          <w:ilvl w:val="0"/>
          <w:numId w:val="28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69" w:lineRule="exact"/>
        <w:rPr>
          <w:rFonts w:ascii="Arial" w:cs="Arial" w:eastAsia="Arial" w:hAnsi="Arial"/>
          <w:sz w:val="17"/>
          <w:szCs w:val="17"/>
          <w:b w:val="1"/>
          <w:bCs w:val="1"/>
          <w:color w:val="auto"/>
        </w:rPr>
      </w:pPr>
    </w:p>
    <w:p>
      <w:pPr>
        <w:ind w:firstLine="444"/>
        <w:spacing w:after="0" w:line="283" w:lineRule="auto"/>
        <w:tabs>
          <w:tab w:leader="none" w:pos="699" w:val="left"/>
        </w:tabs>
        <w:numPr>
          <w:ilvl w:val="0"/>
          <w:numId w:val="28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62" w:lineRule="exact"/>
        <w:rPr>
          <w:rFonts w:ascii="Arial" w:cs="Arial" w:eastAsia="Arial" w:hAnsi="Arial"/>
          <w:sz w:val="16"/>
          <w:szCs w:val="16"/>
          <w:b w:val="1"/>
          <w:bCs w:val="1"/>
          <w:color w:val="auto"/>
        </w:rPr>
      </w:pPr>
    </w:p>
    <w:p>
      <w:pPr>
        <w:ind w:right="420" w:firstLine="444"/>
        <w:spacing w:after="0" w:line="271" w:lineRule="auto"/>
        <w:tabs>
          <w:tab w:leader="none" w:pos="679" w:val="left"/>
        </w:tabs>
        <w:numPr>
          <w:ilvl w:val="0"/>
          <w:numId w:val="2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67" w:lineRule="exact"/>
        <w:rPr>
          <w:rFonts w:ascii="Arial" w:cs="Arial" w:eastAsia="Arial" w:hAnsi="Arial"/>
          <w:sz w:val="18"/>
          <w:szCs w:val="18"/>
          <w:b w:val="1"/>
          <w:bCs w:val="1"/>
          <w:color w:val="auto"/>
        </w:rPr>
      </w:pPr>
    </w:p>
    <w:p>
      <w:pPr>
        <w:ind w:left="440" w:right="580" w:firstLine="423"/>
        <w:spacing w:after="0" w:line="271" w:lineRule="auto"/>
        <w:tabs>
          <w:tab w:leader="none" w:pos="1072"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of the consolidated assets of the Company and its Subsidiaries;</w:t>
      </w:r>
    </w:p>
    <w:p>
      <w:pPr>
        <w:spacing w:after="0" w:line="67" w:lineRule="exact"/>
        <w:rPr>
          <w:rFonts w:ascii="Arial" w:cs="Arial" w:eastAsia="Arial" w:hAnsi="Arial"/>
          <w:sz w:val="18"/>
          <w:szCs w:val="18"/>
          <w:b w:val="1"/>
          <w:bCs w:val="1"/>
          <w:color w:val="auto"/>
        </w:rPr>
      </w:pPr>
    </w:p>
    <w:p>
      <w:pPr>
        <w:ind w:left="1120" w:hanging="257"/>
        <w:spacing w:after="0"/>
        <w:tabs>
          <w:tab w:leader="none" w:pos="1120"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50% of the outstanding securities of the Company;</w:t>
      </w:r>
    </w:p>
    <w:p>
      <w:pPr>
        <w:spacing w:after="0" w:line="113" w:lineRule="exact"/>
        <w:rPr>
          <w:rFonts w:ascii="Arial" w:cs="Arial" w:eastAsia="Arial" w:hAnsi="Arial"/>
          <w:sz w:val="18"/>
          <w:szCs w:val="18"/>
          <w:b w:val="1"/>
          <w:bCs w:val="1"/>
          <w:color w:val="auto"/>
        </w:rPr>
      </w:pPr>
    </w:p>
    <w:p>
      <w:pPr>
        <w:ind w:left="1180" w:hanging="317"/>
        <w:spacing w:after="0"/>
        <w:tabs>
          <w:tab w:leader="none" w:pos="1180"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480" w:top="272" w:right="499" w:bottom="1440" w:gutter="0" w:footer="0" w:header="0"/>
        </w:sectPr>
      </w:pPr>
    </w:p>
    <w:bookmarkStart w:id="360" w:name="page361"/>
    <w:bookmarkEnd w:id="360"/>
    <w:p>
      <w:pPr>
        <w:jc w:val="both"/>
        <w:ind w:left="440" w:right="360" w:firstLine="423"/>
        <w:spacing w:after="0" w:line="281" w:lineRule="auto"/>
        <w:tabs>
          <w:tab w:leader="none" w:pos="1161" w:val="left"/>
        </w:tabs>
        <w:numPr>
          <w:ilvl w:val="0"/>
          <w:numId w:val="29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62" w:lineRule="exact"/>
        <w:rPr>
          <w:sz w:val="20"/>
          <w:szCs w:val="20"/>
          <w:color w:val="auto"/>
        </w:rPr>
      </w:pPr>
    </w:p>
    <w:p>
      <w:pPr>
        <w:ind w:firstLine="436"/>
        <w:spacing w:after="0" w:line="269" w:lineRule="auto"/>
        <w:rPr>
          <w:sz w:val="20"/>
          <w:szCs w:val="20"/>
          <w:color w:val="auto"/>
        </w:rPr>
      </w:pPr>
      <w:r>
        <w:rPr>
          <w:rFonts w:ascii="Arial" w:cs="Arial" w:eastAsia="Arial" w:hAnsi="Arial"/>
          <w:sz w:val="17"/>
          <w:szCs w:val="17"/>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71" w:lineRule="exact"/>
        <w:rPr>
          <w:sz w:val="20"/>
          <w:szCs w:val="20"/>
          <w:color w:val="auto"/>
        </w:rPr>
      </w:pPr>
    </w:p>
    <w:p>
      <w:pPr>
        <w:ind w:left="680" w:hanging="236"/>
        <w:spacing w:after="0"/>
        <w:tabs>
          <w:tab w:leader="none" w:pos="680" w:val="left"/>
        </w:tabs>
        <w:numPr>
          <w:ilvl w:val="0"/>
          <w:numId w:val="2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3" w:lineRule="exact"/>
        <w:rPr>
          <w:rFonts w:ascii="Arial" w:cs="Arial" w:eastAsia="Arial" w:hAnsi="Arial"/>
          <w:sz w:val="18"/>
          <w:szCs w:val="18"/>
          <w:b w:val="1"/>
          <w:bCs w:val="1"/>
          <w:color w:val="auto"/>
        </w:rPr>
      </w:pPr>
    </w:p>
    <w:p>
      <w:pPr>
        <w:ind w:left="660" w:hanging="216"/>
        <w:spacing w:after="0"/>
        <w:tabs>
          <w:tab w:leader="none" w:pos="660" w:val="left"/>
        </w:tabs>
        <w:numPr>
          <w:ilvl w:val="0"/>
          <w:numId w:val="2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determine</w:t>
      </w:r>
      <w:r>
        <w:rPr>
          <w:rFonts w:ascii="Arial" w:cs="Arial" w:eastAsia="Arial" w:hAnsi="Arial"/>
          <w:sz w:val="18"/>
          <w:szCs w:val="18"/>
          <w:color w:val="auto"/>
        </w:rPr>
        <w:t>” or “</w:t>
      </w:r>
      <w:r>
        <w:rPr>
          <w:rFonts w:ascii="Arial" w:cs="Arial" w:eastAsia="Arial" w:hAnsi="Arial"/>
          <w:sz w:val="18"/>
          <w:szCs w:val="18"/>
          <w:b w:val="1"/>
          <w:bCs w:val="1"/>
          <w:i w:val="1"/>
          <w:iCs w:val="1"/>
          <w:color w:val="auto"/>
        </w:rPr>
        <w:t>determined</w:t>
      </w:r>
      <w:r>
        <w:rPr>
          <w:rFonts w:ascii="Arial" w:cs="Arial" w:eastAsia="Arial" w:hAnsi="Arial"/>
          <w:sz w:val="18"/>
          <w:szCs w:val="18"/>
          <w:color w:val="auto"/>
        </w:rPr>
        <w:t>” means as determined by the Board or the Committee (or its designee) in its sole discretion.</w:t>
      </w:r>
    </w:p>
    <w:p>
      <w:pPr>
        <w:spacing w:after="0" w:line="113" w:lineRule="exact"/>
        <w:rPr>
          <w:rFonts w:ascii="Arial" w:cs="Arial" w:eastAsia="Arial" w:hAnsi="Arial"/>
          <w:sz w:val="18"/>
          <w:szCs w:val="18"/>
          <w:b w:val="1"/>
          <w:bCs w:val="1"/>
          <w:color w:val="auto"/>
        </w:rPr>
      </w:pPr>
    </w:p>
    <w:p>
      <w:pPr>
        <w:jc w:val="both"/>
        <w:ind w:right="380" w:firstLine="444"/>
        <w:spacing w:after="0" w:line="255" w:lineRule="auto"/>
        <w:tabs>
          <w:tab w:leader="none" w:pos="699" w:val="left"/>
        </w:tabs>
        <w:numPr>
          <w:ilvl w:val="0"/>
          <w:numId w:val="2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83" w:lineRule="exact"/>
        <w:rPr>
          <w:rFonts w:ascii="Arial" w:cs="Arial" w:eastAsia="Arial" w:hAnsi="Arial"/>
          <w:sz w:val="18"/>
          <w:szCs w:val="18"/>
          <w:b w:val="1"/>
          <w:bCs w:val="1"/>
          <w:color w:val="auto"/>
        </w:rPr>
      </w:pPr>
    </w:p>
    <w:p>
      <w:pPr>
        <w:ind w:left="700" w:hanging="256"/>
        <w:spacing w:after="0"/>
        <w:tabs>
          <w:tab w:leader="none" w:pos="700" w:val="left"/>
        </w:tabs>
        <w:numPr>
          <w:ilvl w:val="0"/>
          <w:numId w:val="29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immediately prior to the IPO Date, provided that this Plan is approved by the Company’s stockholders prior to the IPO</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Date.</w:t>
      </w:r>
    </w:p>
    <w:p>
      <w:pPr>
        <w:spacing w:after="0" w:line="101" w:lineRule="exact"/>
        <w:rPr>
          <w:rFonts w:ascii="Arial" w:cs="Arial" w:eastAsia="Arial" w:hAnsi="Arial"/>
          <w:sz w:val="16"/>
          <w:szCs w:val="16"/>
          <w:b w:val="1"/>
          <w:bCs w:val="1"/>
          <w:color w:val="auto"/>
        </w:rPr>
      </w:pPr>
    </w:p>
    <w:p>
      <w:pPr>
        <w:ind w:right="120" w:firstLine="444"/>
        <w:spacing w:after="0" w:line="271" w:lineRule="auto"/>
        <w:tabs>
          <w:tab w:leader="none" w:pos="728" w:val="left"/>
        </w:tabs>
        <w:numPr>
          <w:ilvl w:val="0"/>
          <w:numId w:val="2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67" w:lineRule="exact"/>
        <w:rPr>
          <w:rFonts w:ascii="Arial" w:cs="Arial" w:eastAsia="Arial" w:hAnsi="Arial"/>
          <w:sz w:val="18"/>
          <w:szCs w:val="18"/>
          <w:b w:val="1"/>
          <w:bCs w:val="1"/>
          <w:color w:val="auto"/>
        </w:rPr>
      </w:pPr>
    </w:p>
    <w:p>
      <w:pPr>
        <w:ind w:left="700" w:hanging="256"/>
        <w:spacing w:after="0"/>
        <w:tabs>
          <w:tab w:leader="none" w:pos="700" w:val="left"/>
        </w:tabs>
        <w:numPr>
          <w:ilvl w:val="0"/>
          <w:numId w:val="2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means the Company or the Affiliate of the Company that employs the Participant.</w:t>
      </w:r>
    </w:p>
    <w:p>
      <w:pPr>
        <w:spacing w:after="0" w:line="113" w:lineRule="exact"/>
        <w:rPr>
          <w:rFonts w:ascii="Arial" w:cs="Arial" w:eastAsia="Arial" w:hAnsi="Arial"/>
          <w:sz w:val="18"/>
          <w:szCs w:val="18"/>
          <w:b w:val="1"/>
          <w:bCs w:val="1"/>
          <w:color w:val="auto"/>
        </w:rPr>
      </w:pPr>
    </w:p>
    <w:p>
      <w:pPr>
        <w:ind w:left="700" w:hanging="256"/>
        <w:spacing w:after="0"/>
        <w:tabs>
          <w:tab w:leader="none" w:pos="700" w:val="left"/>
        </w:tabs>
        <w:numPr>
          <w:ilvl w:val="0"/>
          <w:numId w:val="2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3" w:lineRule="exact"/>
        <w:rPr>
          <w:rFonts w:ascii="Arial" w:cs="Arial" w:eastAsia="Arial" w:hAnsi="Arial"/>
          <w:sz w:val="18"/>
          <w:szCs w:val="18"/>
          <w:b w:val="1"/>
          <w:bCs w:val="1"/>
          <w:color w:val="auto"/>
        </w:rPr>
      </w:pPr>
    </w:p>
    <w:p>
      <w:pPr>
        <w:ind w:left="680" w:hanging="236"/>
        <w:spacing w:after="0"/>
        <w:tabs>
          <w:tab w:leader="none" w:pos="680"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25" w:lineRule="exact"/>
        <w:rPr>
          <w:sz w:val="20"/>
          <w:szCs w:val="20"/>
          <w:color w:val="auto"/>
        </w:rPr>
      </w:pPr>
    </w:p>
    <w:p>
      <w:pPr>
        <w:ind w:right="260" w:firstLine="444"/>
        <w:spacing w:after="0" w:line="301" w:lineRule="auto"/>
        <w:tabs>
          <w:tab w:leader="none" w:pos="778" w:val="left"/>
        </w:tabs>
        <w:numPr>
          <w:ilvl w:val="0"/>
          <w:numId w:val="29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 Person</w:t>
      </w:r>
      <w:r>
        <w:rPr>
          <w:rFonts w:ascii="Arial" w:cs="Arial" w:eastAsia="Arial" w:hAnsi="Arial"/>
          <w:sz w:val="17"/>
          <w:szCs w:val="17"/>
          <w:color w:val="auto"/>
        </w:rPr>
        <w:t>” means any natural person, Entity or “group” (within the meaning of Section 13(d) or 14(d) of the Exchange Act), except that “Exchange Act Person” will not include (i) the Company or any Subsidiary of the Company, (ii) any employee benefit plan of</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80" w:top="272" w:right="499" w:bottom="1440" w:gutter="0" w:footer="0" w:header="0"/>
        </w:sectPr>
      </w:pPr>
    </w:p>
    <w:bookmarkStart w:id="361" w:name="page362"/>
    <w:bookmarkEnd w:id="361"/>
    <w:p>
      <w:pPr>
        <w:ind w:right="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87" w:lineRule="exact"/>
        <w:rPr>
          <w:sz w:val="20"/>
          <w:szCs w:val="20"/>
          <w:color w:val="auto"/>
        </w:rPr>
      </w:pPr>
    </w:p>
    <w:p>
      <w:pPr>
        <w:ind w:right="120" w:firstLine="444"/>
        <w:spacing w:after="0" w:line="271" w:lineRule="auto"/>
        <w:tabs>
          <w:tab w:leader="none" w:pos="798" w:val="left"/>
        </w:tabs>
        <w:numPr>
          <w:ilvl w:val="1"/>
          <w:numId w:val="29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unless otherwise determined by the Board, the value of the Common Stock (as determined on a per share or aggregate basis, as applicable) determined as follows:</w:t>
      </w:r>
    </w:p>
    <w:p>
      <w:pPr>
        <w:spacing w:after="0" w:line="67" w:lineRule="exact"/>
        <w:rPr>
          <w:rFonts w:ascii="Arial" w:cs="Arial" w:eastAsia="Arial" w:hAnsi="Arial"/>
          <w:sz w:val="18"/>
          <w:szCs w:val="18"/>
          <w:b w:val="1"/>
          <w:bCs w:val="1"/>
          <w:color w:val="auto"/>
        </w:rPr>
      </w:pPr>
    </w:p>
    <w:p>
      <w:pPr>
        <w:ind w:left="440" w:right="160" w:firstLine="423"/>
        <w:spacing w:after="0" w:line="259" w:lineRule="auto"/>
        <w:tabs>
          <w:tab w:leader="none" w:pos="1072" w:val="left"/>
        </w:tabs>
        <w:numPr>
          <w:ilvl w:val="2"/>
          <w:numId w:val="293"/>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78" w:lineRule="exact"/>
        <w:rPr>
          <w:rFonts w:ascii="Arial" w:cs="Arial" w:eastAsia="Arial" w:hAnsi="Arial"/>
          <w:sz w:val="18"/>
          <w:szCs w:val="18"/>
          <w:b w:val="1"/>
          <w:bCs w:val="1"/>
          <w:color w:val="auto"/>
        </w:rPr>
      </w:pPr>
    </w:p>
    <w:p>
      <w:pPr>
        <w:ind w:left="440" w:right="440" w:firstLine="423"/>
        <w:spacing w:after="0" w:line="271" w:lineRule="auto"/>
        <w:tabs>
          <w:tab w:leader="none" w:pos="1121" w:val="left"/>
        </w:tabs>
        <w:numPr>
          <w:ilvl w:val="2"/>
          <w:numId w:val="293"/>
        </w:numPr>
        <w:rPr>
          <w:rFonts w:ascii="Arial" w:cs="Arial" w:eastAsia="Arial" w:hAnsi="Arial"/>
          <w:sz w:val="18"/>
          <w:szCs w:val="18"/>
          <w:b w:val="1"/>
          <w:bCs w:val="1"/>
          <w:color w:val="auto"/>
        </w:rPr>
      </w:pPr>
      <w:r>
        <w:rPr>
          <w:rFonts w:ascii="Arial" w:cs="Arial" w:eastAsia="Arial" w:hAnsi="Arial"/>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67" w:lineRule="exact"/>
        <w:rPr>
          <w:rFonts w:ascii="Arial" w:cs="Arial" w:eastAsia="Arial" w:hAnsi="Arial"/>
          <w:sz w:val="18"/>
          <w:szCs w:val="18"/>
          <w:b w:val="1"/>
          <w:bCs w:val="1"/>
          <w:color w:val="auto"/>
        </w:rPr>
      </w:pPr>
    </w:p>
    <w:p>
      <w:pPr>
        <w:ind w:left="440" w:right="740" w:firstLine="423"/>
        <w:spacing w:after="0" w:line="301" w:lineRule="auto"/>
        <w:tabs>
          <w:tab w:leader="none" w:pos="1171" w:val="left"/>
        </w:tabs>
        <w:numPr>
          <w:ilvl w:val="2"/>
          <w:numId w:val="293"/>
        </w:numPr>
        <w:rPr>
          <w:rFonts w:ascii="Arial" w:cs="Arial" w:eastAsia="Arial" w:hAnsi="Arial"/>
          <w:sz w:val="17"/>
          <w:szCs w:val="17"/>
          <w:b w:val="1"/>
          <w:bCs w:val="1"/>
          <w:color w:val="auto"/>
        </w:rPr>
      </w:pPr>
      <w:r>
        <w:rPr>
          <w:rFonts w:ascii="Arial" w:cs="Arial" w:eastAsia="Arial" w:hAnsi="Arial"/>
          <w:sz w:val="17"/>
          <w:szCs w:val="17"/>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44" w:lineRule="exact"/>
        <w:rPr>
          <w:rFonts w:ascii="Arial" w:cs="Arial" w:eastAsia="Arial" w:hAnsi="Arial"/>
          <w:sz w:val="17"/>
          <w:szCs w:val="17"/>
          <w:b w:val="1"/>
          <w:bCs w:val="1"/>
          <w:color w:val="auto"/>
        </w:rPr>
      </w:pPr>
    </w:p>
    <w:p>
      <w:pPr>
        <w:ind w:left="760" w:hanging="316"/>
        <w:spacing w:after="0"/>
        <w:tabs>
          <w:tab w:leader="none" w:pos="760" w:val="left"/>
        </w:tabs>
        <w:numPr>
          <w:ilvl w:val="1"/>
          <w:numId w:val="29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Fully-Diluted Common Stock</w:t>
      </w:r>
      <w:r>
        <w:rPr>
          <w:rFonts w:ascii="Arial" w:cs="Arial" w:eastAsia="Arial" w:hAnsi="Arial"/>
          <w:sz w:val="16"/>
          <w:szCs w:val="16"/>
          <w:color w:val="auto"/>
        </w:rPr>
        <w:t>” means, as of any date, the aggregate number of (i) shares of Common Stock issued and outstanding and</w:t>
      </w:r>
    </w:p>
    <w:p>
      <w:pPr>
        <w:spacing w:after="0" w:line="42" w:lineRule="exact"/>
        <w:rPr>
          <w:rFonts w:ascii="Arial" w:cs="Arial" w:eastAsia="Arial" w:hAnsi="Arial"/>
          <w:sz w:val="16"/>
          <w:szCs w:val="16"/>
          <w:b w:val="1"/>
          <w:bCs w:val="1"/>
          <w:color w:val="auto"/>
        </w:rPr>
      </w:pPr>
    </w:p>
    <w:p>
      <w:pPr>
        <w:ind w:left="260" w:hanging="253"/>
        <w:spacing w:after="0"/>
        <w:tabs>
          <w:tab w:leader="none" w:pos="2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securities convertible into or exercisable for shares of Common Stock (whether vested or unvested).</w:t>
      </w:r>
    </w:p>
    <w:p>
      <w:pPr>
        <w:spacing w:after="0" w:line="101" w:lineRule="exact"/>
        <w:rPr>
          <w:rFonts w:ascii="Arial" w:cs="Arial" w:eastAsia="Arial" w:hAnsi="Arial"/>
          <w:sz w:val="18"/>
          <w:szCs w:val="18"/>
          <w:color w:val="auto"/>
        </w:rPr>
      </w:pPr>
    </w:p>
    <w:p>
      <w:pPr>
        <w:ind w:firstLine="444"/>
        <w:spacing w:after="0" w:line="252" w:lineRule="auto"/>
        <w:tabs>
          <w:tab w:leader="none" w:pos="798" w:val="left"/>
        </w:tabs>
        <w:numPr>
          <w:ilvl w:val="1"/>
          <w:numId w:val="29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86" w:lineRule="exact"/>
        <w:rPr>
          <w:rFonts w:ascii="Arial" w:cs="Arial" w:eastAsia="Arial" w:hAnsi="Arial"/>
          <w:sz w:val="18"/>
          <w:szCs w:val="18"/>
          <w:b w:val="1"/>
          <w:bCs w:val="1"/>
          <w:color w:val="auto"/>
        </w:rPr>
      </w:pPr>
    </w:p>
    <w:p>
      <w:pPr>
        <w:jc w:val="both"/>
        <w:ind w:right="240" w:firstLine="444"/>
        <w:spacing w:after="0" w:line="281" w:lineRule="auto"/>
        <w:tabs>
          <w:tab w:leader="none" w:pos="758" w:val="left"/>
        </w:tabs>
        <w:numPr>
          <w:ilvl w:val="1"/>
          <w:numId w:val="29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480" w:top="272" w:right="519" w:bottom="1440" w:gutter="0" w:footer="0" w:header="0"/>
        </w:sectPr>
      </w:pPr>
    </w:p>
    <w:bookmarkStart w:id="362" w:name="page363"/>
    <w:bookmarkEnd w:id="362"/>
    <w:p>
      <w:pPr>
        <w:ind w:left="-7" w:firstLine="444"/>
        <w:spacing w:after="0" w:line="271" w:lineRule="auto"/>
        <w:tabs>
          <w:tab w:leader="none" w:pos="711" w:val="left"/>
        </w:tabs>
        <w:numPr>
          <w:ilvl w:val="1"/>
          <w:numId w:val="29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4 of the Plan that is intended to be, and qualifies as, an “incentive stock option” within the meaning of Section 422 of the Code.</w:t>
      </w:r>
    </w:p>
    <w:p>
      <w:pPr>
        <w:spacing w:after="0" w:line="67" w:lineRule="exact"/>
        <w:rPr>
          <w:rFonts w:ascii="Arial" w:cs="Arial" w:eastAsia="Arial" w:hAnsi="Arial"/>
          <w:sz w:val="18"/>
          <w:szCs w:val="18"/>
          <w:b w:val="1"/>
          <w:bCs w:val="1"/>
          <w:color w:val="auto"/>
        </w:rPr>
      </w:pPr>
    </w:p>
    <w:p>
      <w:pPr>
        <w:ind w:left="-7" w:right="120" w:firstLine="444"/>
        <w:spacing w:after="0" w:line="301" w:lineRule="auto"/>
        <w:tabs>
          <w:tab w:leader="none" w:pos="771" w:val="left"/>
        </w:tabs>
        <w:numPr>
          <w:ilvl w:val="1"/>
          <w:numId w:val="29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IPO Date</w:t>
      </w:r>
      <w:r>
        <w:rPr>
          <w:rFonts w:ascii="Arial" w:cs="Arial" w:eastAsia="Arial" w:hAnsi="Arial"/>
          <w:sz w:val="17"/>
          <w:szCs w:val="17"/>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44" w:lineRule="exact"/>
        <w:rPr>
          <w:rFonts w:ascii="Arial" w:cs="Arial" w:eastAsia="Arial" w:hAnsi="Arial"/>
          <w:sz w:val="17"/>
          <w:szCs w:val="17"/>
          <w:b w:val="1"/>
          <w:bCs w:val="1"/>
          <w:color w:val="auto"/>
        </w:rPr>
      </w:pPr>
    </w:p>
    <w:p>
      <w:pPr>
        <w:ind w:left="-7" w:right="140" w:firstLine="444"/>
        <w:spacing w:after="0" w:line="287" w:lineRule="auto"/>
        <w:tabs>
          <w:tab w:leader="none" w:pos="790" w:val="left"/>
        </w:tabs>
        <w:numPr>
          <w:ilvl w:val="1"/>
          <w:numId w:val="29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Materially Impair</w:t>
      </w:r>
      <w:r>
        <w:rPr>
          <w:rFonts w:ascii="Arial" w:cs="Arial" w:eastAsia="Arial" w:hAnsi="Arial"/>
          <w:sz w:val="16"/>
          <w:szCs w:val="16"/>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58" w:lineRule="exact"/>
        <w:rPr>
          <w:rFonts w:ascii="Arial" w:cs="Arial" w:eastAsia="Arial" w:hAnsi="Arial"/>
          <w:sz w:val="16"/>
          <w:szCs w:val="16"/>
          <w:b w:val="1"/>
          <w:bCs w:val="1"/>
          <w:color w:val="auto"/>
        </w:rPr>
      </w:pPr>
    </w:p>
    <w:p>
      <w:pPr>
        <w:ind w:left="-7" w:right="180" w:firstLine="444"/>
        <w:spacing w:after="0" w:line="282" w:lineRule="auto"/>
        <w:tabs>
          <w:tab w:leader="none" w:pos="691" w:val="left"/>
        </w:tabs>
        <w:numPr>
          <w:ilvl w:val="1"/>
          <w:numId w:val="29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6"/>
          <w:szCs w:val="16"/>
          <w:b w:val="1"/>
          <w:bCs w:val="1"/>
          <w:i w:val="1"/>
          <w:iCs w:val="1"/>
          <w:color w:val="auto"/>
        </w:rPr>
        <w:t>Regulation S-K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1" w:lineRule="exact"/>
        <w:rPr>
          <w:rFonts w:ascii="Arial" w:cs="Arial" w:eastAsia="Arial" w:hAnsi="Arial"/>
          <w:sz w:val="16"/>
          <w:szCs w:val="16"/>
          <w:b w:val="1"/>
          <w:bCs w:val="1"/>
          <w:color w:val="auto"/>
        </w:rPr>
      </w:pPr>
    </w:p>
    <w:p>
      <w:pPr>
        <w:ind w:left="253" w:hanging="253"/>
        <w:spacing w:after="0"/>
        <w:tabs>
          <w:tab w:leader="none" w:pos="25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is otherwise considered a “non-employee director” for purposes of Rule 16b-3.</w:t>
      </w:r>
    </w:p>
    <w:p>
      <w:pPr>
        <w:spacing w:after="0" w:line="101" w:lineRule="exact"/>
        <w:rPr>
          <w:rFonts w:ascii="Arial" w:cs="Arial" w:eastAsia="Arial" w:hAnsi="Arial"/>
          <w:sz w:val="18"/>
          <w:szCs w:val="18"/>
          <w:color w:val="auto"/>
        </w:rPr>
      </w:pPr>
    </w:p>
    <w:p>
      <w:pPr>
        <w:ind w:left="-7" w:right="180" w:firstLine="444"/>
        <w:spacing w:after="0" w:line="259" w:lineRule="auto"/>
        <w:tabs>
          <w:tab w:leader="none" w:pos="711" w:val="left"/>
        </w:tabs>
        <w:numPr>
          <w:ilvl w:val="1"/>
          <w:numId w:val="29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Award</w:t>
      </w:r>
      <w:r>
        <w:rPr>
          <w:rFonts w:ascii="Arial" w:cs="Arial" w:eastAsia="Arial" w:hAnsi="Arial"/>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78" w:lineRule="exact"/>
        <w:rPr>
          <w:rFonts w:ascii="Arial" w:cs="Arial" w:eastAsia="Arial" w:hAnsi="Arial"/>
          <w:sz w:val="18"/>
          <w:szCs w:val="18"/>
          <w:b w:val="1"/>
          <w:bCs w:val="1"/>
          <w:color w:val="auto"/>
        </w:rPr>
      </w:pPr>
    </w:p>
    <w:p>
      <w:pPr>
        <w:ind w:left="-7" w:right="600" w:firstLine="444"/>
        <w:spacing w:after="0" w:line="271" w:lineRule="auto"/>
        <w:tabs>
          <w:tab w:leader="none" w:pos="790" w:val="left"/>
        </w:tabs>
        <w:numPr>
          <w:ilvl w:val="1"/>
          <w:numId w:val="29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Director Award</w:t>
      </w:r>
      <w:r>
        <w:rPr>
          <w:rFonts w:ascii="Arial" w:cs="Arial" w:eastAsia="Arial" w:hAnsi="Arial"/>
          <w:sz w:val="18"/>
          <w:szCs w:val="18"/>
          <w:color w:val="auto"/>
        </w:rPr>
        <w:t>” means a Non-Exempt Award granted to a Participant who was a Director but not an Employee on the applicable grant date.</w:t>
      </w:r>
    </w:p>
    <w:p>
      <w:pPr>
        <w:spacing w:after="0" w:line="67" w:lineRule="exact"/>
        <w:rPr>
          <w:rFonts w:ascii="Arial" w:cs="Arial" w:eastAsia="Arial" w:hAnsi="Arial"/>
          <w:sz w:val="18"/>
          <w:szCs w:val="18"/>
          <w:b w:val="1"/>
          <w:bCs w:val="1"/>
          <w:color w:val="auto"/>
        </w:rPr>
      </w:pPr>
    </w:p>
    <w:p>
      <w:pPr>
        <w:ind w:left="-7" w:right="80" w:firstLine="444"/>
        <w:spacing w:after="0" w:line="272" w:lineRule="auto"/>
        <w:tabs>
          <w:tab w:leader="none" w:pos="691" w:val="left"/>
        </w:tabs>
        <w:numPr>
          <w:ilvl w:val="1"/>
          <w:numId w:val="29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Non-Exempt Severance Arrangement</w:t>
      </w:r>
      <w:r>
        <w:rPr>
          <w:rFonts w:ascii="Arial" w:cs="Arial" w:eastAsia="Arial" w:hAnsi="Arial"/>
          <w:sz w:val="17"/>
          <w:szCs w:val="17"/>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and such severance benefit does not satisfy the requirements for an exemption from application of Section 409A provided under Treasury Regulations Section 1.409A-1(b)(4), 1.409A-1(b)(9) or otherwise.</w:t>
      </w:r>
    </w:p>
    <w:p>
      <w:pPr>
        <w:spacing w:after="0" w:line="109"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13"/>
          </w:cols>
          <w:pgMar w:left="487" w:top="272" w:right="499" w:bottom="1440" w:gutter="0" w:footer="0" w:header="0"/>
        </w:sectPr>
      </w:pPr>
    </w:p>
    <w:bookmarkStart w:id="363" w:name="page364"/>
    <w:bookmarkEnd w:id="363"/>
    <w:p>
      <w:pPr>
        <w:ind w:left="900" w:hanging="456"/>
        <w:spacing w:after="0"/>
        <w:tabs>
          <w:tab w:leader="none" w:pos="900" w:val="left"/>
        </w:tabs>
        <w:numPr>
          <w:ilvl w:val="0"/>
          <w:numId w:val="29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any option granted pursuant to Section 4 of the Plan that does not qualify as an Incentive Stock</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Option.</w:t>
      </w:r>
    </w:p>
    <w:p>
      <w:pPr>
        <w:spacing w:after="0" w:line="101" w:lineRule="exact"/>
        <w:rPr>
          <w:rFonts w:ascii="Arial" w:cs="Arial" w:eastAsia="Arial" w:hAnsi="Arial"/>
          <w:sz w:val="16"/>
          <w:szCs w:val="16"/>
          <w:b w:val="1"/>
          <w:bCs w:val="1"/>
          <w:color w:val="auto"/>
        </w:rPr>
      </w:pPr>
    </w:p>
    <w:p>
      <w:pPr>
        <w:ind w:left="800" w:hanging="356"/>
        <w:spacing w:after="0"/>
        <w:tabs>
          <w:tab w:leader="none" w:pos="800"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13" w:lineRule="exact"/>
        <w:rPr>
          <w:rFonts w:ascii="Arial" w:cs="Arial" w:eastAsia="Arial" w:hAnsi="Arial"/>
          <w:sz w:val="18"/>
          <w:szCs w:val="18"/>
          <w:b w:val="1"/>
          <w:bCs w:val="1"/>
          <w:color w:val="auto"/>
        </w:rPr>
      </w:pPr>
    </w:p>
    <w:p>
      <w:pPr>
        <w:ind w:left="780" w:hanging="336"/>
        <w:spacing w:after="0"/>
        <w:tabs>
          <w:tab w:leader="none" w:pos="780" w:val="left"/>
        </w:tabs>
        <w:numPr>
          <w:ilvl w:val="0"/>
          <w:numId w:val="29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Plan.</w:t>
      </w:r>
    </w:p>
    <w:p>
      <w:pPr>
        <w:spacing w:after="0" w:line="101" w:lineRule="exact"/>
        <w:rPr>
          <w:rFonts w:ascii="Arial" w:cs="Arial" w:eastAsia="Arial" w:hAnsi="Arial"/>
          <w:sz w:val="16"/>
          <w:szCs w:val="16"/>
          <w:b w:val="1"/>
          <w:bCs w:val="1"/>
          <w:color w:val="auto"/>
        </w:rPr>
      </w:pPr>
    </w:p>
    <w:p>
      <w:pPr>
        <w:ind w:right="240" w:firstLine="444"/>
        <w:spacing w:after="0" w:line="275" w:lineRule="auto"/>
        <w:tabs>
          <w:tab w:leader="none" w:pos="798" w:val="left"/>
        </w:tabs>
        <w:numPr>
          <w:ilvl w:val="0"/>
          <w:numId w:val="29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 Agreement</w:t>
      </w:r>
      <w:r>
        <w:rPr>
          <w:rFonts w:ascii="Arial" w:cs="Arial" w:eastAsia="Arial" w:hAnsi="Arial"/>
          <w:sz w:val="17"/>
          <w:szCs w:val="17"/>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66" w:lineRule="exact"/>
        <w:rPr>
          <w:rFonts w:ascii="Arial" w:cs="Arial" w:eastAsia="Arial" w:hAnsi="Arial"/>
          <w:sz w:val="17"/>
          <w:szCs w:val="17"/>
          <w:b w:val="1"/>
          <w:bCs w:val="1"/>
          <w:color w:val="auto"/>
        </w:rPr>
      </w:pPr>
    </w:p>
    <w:p>
      <w:pPr>
        <w:ind w:right="700" w:firstLine="444"/>
        <w:spacing w:after="0" w:line="271" w:lineRule="auto"/>
        <w:tabs>
          <w:tab w:leader="none" w:pos="798"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67" w:lineRule="exact"/>
        <w:rPr>
          <w:rFonts w:ascii="Arial" w:cs="Arial" w:eastAsia="Arial" w:hAnsi="Arial"/>
          <w:sz w:val="18"/>
          <w:szCs w:val="18"/>
          <w:b w:val="1"/>
          <w:bCs w:val="1"/>
          <w:color w:val="auto"/>
        </w:rPr>
      </w:pPr>
    </w:p>
    <w:p>
      <w:pPr>
        <w:ind w:right="60" w:firstLine="444"/>
        <w:spacing w:after="0" w:line="307" w:lineRule="auto"/>
        <w:tabs>
          <w:tab w:leader="none" w:pos="758" w:val="left"/>
        </w:tabs>
        <w:numPr>
          <w:ilvl w:val="0"/>
          <w:numId w:val="29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Award</w:t>
      </w:r>
      <w:r>
        <w:rPr>
          <w:rFonts w:ascii="Arial" w:cs="Arial" w:eastAsia="Arial" w:hAnsi="Arial"/>
          <w:sz w:val="16"/>
          <w:szCs w:val="16"/>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42" w:lineRule="exact"/>
        <w:rPr>
          <w:rFonts w:ascii="Arial" w:cs="Arial" w:eastAsia="Arial" w:hAnsi="Arial"/>
          <w:sz w:val="16"/>
          <w:szCs w:val="16"/>
          <w:b w:val="1"/>
          <w:bCs w:val="1"/>
          <w:color w:val="auto"/>
        </w:rPr>
      </w:pPr>
    </w:p>
    <w:p>
      <w:pPr>
        <w:ind w:right="300" w:firstLine="444"/>
        <w:spacing w:after="0" w:line="335" w:lineRule="auto"/>
        <w:tabs>
          <w:tab w:leader="none" w:pos="738" w:val="left"/>
        </w:tabs>
        <w:numPr>
          <w:ilvl w:val="0"/>
          <w:numId w:val="29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Award Agreement</w:t>
      </w:r>
      <w:r>
        <w:rPr>
          <w:rFonts w:ascii="Arial" w:cs="Arial" w:eastAsia="Arial" w:hAnsi="Arial"/>
          <w:sz w:val="16"/>
          <w:szCs w:val="16"/>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21" w:lineRule="exact"/>
        <w:rPr>
          <w:rFonts w:ascii="Arial" w:cs="Arial" w:eastAsia="Arial" w:hAnsi="Arial"/>
          <w:sz w:val="16"/>
          <w:szCs w:val="16"/>
          <w:b w:val="1"/>
          <w:bCs w:val="1"/>
          <w:color w:val="auto"/>
        </w:rPr>
      </w:pPr>
    </w:p>
    <w:p>
      <w:pPr>
        <w:jc w:val="both"/>
        <w:ind w:firstLine="444"/>
        <w:spacing w:after="0" w:line="281" w:lineRule="auto"/>
        <w:tabs>
          <w:tab w:leader="none" w:pos="718" w:val="left"/>
        </w:tabs>
        <w:numPr>
          <w:ilvl w:val="0"/>
          <w:numId w:val="29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62" w:lineRule="exact"/>
        <w:rPr>
          <w:rFonts w:ascii="Arial" w:cs="Arial" w:eastAsia="Arial" w:hAnsi="Arial"/>
          <w:sz w:val="17"/>
          <w:szCs w:val="17"/>
          <w:b w:val="1"/>
          <w:bCs w:val="1"/>
          <w:color w:val="auto"/>
        </w:rPr>
      </w:pPr>
    </w:p>
    <w:p>
      <w:pPr>
        <w:ind w:right="360" w:firstLine="444"/>
        <w:spacing w:after="0" w:line="271" w:lineRule="auto"/>
        <w:tabs>
          <w:tab w:leader="none" w:pos="798"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Employee, Director or Consultant to whom an Award is granted pursuant to the Plan or, if applicable, such other person who holds an outstanding Award.</w:t>
      </w:r>
    </w:p>
    <w:p>
      <w:pPr>
        <w:spacing w:after="0" w:line="67" w:lineRule="exact"/>
        <w:rPr>
          <w:rFonts w:ascii="Arial" w:cs="Arial" w:eastAsia="Arial" w:hAnsi="Arial"/>
          <w:sz w:val="18"/>
          <w:szCs w:val="18"/>
          <w:b w:val="1"/>
          <w:bCs w:val="1"/>
          <w:color w:val="auto"/>
        </w:rPr>
      </w:pPr>
    </w:p>
    <w:p>
      <w:pPr>
        <w:ind w:right="120" w:firstLine="444"/>
        <w:spacing w:after="0" w:line="293" w:lineRule="auto"/>
        <w:tabs>
          <w:tab w:leader="none" w:pos="778" w:val="left"/>
        </w:tabs>
        <w:numPr>
          <w:ilvl w:val="0"/>
          <w:numId w:val="29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0"/>
          </w:cols>
          <w:pgMar w:left="480" w:top="272" w:right="499" w:bottom="1440" w:gutter="0" w:footer="0" w:header="0"/>
        </w:sectPr>
      </w:pPr>
    </w:p>
    <w:bookmarkStart w:id="364" w:name="page365"/>
    <w:bookmarkEnd w:id="364"/>
    <w:p>
      <w:pPr>
        <w:ind w:left="-7" w:firstLine="444"/>
        <w:spacing w:after="0" w:line="282" w:lineRule="auto"/>
        <w:tabs>
          <w:tab w:leader="none" w:pos="850" w:val="left"/>
        </w:tabs>
        <w:numPr>
          <w:ilvl w:val="1"/>
          <w:numId w:val="29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71" w:lineRule="exact"/>
        <w:rPr>
          <w:rFonts w:ascii="Arial" w:cs="Arial" w:eastAsia="Arial" w:hAnsi="Arial"/>
          <w:sz w:val="16"/>
          <w:szCs w:val="16"/>
          <w:b w:val="1"/>
          <w:bCs w:val="1"/>
          <w:color w:val="auto"/>
        </w:rPr>
      </w:pPr>
    </w:p>
    <w:p>
      <w:pPr>
        <w:ind w:left="-7" w:right="40" w:firstLine="444"/>
        <w:spacing w:after="0" w:line="280" w:lineRule="auto"/>
        <w:tabs>
          <w:tab w:leader="none" w:pos="771" w:val="left"/>
        </w:tabs>
        <w:numPr>
          <w:ilvl w:val="1"/>
          <w:numId w:val="29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w:t>
      </w:r>
    </w:p>
    <w:p>
      <w:pPr>
        <w:spacing w:after="0" w:line="6" w:lineRule="exact"/>
        <w:rPr>
          <w:rFonts w:ascii="Arial" w:cs="Arial" w:eastAsia="Arial" w:hAnsi="Arial"/>
          <w:sz w:val="16"/>
          <w:szCs w:val="16"/>
          <w:b w:val="1"/>
          <w:bCs w:val="1"/>
          <w:color w:val="auto"/>
        </w:rPr>
      </w:pPr>
    </w:p>
    <w:p>
      <w:pPr>
        <w:ind w:left="-7" w:right="540" w:firstLine="7"/>
        <w:spacing w:after="0" w:line="256" w:lineRule="auto"/>
        <w:tabs>
          <w:tab w:leader="none" w:pos="24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to exclude the effect of any change in the outstanding shares of common stock of the Company by reason of any stock dividend or split, stock repurchase, reorganization, recapitalization, merger, consolidation, spin-off,</w:t>
      </w:r>
    </w:p>
    <w:p>
      <w:pPr>
        <w:spacing w:after="0" w:line="121"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93"/>
          </w:cols>
          <w:pgMar w:left="487" w:top="272" w:right="519" w:bottom="1440" w:gutter="0" w:footer="0" w:header="0"/>
        </w:sectPr>
      </w:pPr>
    </w:p>
    <w:bookmarkStart w:id="365" w:name="page366"/>
    <w:bookmarkEnd w:id="36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combination or exchange of shares or other similar corporate change, or any distributions to common stockholders other than regular cash dividends;</w:t>
      </w:r>
    </w:p>
    <w:p>
      <w:pPr>
        <w:spacing w:after="0" w:line="43" w:lineRule="exact"/>
        <w:rPr>
          <w:sz w:val="20"/>
          <w:szCs w:val="20"/>
          <w:color w:val="auto"/>
        </w:rPr>
      </w:pPr>
    </w:p>
    <w:p>
      <w:pPr>
        <w:ind w:right="20" w:firstLine="7"/>
        <w:spacing w:after="0" w:line="284" w:lineRule="auto"/>
        <w:tabs>
          <w:tab w:leader="none" w:pos="252"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64" w:lineRule="exact"/>
        <w:rPr>
          <w:rFonts w:ascii="Arial" w:cs="Arial" w:eastAsia="Arial" w:hAnsi="Arial"/>
          <w:sz w:val="16"/>
          <w:szCs w:val="16"/>
          <w:color w:val="auto"/>
        </w:rPr>
      </w:pPr>
    </w:p>
    <w:p>
      <w:pPr>
        <w:ind w:right="100" w:firstLine="444"/>
        <w:spacing w:after="0" w:line="259" w:lineRule="auto"/>
        <w:tabs>
          <w:tab w:leader="none" w:pos="778" w:val="left"/>
        </w:tabs>
        <w:numPr>
          <w:ilvl w:val="1"/>
          <w:numId w:val="30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78" w:lineRule="exact"/>
        <w:rPr>
          <w:rFonts w:ascii="Arial" w:cs="Arial" w:eastAsia="Arial" w:hAnsi="Arial"/>
          <w:sz w:val="18"/>
          <w:szCs w:val="18"/>
          <w:b w:val="1"/>
          <w:bCs w:val="1"/>
          <w:color w:val="auto"/>
        </w:rPr>
      </w:pPr>
    </w:p>
    <w:p>
      <w:pPr>
        <w:ind w:left="760" w:hanging="316"/>
        <w:spacing w:after="0"/>
        <w:tabs>
          <w:tab w:leader="none" w:pos="760" w:val="left"/>
        </w:tabs>
        <w:numPr>
          <w:ilvl w:val="1"/>
          <w:numId w:val="30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Vera Therapeutics, Inc. 2021 Equity Incentive Plan, as amended from time to time.</w:t>
      </w:r>
    </w:p>
    <w:p>
      <w:pPr>
        <w:spacing w:after="0" w:line="114" w:lineRule="exact"/>
        <w:rPr>
          <w:sz w:val="20"/>
          <w:szCs w:val="20"/>
          <w:color w:val="auto"/>
        </w:rPr>
      </w:pPr>
    </w:p>
    <w:p>
      <w:pPr>
        <w:ind w:right="100" w:firstLine="444"/>
        <w:spacing w:after="0" w:line="271" w:lineRule="auto"/>
        <w:tabs>
          <w:tab w:leader="none" w:pos="867"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the person, persons, and/or third-party administrator designated by the Company to administer the day to day operations of the Plan and the Company’s other equity incentive programs.</w:t>
      </w:r>
    </w:p>
    <w:p>
      <w:pPr>
        <w:spacing w:after="0" w:line="67" w:lineRule="exact"/>
        <w:rPr>
          <w:rFonts w:ascii="Arial" w:cs="Arial" w:eastAsia="Arial" w:hAnsi="Arial"/>
          <w:sz w:val="18"/>
          <w:szCs w:val="18"/>
          <w:b w:val="1"/>
          <w:bCs w:val="1"/>
          <w:color w:val="auto"/>
        </w:rPr>
      </w:pPr>
    </w:p>
    <w:p>
      <w:pPr>
        <w:ind w:right="40" w:firstLine="444"/>
        <w:spacing w:after="0" w:line="271" w:lineRule="auto"/>
        <w:tabs>
          <w:tab w:leader="none" w:pos="897"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Post-Termination Exercise Period</w:t>
      </w:r>
      <w:r>
        <w:rPr>
          <w:rFonts w:ascii="Arial" w:cs="Arial" w:eastAsia="Arial" w:hAnsi="Arial"/>
          <w:sz w:val="18"/>
          <w:szCs w:val="18"/>
          <w:color w:val="auto"/>
        </w:rPr>
        <w:t>” means the period following termination of a Participant’s Continuous Service within which an Option or SAR is exercisable, as specified in Section 4(h).</w:t>
      </w:r>
    </w:p>
    <w:p>
      <w:pPr>
        <w:spacing w:after="0" w:line="67" w:lineRule="exact"/>
        <w:rPr>
          <w:rFonts w:ascii="Arial" w:cs="Arial" w:eastAsia="Arial" w:hAnsi="Arial"/>
          <w:sz w:val="18"/>
          <w:szCs w:val="18"/>
          <w:b w:val="1"/>
          <w:bCs w:val="1"/>
          <w:color w:val="auto"/>
        </w:rPr>
      </w:pPr>
    </w:p>
    <w:p>
      <w:pPr>
        <w:ind w:right="140" w:firstLine="444"/>
        <w:spacing w:after="0" w:line="335" w:lineRule="auto"/>
        <w:tabs>
          <w:tab w:leader="none" w:pos="837" w:val="left"/>
        </w:tabs>
        <w:numPr>
          <w:ilvl w:val="0"/>
          <w:numId w:val="30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or “</w:t>
      </w:r>
      <w:r>
        <w:rPr>
          <w:rFonts w:ascii="Arial" w:cs="Arial" w:eastAsia="Arial" w:hAnsi="Arial"/>
          <w:sz w:val="16"/>
          <w:szCs w:val="16"/>
          <w:b w:val="1"/>
          <w:bCs w:val="1"/>
          <w:i w:val="1"/>
          <w:iCs w:val="1"/>
          <w:color w:val="auto"/>
        </w:rPr>
        <w:t>RSA</w:t>
      </w:r>
      <w:r>
        <w:rPr>
          <w:rFonts w:ascii="Arial" w:cs="Arial" w:eastAsia="Arial" w:hAnsi="Arial"/>
          <w:sz w:val="16"/>
          <w:szCs w:val="16"/>
          <w:color w:val="auto"/>
        </w:rPr>
        <w:t>” means an Award of shares of Common Stock which is granted pursuant to the terms and conditions of Section 5(a).</w:t>
      </w:r>
    </w:p>
    <w:p>
      <w:pPr>
        <w:spacing w:after="0" w:line="21" w:lineRule="exact"/>
        <w:rPr>
          <w:rFonts w:ascii="Arial" w:cs="Arial" w:eastAsia="Arial" w:hAnsi="Arial"/>
          <w:sz w:val="16"/>
          <w:szCs w:val="16"/>
          <w:b w:val="1"/>
          <w:bCs w:val="1"/>
          <w:color w:val="auto"/>
        </w:rPr>
      </w:pPr>
    </w:p>
    <w:p>
      <w:pPr>
        <w:ind w:firstLine="444"/>
        <w:spacing w:after="0" w:line="253" w:lineRule="auto"/>
        <w:tabs>
          <w:tab w:leader="none" w:pos="897"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85" w:lineRule="exact"/>
        <w:rPr>
          <w:rFonts w:ascii="Arial" w:cs="Arial" w:eastAsia="Arial" w:hAnsi="Arial"/>
          <w:sz w:val="18"/>
          <w:szCs w:val="18"/>
          <w:b w:val="1"/>
          <w:bCs w:val="1"/>
          <w:color w:val="auto"/>
        </w:rPr>
      </w:pPr>
    </w:p>
    <w:p>
      <w:pPr>
        <w:ind w:right="260" w:firstLine="444"/>
        <w:spacing w:after="0" w:line="283" w:lineRule="auto"/>
        <w:tabs>
          <w:tab w:leader="none" w:pos="837" w:val="left"/>
        </w:tabs>
        <w:numPr>
          <w:ilvl w:val="0"/>
          <w:numId w:val="30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Returning Shares</w:t>
      </w:r>
      <w:r>
        <w:rPr>
          <w:rFonts w:ascii="Arial" w:cs="Arial" w:eastAsia="Arial" w:hAnsi="Arial"/>
          <w:sz w:val="16"/>
          <w:szCs w:val="16"/>
          <w:color w:val="auto"/>
        </w:rPr>
        <w:t>” means shares subject to outstanding stock awards granted under the Company’s 2017 Equity Incentive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w:t>
      </w:r>
    </w:p>
    <w:p>
      <w:pPr>
        <w:ind w:right="400"/>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shares; (D) are withheld or reacquired to satisfy the exercise, strike or purchase price; or (E) are withheld or reacquired to satisfy a tax withholding obligation.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80"/>
          </w:cols>
          <w:pgMar w:left="480" w:top="272" w:right="539" w:bottom="1440" w:gutter="0" w:footer="0" w:header="0"/>
        </w:sectPr>
      </w:pPr>
    </w:p>
    <w:bookmarkStart w:id="366" w:name="page367"/>
    <w:bookmarkEnd w:id="366"/>
    <w:p>
      <w:pPr>
        <w:ind w:left="-60" w:right="160" w:firstLine="444"/>
        <w:spacing w:after="0" w:line="271" w:lineRule="auto"/>
        <w:tabs>
          <w:tab w:leader="none" w:pos="718"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an Award of restricted stock units representing the right to receive an issuance of shares of Common Stock which is granted pursuant to the terms and conditions of Section 5(a).</w:t>
      </w:r>
    </w:p>
    <w:p>
      <w:pPr>
        <w:spacing w:after="0" w:line="67" w:lineRule="exact"/>
        <w:rPr>
          <w:rFonts w:ascii="Arial" w:cs="Arial" w:eastAsia="Arial" w:hAnsi="Arial"/>
          <w:sz w:val="18"/>
          <w:szCs w:val="18"/>
          <w:b w:val="1"/>
          <w:bCs w:val="1"/>
          <w:color w:val="auto"/>
        </w:rPr>
      </w:pPr>
    </w:p>
    <w:p>
      <w:pPr>
        <w:ind w:left="-60" w:right="100" w:firstLine="444"/>
        <w:spacing w:after="0" w:line="297" w:lineRule="auto"/>
        <w:tabs>
          <w:tab w:leader="none" w:pos="807" w:val="left"/>
        </w:tabs>
        <w:numPr>
          <w:ilvl w:val="0"/>
          <w:numId w:val="30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RSU Award Agreement</w:t>
      </w:r>
      <w:r>
        <w:rPr>
          <w:rFonts w:ascii="Arial" w:cs="Arial" w:eastAsia="Arial" w:hAnsi="Arial"/>
          <w:sz w:val="16"/>
          <w:szCs w:val="16"/>
          <w:color w:val="auto"/>
        </w:rPr>
        <w:t>”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52" w:lineRule="exact"/>
        <w:rPr>
          <w:rFonts w:ascii="Arial" w:cs="Arial" w:eastAsia="Arial" w:hAnsi="Arial"/>
          <w:sz w:val="16"/>
          <w:szCs w:val="16"/>
          <w:b w:val="1"/>
          <w:bCs w:val="1"/>
          <w:color w:val="auto"/>
        </w:rPr>
      </w:pPr>
    </w:p>
    <w:p>
      <w:pPr>
        <w:ind w:left="840" w:hanging="456"/>
        <w:spacing w:after="0"/>
        <w:tabs>
          <w:tab w:leader="none" w:pos="840" w:val="left"/>
        </w:tabs>
        <w:numPr>
          <w:ilvl w:val="0"/>
          <w:numId w:val="30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means Rule 16b-3 promulgated under the Exchange Act or any successor to Rule 16b-3, as in effect from time to time.</w:t>
      </w:r>
    </w:p>
    <w:p>
      <w:pPr>
        <w:spacing w:after="0" w:line="125" w:lineRule="exact"/>
        <w:rPr>
          <w:rFonts w:ascii="Arial" w:cs="Arial" w:eastAsia="Arial" w:hAnsi="Arial"/>
          <w:sz w:val="17"/>
          <w:szCs w:val="17"/>
          <w:b w:val="1"/>
          <w:bCs w:val="1"/>
          <w:color w:val="auto"/>
        </w:rPr>
      </w:pPr>
    </w:p>
    <w:p>
      <w:pPr>
        <w:ind w:left="700" w:hanging="316"/>
        <w:spacing w:after="0"/>
        <w:tabs>
          <w:tab w:leader="none" w:pos="700"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113" w:lineRule="exact"/>
        <w:rPr>
          <w:rFonts w:ascii="Arial" w:cs="Arial" w:eastAsia="Arial" w:hAnsi="Arial"/>
          <w:sz w:val="18"/>
          <w:szCs w:val="18"/>
          <w:b w:val="1"/>
          <w:bCs w:val="1"/>
          <w:color w:val="auto"/>
        </w:rPr>
      </w:pPr>
    </w:p>
    <w:p>
      <w:pPr>
        <w:ind w:left="720" w:hanging="336"/>
        <w:spacing w:after="0"/>
        <w:tabs>
          <w:tab w:leader="none" w:pos="720"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the regulations and other guidance thereunder.</w:t>
      </w:r>
    </w:p>
    <w:p>
      <w:pPr>
        <w:spacing w:after="0" w:line="113" w:lineRule="exact"/>
        <w:rPr>
          <w:rFonts w:ascii="Arial" w:cs="Arial" w:eastAsia="Arial" w:hAnsi="Arial"/>
          <w:sz w:val="18"/>
          <w:szCs w:val="18"/>
          <w:b w:val="1"/>
          <w:bCs w:val="1"/>
          <w:color w:val="auto"/>
        </w:rPr>
      </w:pPr>
    </w:p>
    <w:p>
      <w:pPr>
        <w:ind w:left="-60" w:right="360" w:firstLine="444"/>
        <w:spacing w:after="0" w:line="259" w:lineRule="auto"/>
        <w:tabs>
          <w:tab w:leader="none" w:pos="837"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 Change in Control</w:t>
      </w:r>
      <w:r>
        <w:rPr>
          <w:rFonts w:ascii="Arial" w:cs="Arial" w:eastAsia="Arial" w:hAnsi="Arial"/>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78" w:lineRule="exact"/>
        <w:rPr>
          <w:rFonts w:ascii="Arial" w:cs="Arial" w:eastAsia="Arial" w:hAnsi="Arial"/>
          <w:sz w:val="18"/>
          <w:szCs w:val="18"/>
          <w:b w:val="1"/>
          <w:bCs w:val="1"/>
          <w:color w:val="auto"/>
        </w:rPr>
      </w:pPr>
    </w:p>
    <w:p>
      <w:pPr>
        <w:ind w:left="700" w:hanging="316"/>
        <w:spacing w:after="0"/>
        <w:tabs>
          <w:tab w:leader="none" w:pos="700"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3" w:lineRule="exact"/>
        <w:rPr>
          <w:rFonts w:ascii="Arial" w:cs="Arial" w:eastAsia="Arial" w:hAnsi="Arial"/>
          <w:sz w:val="18"/>
          <w:szCs w:val="18"/>
          <w:b w:val="1"/>
          <w:bCs w:val="1"/>
          <w:color w:val="auto"/>
        </w:rPr>
      </w:pPr>
    </w:p>
    <w:p>
      <w:pPr>
        <w:ind w:left="1000" w:hanging="616"/>
        <w:spacing w:after="0"/>
        <w:tabs>
          <w:tab w:leader="none" w:pos="1000"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means the number of shares available for issuance under the Plan as set forth in Section 2(a).</w:t>
      </w:r>
    </w:p>
    <w:p>
      <w:pPr>
        <w:spacing w:after="0" w:line="113" w:lineRule="exact"/>
        <w:rPr>
          <w:rFonts w:ascii="Arial" w:cs="Arial" w:eastAsia="Arial" w:hAnsi="Arial"/>
          <w:sz w:val="18"/>
          <w:szCs w:val="18"/>
          <w:b w:val="1"/>
          <w:bCs w:val="1"/>
          <w:color w:val="auto"/>
        </w:rPr>
      </w:pPr>
    </w:p>
    <w:p>
      <w:pPr>
        <w:ind w:left="-60" w:firstLine="444"/>
        <w:spacing w:after="0" w:line="271" w:lineRule="auto"/>
        <w:tabs>
          <w:tab w:leader="none" w:pos="837"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4.</w:t>
      </w:r>
    </w:p>
    <w:p>
      <w:pPr>
        <w:spacing w:after="0" w:line="67" w:lineRule="exact"/>
        <w:rPr>
          <w:rFonts w:ascii="Arial" w:cs="Arial" w:eastAsia="Arial" w:hAnsi="Arial"/>
          <w:sz w:val="18"/>
          <w:szCs w:val="18"/>
          <w:b w:val="1"/>
          <w:bCs w:val="1"/>
          <w:color w:val="auto"/>
        </w:rPr>
      </w:pPr>
    </w:p>
    <w:p>
      <w:pPr>
        <w:ind w:left="-60" w:right="80" w:firstLine="444"/>
        <w:spacing w:after="0" w:line="297" w:lineRule="auto"/>
        <w:tabs>
          <w:tab w:leader="none" w:pos="807" w:val="left"/>
        </w:tabs>
        <w:numPr>
          <w:ilvl w:val="0"/>
          <w:numId w:val="30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SAR Agreement</w:t>
      </w:r>
      <w:r>
        <w:rPr>
          <w:rFonts w:ascii="Arial" w:cs="Arial" w:eastAsia="Arial" w:hAnsi="Arial"/>
          <w:sz w:val="16"/>
          <w:szCs w:val="16"/>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52" w:lineRule="exact"/>
        <w:rPr>
          <w:rFonts w:ascii="Arial" w:cs="Arial" w:eastAsia="Arial" w:hAnsi="Arial"/>
          <w:sz w:val="16"/>
          <w:szCs w:val="16"/>
          <w:b w:val="1"/>
          <w:bCs w:val="1"/>
          <w:color w:val="auto"/>
        </w:rPr>
      </w:pPr>
    </w:p>
    <w:p>
      <w:pPr>
        <w:ind w:left="-60" w:right="180" w:firstLine="444"/>
        <w:spacing w:after="0" w:line="259" w:lineRule="auto"/>
        <w:tabs>
          <w:tab w:leader="none" w:pos="837"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00"/>
          </w:cols>
          <w:pgMar w:left="540" w:top="273" w:right="559" w:bottom="1440" w:gutter="0" w:footer="0" w:header="0"/>
        </w:sectPr>
      </w:pPr>
    </w:p>
    <w:bookmarkStart w:id="367" w:name="page368"/>
    <w:bookmarkEnd w:id="36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79" w:lineRule="exact"/>
        <w:rPr>
          <w:sz w:val="20"/>
          <w:szCs w:val="20"/>
          <w:color w:val="auto"/>
        </w:rPr>
      </w:pPr>
    </w:p>
    <w:p>
      <w:pPr>
        <w:ind w:right="340" w:firstLine="444"/>
        <w:spacing w:after="0" w:line="271" w:lineRule="auto"/>
        <w:tabs>
          <w:tab w:leader="none" w:pos="897"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67" w:lineRule="exact"/>
        <w:rPr>
          <w:rFonts w:ascii="Arial" w:cs="Arial" w:eastAsia="Arial" w:hAnsi="Arial"/>
          <w:sz w:val="18"/>
          <w:szCs w:val="18"/>
          <w:b w:val="1"/>
          <w:bCs w:val="1"/>
          <w:color w:val="auto"/>
        </w:rPr>
      </w:pPr>
    </w:p>
    <w:p>
      <w:pPr>
        <w:ind w:right="60" w:firstLine="444"/>
        <w:spacing w:after="0" w:line="301" w:lineRule="auto"/>
        <w:tabs>
          <w:tab w:leader="none" w:pos="837" w:val="left"/>
        </w:tabs>
        <w:numPr>
          <w:ilvl w:val="0"/>
          <w:numId w:val="30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Policy</w:t>
      </w:r>
      <w:r>
        <w:rPr>
          <w:rFonts w:ascii="Arial" w:cs="Arial" w:eastAsia="Arial" w:hAnsi="Arial"/>
          <w:sz w:val="17"/>
          <w:szCs w:val="17"/>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44" w:lineRule="exact"/>
        <w:rPr>
          <w:rFonts w:ascii="Arial" w:cs="Arial" w:eastAsia="Arial" w:hAnsi="Arial"/>
          <w:sz w:val="17"/>
          <w:szCs w:val="17"/>
          <w:b w:val="1"/>
          <w:bCs w:val="1"/>
          <w:color w:val="auto"/>
        </w:rPr>
      </w:pPr>
    </w:p>
    <w:p>
      <w:pPr>
        <w:ind w:firstLine="444"/>
        <w:spacing w:after="0" w:line="395" w:lineRule="auto"/>
        <w:tabs>
          <w:tab w:leader="none" w:pos="808" w:val="left"/>
        </w:tabs>
        <w:numPr>
          <w:ilvl w:val="0"/>
          <w:numId w:val="303"/>
        </w:numPr>
        <w:rPr>
          <w:rFonts w:ascii="Arial" w:cs="Arial" w:eastAsia="Arial" w:hAnsi="Arial"/>
          <w:sz w:val="14"/>
          <w:szCs w:val="14"/>
          <w:b w:val="1"/>
          <w:bCs w:val="1"/>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Unvested Non-Exempt Award</w:t>
      </w:r>
      <w:r>
        <w:rPr>
          <w:rFonts w:ascii="Arial" w:cs="Arial" w:eastAsia="Arial" w:hAnsi="Arial"/>
          <w:sz w:val="14"/>
          <w:szCs w:val="14"/>
          <w:color w:val="auto"/>
        </w:rPr>
        <w:t>” means the portion of any Non-Exempt Award that had not vested in accordance with its terms upon or prior to the date of any Corporate Transaction.</w:t>
      </w:r>
    </w:p>
    <w:p>
      <w:pPr>
        <w:spacing w:after="0" w:line="5" w:lineRule="exact"/>
        <w:rPr>
          <w:rFonts w:ascii="Arial" w:cs="Arial" w:eastAsia="Arial" w:hAnsi="Arial"/>
          <w:sz w:val="14"/>
          <w:szCs w:val="14"/>
          <w:b w:val="1"/>
          <w:bCs w:val="1"/>
          <w:color w:val="auto"/>
        </w:rPr>
      </w:pPr>
    </w:p>
    <w:p>
      <w:pPr>
        <w:ind w:right="60" w:firstLine="444"/>
        <w:spacing w:after="0" w:line="271" w:lineRule="auto"/>
        <w:tabs>
          <w:tab w:leader="none" w:pos="778"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Non-Exempt Award</w:t>
      </w:r>
      <w:r>
        <w:rPr>
          <w:rFonts w:ascii="Arial" w:cs="Arial" w:eastAsia="Arial" w:hAnsi="Arial"/>
          <w:sz w:val="18"/>
          <w:szCs w:val="18"/>
          <w:color w:val="auto"/>
        </w:rPr>
        <w:t>” means the portion of any Non-Exempt Award that had vested in accordance with its terms upon or prior to the date of a Corporate Transaction.</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60"/>
          </w:cols>
          <w:pgMar w:left="480" w:top="272" w:right="55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t>Exhibit 10.4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THERAPEUTICS, INC.</w:t>
      </w:r>
    </w:p>
    <w:p>
      <w:pPr>
        <w:spacing w:after="0" w:line="22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STOCK OPTION GRANT NOTICE</w:t>
      </w:r>
    </w:p>
    <w:p>
      <w:pPr>
        <w:spacing w:after="0" w:line="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(2021 EQUITY INCENTIVE PLAN)</w:t>
      </w:r>
    </w:p>
    <w:p>
      <w:pPr>
        <w:spacing w:after="0" w:line="20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Vera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2021 Equity Incentive Plan (as may be amended and/or restated as of the Date of Grant set forth below,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granted to Optionholder an option to purchase the number of shares of the Common Stock set forth below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The Option is subject to all of the terms and conditions as set forth in this Stock Option Grant Notice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in the Plan, the Option Agreement, and the Notice of Exercise, all of which are attached to this Grant Notice and incorporated into this Grant Notice in their entirety. Capitalized terms not explicitly defined in this Grant Notice but defined in the Plan or the Option Agreement shall have the meanings set forth in the Plan or the Option Agreement, as applicable. If the Company uses an electronic capitalization table system (such as Carta or Shareworks) and the fields below are blank or the information is otherwise provided in a different format electronically, the blank fields and other information (such as exercise schedule and type of grant) shall be deemed to come from the electronic capitalization system and is considered part of this Grant Notice.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13335</wp:posOffset>
            </wp:positionV>
            <wp:extent cx="45008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4">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13335</wp:posOffset>
            </wp:positionV>
            <wp:extent cx="45008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5">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13335</wp:posOffset>
            </wp:positionV>
            <wp:extent cx="45008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6">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13335</wp:posOffset>
            </wp:positionV>
            <wp:extent cx="45008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7">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(Per Share)</w:t>
      </w:r>
      <w:r>
        <w:rPr>
          <w:rFonts w:ascii="Arial" w:cs="Arial" w:eastAsia="Arial" w:hAnsi="Arial"/>
          <w:sz w:val="15"/>
          <w:szCs w:val="15"/>
          <w:color w:val="auto"/>
        </w:rPr>
        <w:t>1</w:t>
      </w:r>
      <w:r>
        <w:rPr>
          <w:rFonts w:ascii="Arial" w:cs="Arial" w:eastAsia="Arial" w:hAnsi="Arial"/>
          <w:sz w:val="18"/>
          <w:szCs w:val="18"/>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80" w:type="dxa"/>
            <w:vAlign w:val="bottom"/>
          </w:tcPr>
          <w:p>
            <w:pPr>
              <w:spacing w:after="0"/>
              <w:rPr>
                <w:sz w:val="20"/>
                <w:szCs w:val="20"/>
                <w:color w:val="auto"/>
              </w:rPr>
            </w:pPr>
            <w:r>
              <w:rPr>
                <w:rFonts w:ascii="Arial" w:cs="Arial" w:eastAsia="Arial" w:hAnsi="Arial"/>
                <w:sz w:val="18"/>
                <w:szCs w:val="18"/>
                <w:color w:val="auto"/>
                <w:w w:val="94"/>
              </w:rPr>
              <w:t>Total Exercise Price:</w:t>
            </w:r>
          </w:p>
        </w:tc>
        <w:tc>
          <w:tcPr>
            <w:tcW w:w="2260" w:type="dxa"/>
            <w:vAlign w:val="bottom"/>
          </w:tcPr>
          <w:p>
            <w:pPr>
              <w:spacing w:after="0"/>
              <w:rPr>
                <w:sz w:val="19"/>
                <w:szCs w:val="19"/>
                <w:color w:val="auto"/>
              </w:rPr>
            </w:pPr>
          </w:p>
        </w:tc>
        <w:tc>
          <w:tcPr>
            <w:tcW w:w="7080" w:type="dxa"/>
            <w:vAlign w:val="bottom"/>
            <w:tcBorders>
              <w:top w:val="single" w:sz="8" w:color="auto"/>
              <w:bottom w:val="single" w:sz="8" w:color="auto"/>
            </w:tcBorders>
          </w:tcPr>
          <w:p>
            <w:pPr>
              <w:spacing w:after="0"/>
              <w:rPr>
                <w:sz w:val="19"/>
                <w:szCs w:val="19"/>
                <w:color w:val="auto"/>
              </w:rPr>
            </w:pPr>
          </w:p>
        </w:tc>
      </w:tr>
      <w:tr>
        <w:trPr>
          <w:trHeight w:val="219"/>
        </w:trPr>
        <w:tc>
          <w:tcPr>
            <w:tcW w:w="1580" w:type="dxa"/>
            <w:vAlign w:val="bottom"/>
          </w:tcPr>
          <w:p>
            <w:pPr>
              <w:spacing w:after="0"/>
              <w:rPr>
                <w:sz w:val="20"/>
                <w:szCs w:val="20"/>
                <w:color w:val="auto"/>
              </w:rPr>
            </w:pPr>
            <w:r>
              <w:rPr>
                <w:rFonts w:ascii="Arial" w:cs="Arial" w:eastAsia="Arial" w:hAnsi="Arial"/>
                <w:sz w:val="18"/>
                <w:szCs w:val="18"/>
                <w:color w:val="auto"/>
              </w:rPr>
              <w:t>Expiration Date:</w:t>
            </w:r>
          </w:p>
        </w:tc>
        <w:tc>
          <w:tcPr>
            <w:tcW w:w="2260" w:type="dxa"/>
            <w:vAlign w:val="bottom"/>
          </w:tcPr>
          <w:p>
            <w:pPr>
              <w:spacing w:after="0"/>
              <w:rPr>
                <w:sz w:val="19"/>
                <w:szCs w:val="19"/>
                <w:color w:val="auto"/>
              </w:rPr>
            </w:pPr>
          </w:p>
        </w:tc>
        <w:tc>
          <w:tcPr>
            <w:tcW w:w="7080" w:type="dxa"/>
            <w:vAlign w:val="bottom"/>
            <w:tcBorders>
              <w:bottom w:val="single" w:sz="8" w:color="auto"/>
            </w:tcBorders>
          </w:tcPr>
          <w:p>
            <w:pPr>
              <w:spacing w:after="0"/>
              <w:rPr>
                <w:sz w:val="19"/>
                <w:szCs w:val="19"/>
                <w:color w:val="auto"/>
              </w:rPr>
            </w:pP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Exercise Schedule:</w:t>
            </w:r>
          </w:p>
        </w:tc>
        <w:tc>
          <w:tcPr>
            <w:tcW w:w="2260" w:type="dxa"/>
            <w:vAlign w:val="bottom"/>
          </w:tcPr>
          <w:p>
            <w:pPr>
              <w:spacing w:after="0"/>
              <w:rPr>
                <w:sz w:val="19"/>
                <w:szCs w:val="19"/>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[Same as Vesting Schedule]</w:t>
            </w:r>
          </w:p>
        </w:tc>
      </w:tr>
      <w:tr>
        <w:trPr>
          <w:trHeight w:val="221"/>
        </w:trPr>
        <w:tc>
          <w:tcPr>
            <w:tcW w:w="1580" w:type="dxa"/>
            <w:vAlign w:val="bottom"/>
          </w:tcPr>
          <w:p>
            <w:pPr>
              <w:spacing w:after="0"/>
              <w:rPr>
                <w:sz w:val="20"/>
                <w:szCs w:val="20"/>
                <w:color w:val="auto"/>
              </w:rPr>
            </w:pPr>
            <w:r>
              <w:rPr>
                <w:rFonts w:ascii="Arial" w:cs="Arial" w:eastAsia="Arial" w:hAnsi="Arial"/>
                <w:sz w:val="18"/>
                <w:szCs w:val="18"/>
                <w:color w:val="auto"/>
              </w:rPr>
              <w:t>Type of Grant</w:t>
            </w:r>
            <w:r>
              <w:rPr>
                <w:rFonts w:ascii="Arial" w:cs="Arial" w:eastAsia="Arial" w:hAnsi="Arial"/>
                <w:sz w:val="15"/>
                <w:szCs w:val="15"/>
                <w:color w:val="auto"/>
              </w:rPr>
              <w:t>2</w:t>
            </w:r>
            <w:r>
              <w:rPr>
                <w:rFonts w:ascii="Arial" w:cs="Arial" w:eastAsia="Arial" w:hAnsi="Arial"/>
                <w:sz w:val="18"/>
                <w:szCs w:val="18"/>
                <w:color w:val="auto"/>
              </w:rPr>
              <w:t>:</w:t>
            </w:r>
          </w:p>
        </w:tc>
        <w:tc>
          <w:tcPr>
            <w:tcW w:w="2260" w:type="dxa"/>
            <w:vAlign w:val="bottom"/>
          </w:tcPr>
          <w:p>
            <w:pPr>
              <w:spacing w:after="0"/>
              <w:rPr>
                <w:sz w:val="19"/>
                <w:szCs w:val="19"/>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[Incentive Stock Option] [Nonstatutory Stock Option]</w:t>
            </w:r>
          </w:p>
        </w:tc>
      </w:tr>
      <w:tr>
        <w:trPr>
          <w:trHeight w:val="447"/>
        </w:trPr>
        <w:tc>
          <w:tcPr>
            <w:tcW w:w="1580" w:type="dxa"/>
            <w:vAlign w:val="bottom"/>
          </w:tcPr>
          <w:p>
            <w:pPr>
              <w:spacing w:after="0"/>
              <w:rPr>
                <w:sz w:val="20"/>
                <w:szCs w:val="20"/>
                <w:color w:val="auto"/>
              </w:rPr>
            </w:pPr>
            <w:r>
              <w:rPr>
                <w:rFonts w:ascii="Arial" w:cs="Arial" w:eastAsia="Arial" w:hAnsi="Arial"/>
                <w:sz w:val="18"/>
                <w:szCs w:val="18"/>
                <w:b w:val="1"/>
                <w:bCs w:val="1"/>
                <w:color w:val="auto"/>
                <w:w w:val="99"/>
              </w:rPr>
              <w:t>Vesting Schedule:</w:t>
            </w:r>
          </w:p>
        </w:tc>
        <w:tc>
          <w:tcPr>
            <w:tcW w:w="9340" w:type="dxa"/>
            <w:vAlign w:val="bottom"/>
            <w:gridSpan w:val="2"/>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Sample of standard vesting.</w:t>
            </w:r>
            <w:r>
              <w:rPr>
                <w:rFonts w:ascii="Arial" w:cs="Arial" w:eastAsia="Arial" w:hAnsi="Arial"/>
                <w:sz w:val="18"/>
                <w:szCs w:val="18"/>
                <w:color w:val="auto"/>
                <w:w w:val="90"/>
              </w:rPr>
              <w:t xml:space="preserve"> 12/48ths of the total shares will vest on the one-year anniversary of the Vesting Commencement</w:t>
            </w:r>
          </w:p>
        </w:tc>
      </w:tr>
      <w:tr>
        <w:trPr>
          <w:trHeight w:val="214"/>
        </w:trPr>
        <w:tc>
          <w:tcPr>
            <w:tcW w:w="1580" w:type="dxa"/>
            <w:vAlign w:val="bottom"/>
          </w:tcPr>
          <w:p>
            <w:pPr>
              <w:spacing w:after="0"/>
              <w:rPr>
                <w:sz w:val="18"/>
                <w:szCs w:val="18"/>
                <w:color w:val="auto"/>
              </w:rPr>
            </w:pPr>
          </w:p>
        </w:tc>
        <w:tc>
          <w:tcPr>
            <w:tcW w:w="9340" w:type="dxa"/>
            <w:vAlign w:val="bottom"/>
            <w:gridSpan w:val="2"/>
          </w:tcPr>
          <w:p>
            <w:pPr>
              <w:ind w:left="80"/>
              <w:spacing w:after="0"/>
              <w:rPr>
                <w:sz w:val="20"/>
                <w:szCs w:val="20"/>
                <w:color w:val="auto"/>
              </w:rPr>
            </w:pPr>
            <w:r>
              <w:rPr>
                <w:rFonts w:ascii="Arial" w:cs="Arial" w:eastAsia="Arial" w:hAnsi="Arial"/>
                <w:sz w:val="18"/>
                <w:szCs w:val="18"/>
                <w:color w:val="auto"/>
                <w:w w:val="89"/>
              </w:rPr>
              <w:t>Date, and 1/48th of the total shares will vest each month thereafter on the same day of the month as the Vesting Commencement</w:t>
            </w:r>
          </w:p>
        </w:tc>
      </w:tr>
      <w:tr>
        <w:trPr>
          <w:trHeight w:val="214"/>
        </w:trPr>
        <w:tc>
          <w:tcPr>
            <w:tcW w:w="1580" w:type="dxa"/>
            <w:vAlign w:val="bottom"/>
          </w:tcPr>
          <w:p>
            <w:pPr>
              <w:spacing w:after="0"/>
              <w:rPr>
                <w:sz w:val="18"/>
                <w:szCs w:val="18"/>
                <w:color w:val="auto"/>
              </w:rPr>
            </w:pPr>
          </w:p>
        </w:tc>
        <w:tc>
          <w:tcPr>
            <w:tcW w:w="9340" w:type="dxa"/>
            <w:vAlign w:val="bottom"/>
            <w:gridSpan w:val="2"/>
          </w:tcPr>
          <w:p>
            <w:pPr>
              <w:ind w:left="80"/>
              <w:spacing w:after="0"/>
              <w:rPr>
                <w:sz w:val="20"/>
                <w:szCs w:val="20"/>
                <w:color w:val="auto"/>
              </w:rPr>
            </w:pPr>
            <w:r>
              <w:rPr>
                <w:rFonts w:ascii="Arial" w:cs="Arial" w:eastAsia="Arial" w:hAnsi="Arial"/>
                <w:sz w:val="18"/>
                <w:szCs w:val="18"/>
                <w:color w:val="auto"/>
                <w:w w:val="90"/>
              </w:rPr>
              <w:t>Date (or if there is no corresponding day, on the last day of the month), subject to Optionholder’s Continuous Service as of each</w:t>
            </w:r>
          </w:p>
        </w:tc>
      </w:tr>
      <w:tr>
        <w:trPr>
          <w:trHeight w:val="227"/>
        </w:trPr>
        <w:tc>
          <w:tcPr>
            <w:tcW w:w="1580" w:type="dxa"/>
            <w:vAlign w:val="bottom"/>
          </w:tcPr>
          <w:p>
            <w:pPr>
              <w:spacing w:after="0"/>
              <w:rPr>
                <w:sz w:val="19"/>
                <w:szCs w:val="19"/>
                <w:color w:val="auto"/>
              </w:rPr>
            </w:pPr>
          </w:p>
        </w:tc>
        <w:tc>
          <w:tcPr>
            <w:tcW w:w="9340" w:type="dxa"/>
            <w:vAlign w:val="bottom"/>
            <w:gridSpan w:val="2"/>
          </w:tcPr>
          <w:p>
            <w:pPr>
              <w:ind w:left="80"/>
              <w:spacing w:after="0"/>
              <w:rPr>
                <w:sz w:val="20"/>
                <w:szCs w:val="20"/>
                <w:color w:val="auto"/>
              </w:rPr>
            </w:pPr>
            <w:r>
              <w:rPr>
                <w:rFonts w:ascii="Arial" w:cs="Arial" w:eastAsia="Arial" w:hAnsi="Arial"/>
                <w:sz w:val="18"/>
                <w:szCs w:val="18"/>
                <w:color w:val="auto"/>
              </w:rPr>
              <w:t>such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76454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75" w:lineRule="exact"/>
        <w:rPr>
          <w:sz w:val="20"/>
          <w:szCs w:val="20"/>
          <w:color w:val="auto"/>
        </w:rPr>
      </w:pPr>
    </w:p>
    <w:p>
      <w:pPr>
        <w:ind w:left="440" w:hanging="433"/>
        <w:spacing w:after="0"/>
        <w:tabs>
          <w:tab w:leader="none" w:pos="440" w:val="left"/>
        </w:tabs>
        <w:numPr>
          <w:ilvl w:val="0"/>
          <w:numId w:val="304"/>
        </w:numPr>
        <w:rPr>
          <w:rFonts w:ascii="Arial" w:cs="Arial" w:eastAsia="Arial" w:hAnsi="Arial"/>
          <w:sz w:val="15"/>
          <w:szCs w:val="15"/>
          <w:color w:val="auto"/>
        </w:rPr>
      </w:pPr>
      <w:r>
        <w:rPr>
          <w:rFonts w:ascii="Arial" w:cs="Arial" w:eastAsia="Arial" w:hAnsi="Arial"/>
          <w:sz w:val="18"/>
          <w:szCs w:val="18"/>
          <w:color w:val="auto"/>
        </w:rPr>
        <w:t>The exercise price may be paid by one or a combination of the methods permitted in the Option Agreement.</w:t>
      </w:r>
    </w:p>
    <w:p>
      <w:pPr>
        <w:spacing w:after="0" w:line="20" w:lineRule="exact"/>
        <w:rPr>
          <w:sz w:val="20"/>
          <w:szCs w:val="20"/>
          <w:color w:val="auto"/>
        </w:rPr>
      </w:pPr>
    </w:p>
    <w:p>
      <w:pPr>
        <w:ind w:left="440" w:right="40" w:hanging="433"/>
        <w:spacing w:after="0" w:line="256" w:lineRule="auto"/>
        <w:tabs>
          <w:tab w:leader="none" w:pos="440" w:val="left"/>
        </w:tabs>
        <w:numPr>
          <w:ilvl w:val="0"/>
          <w:numId w:val="305"/>
        </w:numPr>
        <w:rPr>
          <w:rFonts w:ascii="Arial" w:cs="Arial" w:eastAsia="Arial" w:hAnsi="Arial"/>
          <w:sz w:val="15"/>
          <w:szCs w:val="15"/>
          <w:color w:val="auto"/>
        </w:rPr>
      </w:pPr>
      <w:r>
        <w:rPr>
          <w:rFonts w:ascii="Arial" w:cs="Arial" w:eastAsia="Arial" w:hAnsi="Arial"/>
          <w:sz w:val="18"/>
          <w:szCs w:val="18"/>
          <w:color w:val="auto"/>
        </w:rPr>
        <w:t xml:space="preserve">If this is an Incentive Stock Option, it (plus other outstanding Incentive Stock Options) cannot be first </w:t>
      </w:r>
      <w:r>
        <w:rPr>
          <w:rFonts w:ascii="Arial" w:cs="Arial" w:eastAsia="Arial" w:hAnsi="Arial"/>
          <w:sz w:val="18"/>
          <w:szCs w:val="18"/>
          <w:i w:val="1"/>
          <w:iCs w:val="1"/>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sectPr>
          <w:pgSz w:w="11900" w:h="16838" w:orient="portrait"/>
          <w:cols w:equalWidth="0" w:num="1">
            <w:col w:w="10920"/>
          </w:cols>
          <w:pgMar w:left="480" w:top="121" w:right="499" w:bottom="1440" w:gutter="0" w:footer="0" w:header="0"/>
        </w:sectPr>
      </w:pPr>
    </w:p>
    <w:bookmarkStart w:id="369" w:name="page370"/>
    <w:bookmarkEnd w:id="369"/>
    <w:p>
      <w:pPr>
        <w:ind w:right="2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Optionholder Acknowledgements: </w:t>
      </w:r>
      <w:r>
        <w:rPr>
          <w:rFonts w:ascii="Arial" w:cs="Arial" w:eastAsia="Arial" w:hAnsi="Arial"/>
          <w:sz w:val="18"/>
          <w:szCs w:val="18"/>
          <w:color w:val="auto"/>
        </w:rPr>
        <w:t>By Optionholder’s signature below or by electronic acceptance or authentication in a form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Optionholder understands and agrees that the Option is governed by this Stock Option Grant Notice, and the provisions of the Plan and the Option Agreement and the Notice of Exercise, all of which are made a part of this document.</w:t>
      </w:r>
    </w:p>
    <w:p>
      <w:pPr>
        <w:spacing w:after="0" w:line="1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By accepting this Option, Optionholder consents to receive this Grant Notice, the Option Agreement, the Plan, and any other Plan-related documents by electronic delivery and to participate in the Plan through an on-line or electronic system established and maintained by the Company or another third party designated by the Company. Optionholder represents that he or she has read and is familiar with the provisions of the Plan and the Option Agreement. Optionholder acknowledges and agrees that this Grant Notice and the Option Agreement may not be modified, amended or revised except in writing signed by Optionholder and a duly authorized officer of the Company.</w:t>
      </w:r>
    </w:p>
    <w:p>
      <w:pPr>
        <w:spacing w:after="0" w:line="176"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Optionholder further acknowledges that in the event of any conflict between the provisions in this Grant Notice, the Option Agreement, the Notice of Exercise and the terms of the Plan, the terms of the Plan shall control. Optionholder further acknowledges that the Option Agreement sets forth the entire understanding between Optionholder and the Company regarding the acquisition of Common Stock and supersedes all prior oral and written agreements, promises and/or representations on that subject with the exception of other equity awards previously granted to Optionholder and any written employment agreement, offer letter, severance agreement, written severance plan or policy, or other written agreement between the Company and Optionholder in each case that specifies the terms that should govern this Option.</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Optionholder further acknowledges that this Grant Notice has been prepared on behalf of the Company by Cooley LLP, counsel to the Company and that Cooley LLP does not represent, and is not acting on behalf of, Optionholder in any capacity. Optionholder has been provided with an opportunity to consult with Optionholder’s own counsel with respect to this Grant Notice.</w:t>
      </w:r>
    </w:p>
    <w:p>
      <w:pPr>
        <w:spacing w:after="0" w:line="18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Grant Notice may be executed in one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Vera Therapeutics, Inc.</w:t>
            </w:r>
          </w:p>
        </w:tc>
        <w:tc>
          <w:tcPr>
            <w:tcW w:w="5460" w:type="dxa"/>
            <w:vAlign w:val="bottom"/>
            <w:gridSpan w:val="2"/>
          </w:tcPr>
          <w:p>
            <w:pPr>
              <w:ind w:left="100"/>
              <w:spacing w:after="0"/>
              <w:rPr>
                <w:sz w:val="20"/>
                <w:szCs w:val="20"/>
                <w:color w:val="auto"/>
              </w:rPr>
            </w:pPr>
            <w:r>
              <w:rPr>
                <w:rFonts w:ascii="Arial" w:cs="Arial" w:eastAsia="Arial" w:hAnsi="Arial"/>
                <w:sz w:val="18"/>
                <w:szCs w:val="18"/>
                <w:b w:val="1"/>
                <w:bCs w:val="1"/>
                <w:color w:val="auto"/>
              </w:rPr>
              <w:t>Optionholder:</w:t>
            </w:r>
          </w:p>
        </w:tc>
      </w:tr>
      <w:tr>
        <w:trPr>
          <w:trHeight w:val="429"/>
        </w:trPr>
        <w:tc>
          <w:tcPr>
            <w:tcW w:w="5460" w:type="dxa"/>
            <w:vAlign w:val="bottom"/>
            <w:gridSpan w:val="2"/>
          </w:tcPr>
          <w:p>
            <w:pPr>
              <w:spacing w:after="0"/>
              <w:rPr>
                <w:sz w:val="20"/>
                <w:szCs w:val="20"/>
                <w:color w:val="auto"/>
              </w:rPr>
            </w:pPr>
            <w:r>
              <w:rPr>
                <w:rFonts w:ascii="Arial" w:cs="Arial" w:eastAsia="Arial" w:hAnsi="Arial"/>
                <w:sz w:val="18"/>
                <w:szCs w:val="18"/>
                <w:color w:val="auto"/>
              </w:rPr>
              <w:t>By:</w:t>
            </w:r>
          </w:p>
        </w:tc>
        <w:tc>
          <w:tcPr>
            <w:tcW w:w="5460" w:type="dxa"/>
            <w:vAlign w:val="bottom"/>
            <w:gridSpan w:val="2"/>
          </w:tcPr>
          <w:p>
            <w:pPr>
              <w:ind w:left="100"/>
              <w:spacing w:after="0"/>
              <w:rPr>
                <w:sz w:val="20"/>
                <w:szCs w:val="20"/>
                <w:color w:val="auto"/>
              </w:rPr>
            </w:pPr>
            <w:r>
              <w:rPr>
                <w:rFonts w:ascii="Arial" w:cs="Arial" w:eastAsia="Arial" w:hAnsi="Arial"/>
                <w:sz w:val="18"/>
                <w:szCs w:val="18"/>
                <w:color w:val="auto"/>
              </w:rPr>
              <w:t>By:</w:t>
            </w:r>
          </w:p>
        </w:tc>
      </w:tr>
      <w:tr>
        <w:trPr>
          <w:trHeight w:val="221"/>
        </w:trPr>
        <w:tc>
          <w:tcPr>
            <w:tcW w:w="540" w:type="dxa"/>
            <w:vAlign w:val="bottom"/>
          </w:tcPr>
          <w:p>
            <w:pPr>
              <w:spacing w:after="0"/>
              <w:rPr>
                <w:sz w:val="19"/>
                <w:szCs w:val="19"/>
                <w:color w:val="auto"/>
              </w:rPr>
            </w:pPr>
          </w:p>
        </w:tc>
        <w:tc>
          <w:tcPr>
            <w:tcW w:w="4920" w:type="dxa"/>
            <w:vAlign w:val="bottom"/>
            <w:tcBorders>
              <w:top w:val="single" w:sz="8" w:color="auto"/>
            </w:tcBorders>
          </w:tcPr>
          <w:p>
            <w:pPr>
              <w:ind w:left="2060"/>
              <w:spacing w:after="0"/>
              <w:rPr>
                <w:sz w:val="20"/>
                <w:szCs w:val="20"/>
                <w:color w:val="auto"/>
              </w:rPr>
            </w:pPr>
            <w:r>
              <w:rPr>
                <w:rFonts w:ascii="Arial" w:cs="Arial" w:eastAsia="Arial" w:hAnsi="Arial"/>
                <w:sz w:val="18"/>
                <w:szCs w:val="18"/>
                <w:color w:val="auto"/>
              </w:rPr>
              <w:t>(Signature)</w:t>
            </w:r>
          </w:p>
        </w:tc>
        <w:tc>
          <w:tcPr>
            <w:tcW w:w="780" w:type="dxa"/>
            <w:vAlign w:val="bottom"/>
          </w:tcPr>
          <w:p>
            <w:pPr>
              <w:spacing w:after="0"/>
              <w:rPr>
                <w:sz w:val="19"/>
                <w:szCs w:val="19"/>
                <w:color w:val="auto"/>
              </w:rPr>
            </w:pPr>
          </w:p>
        </w:tc>
        <w:tc>
          <w:tcPr>
            <w:tcW w:w="4680" w:type="dxa"/>
            <w:vAlign w:val="bottom"/>
            <w:tcBorders>
              <w:top w:val="single" w:sz="8" w:color="auto"/>
            </w:tcBorders>
          </w:tcPr>
          <w:p>
            <w:pPr>
              <w:ind w:left="1940"/>
              <w:spacing w:after="0"/>
              <w:rPr>
                <w:sz w:val="20"/>
                <w:szCs w:val="20"/>
                <w:color w:val="auto"/>
              </w:rPr>
            </w:pPr>
            <w:r>
              <w:rPr>
                <w:rFonts w:ascii="Arial" w:cs="Arial" w:eastAsia="Arial" w:hAnsi="Arial"/>
                <w:sz w:val="18"/>
                <w:szCs w:val="18"/>
                <w:color w:val="auto"/>
              </w:rPr>
              <w:t>(Signature)</w:t>
            </w:r>
          </w:p>
        </w:tc>
      </w:tr>
      <w:tr>
        <w:trPr>
          <w:trHeight w:val="428"/>
        </w:trPr>
        <w:tc>
          <w:tcPr>
            <w:tcW w:w="54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460" w:type="dxa"/>
            <w:vAlign w:val="bottom"/>
            <w:gridSpan w:val="2"/>
          </w:tcPr>
          <w:p>
            <w:pPr>
              <w:ind w:left="100"/>
              <w:spacing w:after="0"/>
              <w:rPr>
                <w:sz w:val="20"/>
                <w:szCs w:val="20"/>
                <w:color w:val="auto"/>
              </w:rPr>
            </w:pPr>
            <w:r>
              <w:rPr>
                <w:rFonts w:ascii="Arial" w:cs="Arial" w:eastAsia="Arial" w:hAnsi="Arial"/>
                <w:sz w:val="18"/>
                <w:szCs w:val="18"/>
                <w:color w:val="auto"/>
              </w:rPr>
              <w:t>Email:</w:t>
            </w:r>
          </w:p>
        </w:tc>
      </w:tr>
      <w:tr>
        <w:trPr>
          <w:trHeight w:val="221"/>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Borders>
              <w:top w:val="single" w:sz="8" w:color="auto"/>
              <w:bottom w:val="single" w:sz="8" w:color="auto"/>
            </w:tcBorders>
          </w:tcPr>
          <w:p>
            <w:pPr>
              <w:spacing w:after="0"/>
              <w:rPr>
                <w:sz w:val="19"/>
                <w:szCs w:val="19"/>
                <w:color w:val="auto"/>
              </w:rPr>
            </w:pPr>
          </w:p>
        </w:tc>
        <w:tc>
          <w:tcPr>
            <w:tcW w:w="780" w:type="dxa"/>
            <w:vAlign w:val="bottom"/>
          </w:tcPr>
          <w:p>
            <w:pPr>
              <w:ind w:left="100"/>
              <w:spacing w:after="0"/>
              <w:rPr>
                <w:sz w:val="20"/>
                <w:szCs w:val="20"/>
                <w:color w:val="auto"/>
              </w:rPr>
            </w:pPr>
            <w:r>
              <w:rPr>
                <w:rFonts w:ascii="Arial" w:cs="Arial" w:eastAsia="Arial" w:hAnsi="Arial"/>
                <w:sz w:val="18"/>
                <w:szCs w:val="18"/>
                <w:color w:val="auto"/>
              </w:rPr>
              <w:t>Date:</w:t>
            </w:r>
          </w:p>
        </w:tc>
        <w:tc>
          <w:tcPr>
            <w:tcW w:w="4680" w:type="dxa"/>
            <w:vAlign w:val="bottom"/>
            <w:tcBorders>
              <w:top w:val="single" w:sz="8" w:color="auto"/>
              <w:bottom w:val="single" w:sz="8" w:color="auto"/>
            </w:tcBorders>
          </w:tcPr>
          <w:p>
            <w:pPr>
              <w:spacing w:after="0"/>
              <w:rPr>
                <w:sz w:val="19"/>
                <w:szCs w:val="19"/>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Option Agreement, 2021 Equity Incentive Plan and Notice of Exercise</w:t>
      </w:r>
    </w:p>
    <w:p>
      <w:pPr>
        <w:sectPr>
          <w:pgSz w:w="11900" w:h="16838" w:orient="portrait"/>
          <w:cols w:equalWidth="0" w:num="1">
            <w:col w:w="10920"/>
          </w:cols>
          <w:pgMar w:left="480" w:top="268" w:right="499" w:bottom="1440" w:gutter="0" w:footer="0" w:header="0"/>
        </w:sectPr>
      </w:pPr>
    </w:p>
    <w:bookmarkStart w:id="370" w:name="page371"/>
    <w:bookmarkEnd w:id="3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ATTACHMENT 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AGREEMENT</w:t>
      </w:r>
    </w:p>
    <w:p>
      <w:pPr>
        <w:sectPr>
          <w:pgSz w:w="11900" w:h="16838" w:orient="portrait"/>
          <w:cols w:equalWidth="0" w:num="1">
            <w:col w:w="9019"/>
          </w:cols>
          <w:pgMar w:left="1440" w:top="268" w:right="1440" w:bottom="1440" w:gutter="0" w:footer="0" w:header="0"/>
        </w:sectPr>
      </w:pPr>
    </w:p>
    <w:bookmarkStart w:id="371" w:name="page372"/>
    <w:bookmarkEnd w:id="37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VERA THERAPEUTICS, INC.</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2021 EQUITY INCENTIVE PLAN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AGREEMENT</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(INCENTIVE STOCK OPTION OR NONSTATUTORY STOCK OPTION)</w:t>
      </w:r>
    </w:p>
    <w:p>
      <w:pPr>
        <w:spacing w:after="0" w:line="208" w:lineRule="exact"/>
        <w:rPr>
          <w:sz w:val="20"/>
          <w:szCs w:val="20"/>
          <w:color w:val="auto"/>
        </w:rPr>
      </w:pPr>
    </w:p>
    <w:p>
      <w:pPr>
        <w:ind w:right="120" w:firstLine="436"/>
        <w:spacing w:after="0" w:line="252" w:lineRule="auto"/>
        <w:rPr>
          <w:sz w:val="20"/>
          <w:szCs w:val="20"/>
          <w:color w:val="auto"/>
        </w:rPr>
      </w:pPr>
      <w:r>
        <w:rPr>
          <w:rFonts w:ascii="Arial" w:cs="Arial" w:eastAsia="Arial" w:hAnsi="Arial"/>
          <w:sz w:val="18"/>
          <w:szCs w:val="18"/>
          <w:color w:val="auto"/>
        </w:rPr>
        <w:t>Pursuant to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Option Agreement, Vera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option under its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details of your option, in addition to those set forth in the Grant Notice and the Plan, are as follows:</w:t>
      </w:r>
    </w:p>
    <w:p>
      <w:pPr>
        <w:spacing w:after="0" w:line="217" w:lineRule="exact"/>
        <w:rPr>
          <w:sz w:val="20"/>
          <w:szCs w:val="20"/>
          <w:color w:val="auto"/>
        </w:rPr>
      </w:pPr>
    </w:p>
    <w:p>
      <w:pPr>
        <w:ind w:left="620" w:hanging="176"/>
        <w:spacing w:after="0"/>
        <w:tabs>
          <w:tab w:leader="none" w:pos="620" w:val="left"/>
        </w:tabs>
        <w:numPr>
          <w:ilvl w:val="1"/>
          <w:numId w:val="306"/>
        </w:numPr>
        <w:rPr>
          <w:rFonts w:ascii="Arial" w:cs="Arial" w:eastAsia="Arial" w:hAnsi="Arial"/>
          <w:sz w:val="17"/>
          <w:szCs w:val="17"/>
          <w:b w:val="1"/>
          <w:bCs w:val="1"/>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Your option will vest as provided in your Grant Notice. Vesting will cease upon the termination of your Continuous Service.</w:t>
      </w:r>
    </w:p>
    <w:p>
      <w:pPr>
        <w:spacing w:after="0" w:line="232" w:lineRule="exact"/>
        <w:rPr>
          <w:rFonts w:ascii="Arial" w:cs="Arial" w:eastAsia="Arial" w:hAnsi="Arial"/>
          <w:sz w:val="17"/>
          <w:szCs w:val="17"/>
          <w:b w:val="1"/>
          <w:bCs w:val="1"/>
          <w:color w:val="auto"/>
        </w:rPr>
      </w:pPr>
    </w:p>
    <w:p>
      <w:pPr>
        <w:ind w:right="260" w:firstLine="444"/>
        <w:spacing w:after="0" w:line="275" w:lineRule="auto"/>
        <w:tabs>
          <w:tab w:leader="none" w:pos="614" w:val="left"/>
        </w:tabs>
        <w:numPr>
          <w:ilvl w:val="1"/>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and Exercise Price</w:t>
      </w:r>
      <w:r>
        <w:rPr>
          <w:rFonts w:ascii="Arial" w:cs="Arial" w:eastAsia="Arial" w:hAnsi="Arial"/>
          <w:sz w:val="18"/>
          <w:szCs w:val="18"/>
          <w:color w:val="auto"/>
        </w:rPr>
        <w:t>. The number of shares of Common Stock subject to your option and your exercise price per share in</w:t>
      </w:r>
      <w:r>
        <w:rPr>
          <w:rFonts w:ascii="Arial" w:cs="Arial" w:eastAsia="Arial" w:hAnsi="Arial"/>
          <w:sz w:val="18"/>
          <w:szCs w:val="18"/>
          <w:b w:val="1"/>
          <w:bCs w:val="1"/>
          <w:color w:val="auto"/>
        </w:rPr>
        <w:t xml:space="preserve"> </w:t>
      </w:r>
      <w:r>
        <w:rPr>
          <w:rFonts w:ascii="Arial" w:cs="Arial" w:eastAsia="Arial" w:hAnsi="Arial"/>
          <w:sz w:val="18"/>
          <w:szCs w:val="18"/>
          <w:color w:val="auto"/>
        </w:rPr>
        <w:t>your Grant Notice will be adjusted for Capitalization Adjustments.</w:t>
      </w:r>
    </w:p>
    <w:p>
      <w:pPr>
        <w:spacing w:after="0" w:line="167" w:lineRule="exact"/>
        <w:rPr>
          <w:rFonts w:ascii="Arial" w:cs="Arial" w:eastAsia="Arial" w:hAnsi="Arial"/>
          <w:sz w:val="18"/>
          <w:szCs w:val="18"/>
          <w:b w:val="1"/>
          <w:bCs w:val="1"/>
          <w:color w:val="auto"/>
        </w:rPr>
      </w:pPr>
    </w:p>
    <w:p>
      <w:pPr>
        <w:ind w:firstLine="444"/>
        <w:spacing w:after="0" w:line="291" w:lineRule="auto"/>
        <w:tabs>
          <w:tab w:leader="none" w:pos="614" w:val="left"/>
        </w:tabs>
        <w:numPr>
          <w:ilvl w:val="1"/>
          <w:numId w:val="306"/>
        </w:numPr>
        <w:rPr>
          <w:rFonts w:ascii="Arial" w:cs="Arial" w:eastAsia="Arial" w:hAnsi="Arial"/>
          <w:sz w:val="16"/>
          <w:szCs w:val="16"/>
          <w:b w:val="1"/>
          <w:bCs w:val="1"/>
          <w:color w:val="auto"/>
        </w:rPr>
      </w:pPr>
      <w:r>
        <w:rPr>
          <w:rFonts w:ascii="Arial" w:cs="Arial" w:eastAsia="Arial" w:hAnsi="Arial"/>
          <w:sz w:val="16"/>
          <w:szCs w:val="16"/>
          <w:b w:val="1"/>
          <w:bCs w:val="1"/>
          <w:color w:val="auto"/>
        </w:rPr>
        <w:t>Exercise Restriction for Non-Exempt Employees</w:t>
      </w:r>
      <w:r>
        <w:rPr>
          <w:rFonts w:ascii="Arial" w:cs="Arial" w:eastAsia="Arial" w:hAnsi="Arial"/>
          <w:sz w:val="16"/>
          <w:szCs w:val="16"/>
          <w:color w:val="auto"/>
        </w:rPr>
        <w:t>. If you are an Employee eligible for overtime compensation under the Fair Labor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Act of 1938, as amended (that is, a “</w:t>
      </w:r>
      <w:r>
        <w:rPr>
          <w:rFonts w:ascii="Arial" w:cs="Arial" w:eastAsia="Arial" w:hAnsi="Arial"/>
          <w:sz w:val="16"/>
          <w:szCs w:val="16"/>
          <w:b w:val="1"/>
          <w:bCs w:val="1"/>
          <w:i w:val="1"/>
          <w:iCs w:val="1"/>
          <w:color w:val="auto"/>
        </w:rPr>
        <w:t>Non-Exempt Employee</w:t>
      </w:r>
      <w:r>
        <w:rPr>
          <w:rFonts w:ascii="Arial" w:cs="Arial" w:eastAsia="Arial" w:hAnsi="Arial"/>
          <w:sz w:val="16"/>
          <w:szCs w:val="16"/>
          <w:color w:val="auto"/>
        </w:rPr>
        <w:t>”), and except as otherwise provided in the Plan, you may not exercise your option until you have completed at least six months of Continuous Service measured from the Date of Grant, even if you have already been an employee for more than six months. Consistent with the provisions of the Worker Economic Opportunity Act, you may exercise your option as to any vested portion prior to such six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59" w:lineRule="exact"/>
        <w:rPr>
          <w:rFonts w:ascii="Arial" w:cs="Arial" w:eastAsia="Arial" w:hAnsi="Arial"/>
          <w:sz w:val="16"/>
          <w:szCs w:val="16"/>
          <w:b w:val="1"/>
          <w:bCs w:val="1"/>
          <w:color w:val="auto"/>
        </w:rPr>
      </w:pPr>
    </w:p>
    <w:p>
      <w:pPr>
        <w:ind w:right="360" w:firstLine="444"/>
        <w:spacing w:after="0" w:line="290" w:lineRule="auto"/>
        <w:tabs>
          <w:tab w:leader="none" w:pos="614" w:val="left"/>
        </w:tabs>
        <w:numPr>
          <w:ilvl w:val="1"/>
          <w:numId w:val="306"/>
        </w:numPr>
        <w:rPr>
          <w:rFonts w:ascii="Arial" w:cs="Arial" w:eastAsia="Arial" w:hAnsi="Arial"/>
          <w:sz w:val="16"/>
          <w:szCs w:val="16"/>
          <w:b w:val="1"/>
          <w:bCs w:val="1"/>
          <w:color w:val="auto"/>
        </w:rPr>
      </w:pPr>
      <w:r>
        <w:rPr>
          <w:rFonts w:ascii="Arial" w:cs="Arial" w:eastAsia="Arial" w:hAnsi="Arial"/>
          <w:sz w:val="16"/>
          <w:szCs w:val="16"/>
          <w:b w:val="1"/>
          <w:bCs w:val="1"/>
          <w:color w:val="auto"/>
        </w:rPr>
        <w:t>Exercise prior to Vesting (“Early Exercise”)</w:t>
      </w:r>
      <w:r>
        <w:rPr>
          <w:rFonts w:ascii="Arial" w:cs="Arial" w:eastAsia="Arial" w:hAnsi="Arial"/>
          <w:sz w:val="16"/>
          <w:szCs w:val="16"/>
          <w:color w:val="auto"/>
        </w:rPr>
        <w:t>. If permitted in your Grant Notice (</w:t>
      </w:r>
      <w:r>
        <w:rPr>
          <w:rFonts w:ascii="Arial" w:cs="Arial" w:eastAsia="Arial" w:hAnsi="Arial"/>
          <w:sz w:val="16"/>
          <w:szCs w:val="16"/>
          <w:i w:val="1"/>
          <w:iCs w:val="1"/>
          <w:color w:val="auto"/>
        </w:rPr>
        <w:t>i.e.</w:t>
      </w:r>
      <w:r>
        <w:rPr>
          <w:rFonts w:ascii="Arial" w:cs="Arial" w:eastAsia="Arial" w:hAnsi="Arial"/>
          <w:sz w:val="16"/>
          <w:szCs w:val="16"/>
          <w:color w:val="auto"/>
        </w:rPr>
        <w:t>, the “Exercise Schedule” indicates “Early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and subject to the provisions of your option, you may elect at any time that is both (i) during the period of your Continuous Service and</w:t>
      </w:r>
    </w:p>
    <w:p>
      <w:pPr>
        <w:ind w:left="260" w:hanging="253"/>
        <w:spacing w:after="0"/>
        <w:tabs>
          <w:tab w:leader="none" w:pos="26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 xml:space="preserve">during the term of your option, to exercise all or part of your option, including the unvested portion of your option;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w:t>
      </w:r>
    </w:p>
    <w:p>
      <w:pPr>
        <w:spacing w:after="0" w:line="112" w:lineRule="exact"/>
        <w:rPr>
          <w:rFonts w:ascii="Arial" w:cs="Arial" w:eastAsia="Arial" w:hAnsi="Arial"/>
          <w:sz w:val="17"/>
          <w:szCs w:val="17"/>
          <w:color w:val="auto"/>
        </w:rPr>
      </w:pPr>
    </w:p>
    <w:p>
      <w:pPr>
        <w:ind w:right="80" w:firstLine="990"/>
        <w:spacing w:after="0" w:line="271" w:lineRule="auto"/>
        <w:tabs>
          <w:tab w:leader="none" w:pos="1234" w:val="left"/>
        </w:tabs>
        <w:numPr>
          <w:ilvl w:val="2"/>
          <w:numId w:val="307"/>
        </w:numPr>
        <w:rPr>
          <w:rFonts w:ascii="Arial" w:cs="Arial" w:eastAsia="Arial" w:hAnsi="Arial"/>
          <w:sz w:val="18"/>
          <w:szCs w:val="18"/>
          <w:b w:val="1"/>
          <w:bCs w:val="1"/>
          <w:color w:val="auto"/>
        </w:rPr>
      </w:pPr>
      <w:r>
        <w:rPr>
          <w:rFonts w:ascii="Arial" w:cs="Arial" w:eastAsia="Arial" w:hAnsi="Arial"/>
          <w:sz w:val="18"/>
          <w:szCs w:val="18"/>
          <w:color w:val="auto"/>
        </w:rPr>
        <w:t>a partial exercise of your option will be deemed to cover first vested shares of Common Stock and then the earliest vesting installment of unvested shares of Common Stock;</w:t>
      </w:r>
    </w:p>
    <w:p>
      <w:pPr>
        <w:spacing w:after="0" w:line="67" w:lineRule="exact"/>
        <w:rPr>
          <w:rFonts w:ascii="Arial" w:cs="Arial" w:eastAsia="Arial" w:hAnsi="Arial"/>
          <w:sz w:val="18"/>
          <w:szCs w:val="18"/>
          <w:b w:val="1"/>
          <w:bCs w:val="1"/>
          <w:color w:val="auto"/>
        </w:rPr>
      </w:pPr>
    </w:p>
    <w:p>
      <w:pPr>
        <w:ind w:right="480" w:firstLine="990"/>
        <w:spacing w:after="0" w:line="301" w:lineRule="auto"/>
        <w:tabs>
          <w:tab w:leader="none" w:pos="1245" w:val="left"/>
        </w:tabs>
        <w:numPr>
          <w:ilvl w:val="2"/>
          <w:numId w:val="307"/>
        </w:numPr>
        <w:rPr>
          <w:rFonts w:ascii="Arial" w:cs="Arial" w:eastAsia="Arial" w:hAnsi="Arial"/>
          <w:sz w:val="17"/>
          <w:szCs w:val="17"/>
          <w:b w:val="1"/>
          <w:bCs w:val="1"/>
          <w:color w:val="auto"/>
        </w:rPr>
      </w:pPr>
      <w:r>
        <w:rPr>
          <w:rFonts w:ascii="Arial" w:cs="Arial" w:eastAsia="Arial" w:hAnsi="Arial"/>
          <w:sz w:val="17"/>
          <w:szCs w:val="17"/>
          <w:color w:val="auto"/>
        </w:rPr>
        <w:t>any shares of Common Stock so purchased from installments that have not vested as of the date of exercise will be subject to the purchase option in favor of the Company as described in the Company’s form of Early Exercise Stock Purchase Agreement;</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480" w:top="268" w:right="519" w:bottom="1440" w:gutter="0" w:footer="0" w:header="0"/>
        </w:sectPr>
      </w:pPr>
    </w:p>
    <w:bookmarkStart w:id="372" w:name="page373"/>
    <w:bookmarkEnd w:id="372"/>
    <w:p>
      <w:pPr>
        <w:ind w:left="-20" w:right="360" w:firstLine="990"/>
        <w:spacing w:after="0" w:line="271" w:lineRule="auto"/>
        <w:tabs>
          <w:tab w:leader="none" w:pos="1204" w:val="left"/>
        </w:tabs>
        <w:numPr>
          <w:ilvl w:val="0"/>
          <w:numId w:val="30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you will enter into the Company’s form of Early Exercise Stock Purchase Agreement with a vesting schedule that will result in the same vesting as if no early exercise had occurred; and</w:t>
      </w:r>
    </w:p>
    <w:p>
      <w:pPr>
        <w:spacing w:after="0" w:line="67" w:lineRule="exact"/>
        <w:rPr>
          <w:rFonts w:ascii="Arial" w:cs="Arial" w:eastAsia="Arial" w:hAnsi="Arial"/>
          <w:sz w:val="18"/>
          <w:szCs w:val="18"/>
          <w:b w:val="1"/>
          <w:bCs w:val="1"/>
          <w:color w:val="auto"/>
        </w:rPr>
      </w:pPr>
    </w:p>
    <w:p>
      <w:pPr>
        <w:ind w:left="-20" w:right="140" w:firstLine="990"/>
        <w:spacing w:after="0" w:line="275" w:lineRule="auto"/>
        <w:tabs>
          <w:tab w:leader="none" w:pos="1225" w:val="left"/>
        </w:tabs>
        <w:numPr>
          <w:ilvl w:val="0"/>
          <w:numId w:val="308"/>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$100,000, your option(s) or portions thereof that exceed such limit (according to the order in which they were granted) will be treated as Nonstatutory Stock Options.</w:t>
      </w:r>
    </w:p>
    <w:p>
      <w:pPr>
        <w:spacing w:after="0" w:line="63" w:lineRule="exact"/>
        <w:rPr>
          <w:sz w:val="20"/>
          <w:szCs w:val="20"/>
          <w:color w:val="auto"/>
        </w:rPr>
      </w:pPr>
    </w:p>
    <w:p>
      <w:pPr>
        <w:ind w:left="-20" w:right="100" w:firstLine="990"/>
        <w:spacing w:after="0" w:line="275" w:lineRule="auto"/>
        <w:tabs>
          <w:tab w:leader="none" w:pos="114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Payment</w:t>
      </w:r>
      <w:r>
        <w:rPr>
          <w:rFonts w:ascii="Arial" w:cs="Arial" w:eastAsia="Arial" w:hAnsi="Arial"/>
          <w:sz w:val="18"/>
          <w:szCs w:val="18"/>
          <w:color w:val="auto"/>
        </w:rPr>
        <w:t>. You must pay the full amount of the exercise price for the shares you wish to exercise. The permitted methods of</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are as follows:</w:t>
      </w:r>
    </w:p>
    <w:p>
      <w:pPr>
        <w:spacing w:after="0" w:line="65" w:lineRule="exact"/>
        <w:rPr>
          <w:sz w:val="20"/>
          <w:szCs w:val="20"/>
          <w:color w:val="auto"/>
        </w:rPr>
      </w:pPr>
    </w:p>
    <w:p>
      <w:pPr>
        <w:ind w:left="1220" w:hanging="250"/>
        <w:spacing w:after="0"/>
        <w:tabs>
          <w:tab w:leader="none" w:pos="1220" w:val="left"/>
        </w:tabs>
        <w:numPr>
          <w:ilvl w:val="0"/>
          <w:numId w:val="310"/>
        </w:numPr>
        <w:rPr>
          <w:rFonts w:ascii="Arial" w:cs="Arial" w:eastAsia="Arial" w:hAnsi="Arial"/>
          <w:sz w:val="18"/>
          <w:szCs w:val="18"/>
          <w:b w:val="1"/>
          <w:bCs w:val="1"/>
          <w:color w:val="auto"/>
        </w:rPr>
      </w:pPr>
      <w:r>
        <w:rPr>
          <w:rFonts w:ascii="Arial" w:cs="Arial" w:eastAsia="Arial" w:hAnsi="Arial"/>
          <w:sz w:val="18"/>
          <w:szCs w:val="18"/>
          <w:color w:val="auto"/>
        </w:rPr>
        <w:t>by cash, check, bank draft, electronic funds transfer or money order payable to the Company;</w:t>
      </w:r>
    </w:p>
    <w:p>
      <w:pPr>
        <w:spacing w:after="0" w:line="113" w:lineRule="exact"/>
        <w:rPr>
          <w:rFonts w:ascii="Arial" w:cs="Arial" w:eastAsia="Arial" w:hAnsi="Arial"/>
          <w:sz w:val="18"/>
          <w:szCs w:val="18"/>
          <w:b w:val="1"/>
          <w:bCs w:val="1"/>
          <w:color w:val="auto"/>
        </w:rPr>
      </w:pPr>
    </w:p>
    <w:p>
      <w:pPr>
        <w:ind w:left="-20" w:right="240" w:firstLine="990"/>
        <w:spacing w:after="0" w:line="253" w:lineRule="auto"/>
        <w:tabs>
          <w:tab w:leader="none" w:pos="1225" w:val="left"/>
        </w:tabs>
        <w:numPr>
          <w:ilvl w:val="0"/>
          <w:numId w:val="310"/>
        </w:numPr>
        <w:rPr>
          <w:rFonts w:ascii="Arial" w:cs="Arial" w:eastAsia="Arial" w:hAnsi="Arial"/>
          <w:sz w:val="18"/>
          <w:szCs w:val="18"/>
          <w:b w:val="1"/>
          <w:bCs w:val="1"/>
          <w:color w:val="auto"/>
        </w:rPr>
      </w:pPr>
      <w:r>
        <w:rPr>
          <w:rFonts w:ascii="Arial" w:cs="Arial" w:eastAsia="Arial" w:hAnsi="Arial"/>
          <w:sz w:val="18"/>
          <w:szCs w:val="18"/>
          <w:color w:val="auto"/>
        </w:rPr>
        <w:t>subject to Company and/or Board consent at the time of exercise and 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85" w:lineRule="exact"/>
        <w:rPr>
          <w:rFonts w:ascii="Arial" w:cs="Arial" w:eastAsia="Arial" w:hAnsi="Arial"/>
          <w:sz w:val="18"/>
          <w:szCs w:val="18"/>
          <w:b w:val="1"/>
          <w:bCs w:val="1"/>
          <w:color w:val="auto"/>
        </w:rPr>
      </w:pPr>
    </w:p>
    <w:p>
      <w:pPr>
        <w:ind w:left="-20" w:right="20" w:firstLine="990"/>
        <w:spacing w:after="0" w:line="290" w:lineRule="auto"/>
        <w:tabs>
          <w:tab w:leader="none" w:pos="1204" w:val="left"/>
        </w:tabs>
        <w:numPr>
          <w:ilvl w:val="0"/>
          <w:numId w:val="310"/>
        </w:numPr>
        <w:rPr>
          <w:rFonts w:ascii="Arial" w:cs="Arial" w:eastAsia="Arial" w:hAnsi="Arial"/>
          <w:sz w:val="16"/>
          <w:szCs w:val="16"/>
          <w:b w:val="1"/>
          <w:bCs w:val="1"/>
          <w:color w:val="auto"/>
        </w:rPr>
      </w:pPr>
      <w:r>
        <w:rPr>
          <w:rFonts w:ascii="Arial" w:cs="Arial" w:eastAsia="Arial" w:hAnsi="Arial"/>
          <w:sz w:val="16"/>
          <w:szCs w:val="16"/>
          <w:color w:val="auto"/>
        </w:rPr>
        <w:t>subject to Company and/or Board consent at the time of exercise and 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56" w:lineRule="exact"/>
        <w:rPr>
          <w:rFonts w:ascii="Arial" w:cs="Arial" w:eastAsia="Arial" w:hAnsi="Arial"/>
          <w:sz w:val="16"/>
          <w:szCs w:val="16"/>
          <w:b w:val="1"/>
          <w:bCs w:val="1"/>
          <w:color w:val="auto"/>
        </w:rPr>
      </w:pPr>
    </w:p>
    <w:p>
      <w:pPr>
        <w:ind w:left="-20" w:firstLine="990"/>
        <w:spacing w:after="0" w:line="251" w:lineRule="auto"/>
        <w:tabs>
          <w:tab w:leader="none" w:pos="1225" w:val="left"/>
        </w:tabs>
        <w:numPr>
          <w:ilvl w:val="0"/>
          <w:numId w:val="310"/>
        </w:numPr>
        <w:rPr>
          <w:rFonts w:ascii="Arial" w:cs="Arial" w:eastAsia="Arial" w:hAnsi="Arial"/>
          <w:sz w:val="18"/>
          <w:szCs w:val="18"/>
          <w:b w:val="1"/>
          <w:bCs w:val="1"/>
          <w:color w:val="auto"/>
        </w:rPr>
      </w:pPr>
      <w:r>
        <w:rPr>
          <w:rFonts w:ascii="Arial" w:cs="Arial" w:eastAsia="Arial" w:hAnsi="Arial"/>
          <w:sz w:val="18"/>
          <w:szCs w:val="18"/>
          <w:color w:val="auto"/>
        </w:rPr>
        <w:t>subject to Company and/or Board consent at the time of exercise, and provided that the Option is a Nonstatutory Stock Option, by a “net exercise” arrangement pursuant to which the Company will reduce the number of shares of Common Stock issued upon exercise of the Option by the largest whole number of shares with a Fair Market Value that does not exceed the aggregate exercise price plus, to the extent permitted by the Company and/or Board at the time of exercise, the aggregate withholding obligations in respect of the Option exercise; provided, further that you must pay any remaining balance of the aggregate exercise price not satisfied by the “net exercise” in cash or other permitted form of payment. Shares of Common Stock will no longer be subject to the Option and will not be exercisable thereafter to the extent that (A) shares issuable upon exercise are used to pay the exercise price pursuant to the “net exercise,” (B) shares are delivered to you as a result of such exercise, and (C) shares are withheld to satisfy tax withholding obligations;</w:t>
      </w:r>
    </w:p>
    <w:p>
      <w:pPr>
        <w:spacing w:after="0" w:line="87" w:lineRule="exact"/>
        <w:rPr>
          <w:rFonts w:ascii="Arial" w:cs="Arial" w:eastAsia="Arial" w:hAnsi="Arial"/>
          <w:sz w:val="18"/>
          <w:szCs w:val="18"/>
          <w:b w:val="1"/>
          <w:bCs w:val="1"/>
          <w:color w:val="auto"/>
        </w:rPr>
      </w:pPr>
    </w:p>
    <w:p>
      <w:pPr>
        <w:ind w:left="-20" w:firstLine="990"/>
        <w:spacing w:after="0" w:line="255" w:lineRule="auto"/>
        <w:tabs>
          <w:tab w:leader="none" w:pos="1204" w:val="left"/>
        </w:tabs>
        <w:numPr>
          <w:ilvl w:val="0"/>
          <w:numId w:val="310"/>
        </w:numPr>
        <w:rPr>
          <w:rFonts w:ascii="Arial" w:cs="Arial" w:eastAsia="Arial" w:hAnsi="Arial"/>
          <w:sz w:val="18"/>
          <w:szCs w:val="18"/>
          <w:b w:val="1"/>
          <w:bCs w:val="1"/>
          <w:color w:val="auto"/>
        </w:rPr>
      </w:pPr>
      <w:r>
        <w:rPr>
          <w:rFonts w:ascii="Arial" w:cs="Arial" w:eastAsia="Arial" w:hAnsi="Arial"/>
          <w:sz w:val="18"/>
          <w:szCs w:val="18"/>
          <w:color w:val="auto"/>
        </w:rPr>
        <w:t xml:space="preserve">subject to the consent of the Company and/or Board at the time of exercise, according to a deferred payment or similar arrangement with you; </w:t>
      </w:r>
      <w:r>
        <w:rPr>
          <w:rFonts w:ascii="Arial" w:cs="Arial" w:eastAsia="Arial" w:hAnsi="Arial"/>
          <w:sz w:val="18"/>
          <w:szCs w:val="18"/>
          <w:i w:val="1"/>
          <w:iCs w:val="1"/>
          <w:color w:val="auto"/>
        </w:rPr>
        <w:t>provided, however</w:t>
      </w:r>
      <w:r>
        <w:rPr>
          <w:rFonts w:ascii="Arial" w:cs="Arial" w:eastAsia="Arial" w:hAnsi="Arial"/>
          <w:sz w:val="18"/>
          <w:szCs w:val="18"/>
          <w:color w:val="auto"/>
        </w:rPr>
        <w:t>, that interest will compound at least annually and will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500" w:top="272" w:right="519" w:bottom="1440" w:gutter="0" w:footer="0" w:header="0"/>
        </w:sectPr>
      </w:pPr>
    </w:p>
    <w:bookmarkStart w:id="373" w:name="page374"/>
    <w:bookmarkEnd w:id="373"/>
    <w:p>
      <w:pPr>
        <w:ind w:left="1220" w:hanging="230"/>
        <w:spacing w:after="0"/>
        <w:tabs>
          <w:tab w:leader="none" w:pos="1220"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any other form of legal consideration that may be acceptable to the Board.</w:t>
      </w:r>
    </w:p>
    <w:p>
      <w:pPr>
        <w:spacing w:after="0" w:line="216" w:lineRule="exact"/>
        <w:rPr>
          <w:rFonts w:ascii="Arial" w:cs="Arial" w:eastAsia="Arial" w:hAnsi="Arial"/>
          <w:sz w:val="18"/>
          <w:szCs w:val="18"/>
          <w:b w:val="1"/>
          <w:bCs w:val="1"/>
          <w:color w:val="auto"/>
        </w:rPr>
      </w:pPr>
    </w:p>
    <w:p>
      <w:pPr>
        <w:ind w:left="620" w:hanging="176"/>
        <w:spacing w:after="0"/>
        <w:tabs>
          <w:tab w:leader="none" w:pos="62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Whole Shares</w:t>
      </w:r>
      <w:r>
        <w:rPr>
          <w:rFonts w:ascii="Arial" w:cs="Arial" w:eastAsia="Arial" w:hAnsi="Arial"/>
          <w:sz w:val="18"/>
          <w:szCs w:val="18"/>
          <w:color w:val="auto"/>
        </w:rPr>
        <w:t>. You may exercise your option only for whole shares of Common Stock.</w:t>
      </w:r>
    </w:p>
    <w:p>
      <w:pPr>
        <w:spacing w:after="0" w:line="220" w:lineRule="exact"/>
        <w:rPr>
          <w:rFonts w:ascii="Arial" w:cs="Arial" w:eastAsia="Arial" w:hAnsi="Arial"/>
          <w:sz w:val="18"/>
          <w:szCs w:val="18"/>
          <w:b w:val="1"/>
          <w:bCs w:val="1"/>
          <w:color w:val="auto"/>
        </w:rPr>
      </w:pPr>
    </w:p>
    <w:p>
      <w:pPr>
        <w:ind w:right="120" w:firstLine="444"/>
        <w:spacing w:after="0" w:line="345" w:lineRule="auto"/>
        <w:tabs>
          <w:tab w:leader="none" w:pos="614" w:val="left"/>
        </w:tabs>
        <w:numPr>
          <w:ilvl w:val="0"/>
          <w:numId w:val="312"/>
        </w:numPr>
        <w:rPr>
          <w:rFonts w:ascii="Arial" w:cs="Arial" w:eastAsia="Arial" w:hAnsi="Arial"/>
          <w:sz w:val="14"/>
          <w:szCs w:val="14"/>
          <w:b w:val="1"/>
          <w:bCs w:val="1"/>
          <w:color w:val="auto"/>
        </w:rPr>
      </w:pPr>
      <w:r>
        <w:rPr>
          <w:rFonts w:ascii="Arial" w:cs="Arial" w:eastAsia="Arial" w:hAnsi="Arial"/>
          <w:sz w:val="14"/>
          <w:szCs w:val="14"/>
          <w:b w:val="1"/>
          <w:bCs w:val="1"/>
          <w:color w:val="auto"/>
        </w:rPr>
        <w:t>Securities Law Compliance</w:t>
      </w:r>
      <w:r>
        <w:rPr>
          <w:rFonts w:ascii="Arial" w:cs="Arial" w:eastAsia="Arial" w:hAnsi="Arial"/>
          <w:sz w:val="14"/>
          <w:szCs w:val="14"/>
          <w:color w:val="auto"/>
        </w:rPr>
        <w:t>. In no event may you exercise your option unless the shares of Common Stock issuable upon exercise are then</w:t>
      </w:r>
      <w:r>
        <w:rPr>
          <w:rFonts w:ascii="Arial" w:cs="Arial" w:eastAsia="Arial" w:hAnsi="Arial"/>
          <w:sz w:val="14"/>
          <w:szCs w:val="14"/>
          <w:b w:val="1"/>
          <w:bCs w:val="1"/>
          <w:color w:val="auto"/>
        </w:rPr>
        <w:t xml:space="preserve"> </w:t>
      </w:r>
      <w:r>
        <w:rPr>
          <w:rFonts w:ascii="Arial" w:cs="Arial" w:eastAsia="Arial" w:hAnsi="Arial"/>
          <w:sz w:val="14"/>
          <w:szCs w:val="14"/>
          <w:color w:val="auto"/>
        </w:rPr>
        <w:t>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26" w:lineRule="exact"/>
        <w:rPr>
          <w:rFonts w:ascii="Arial" w:cs="Arial" w:eastAsia="Arial" w:hAnsi="Arial"/>
          <w:sz w:val="14"/>
          <w:szCs w:val="14"/>
          <w:b w:val="1"/>
          <w:bCs w:val="1"/>
          <w:color w:val="auto"/>
        </w:rPr>
      </w:pPr>
    </w:p>
    <w:p>
      <w:pPr>
        <w:ind w:right="140" w:firstLine="444"/>
        <w:spacing w:after="0" w:line="306" w:lineRule="auto"/>
        <w:tabs>
          <w:tab w:leader="none" w:pos="614" w:val="left"/>
        </w:tabs>
        <w:numPr>
          <w:ilvl w:val="0"/>
          <w:numId w:val="312"/>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You may not exercise your option before the Date of Grant or after the expiration of the option’s term. Except as set forth in your Grant</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the term of your option expires, subject to the provisions of Section 5(h) of the Plan, upon the earliest of the following:</w:t>
      </w:r>
    </w:p>
    <w:p>
      <w:pPr>
        <w:spacing w:after="0" w:line="147" w:lineRule="exact"/>
        <w:rPr>
          <w:rFonts w:ascii="Arial" w:cs="Arial" w:eastAsia="Arial" w:hAnsi="Arial"/>
          <w:sz w:val="17"/>
          <w:szCs w:val="17"/>
          <w:b w:val="1"/>
          <w:bCs w:val="1"/>
          <w:color w:val="auto"/>
        </w:rPr>
      </w:pPr>
    </w:p>
    <w:p>
      <w:pPr>
        <w:ind w:left="1240" w:hanging="250"/>
        <w:spacing w:after="0"/>
        <w:tabs>
          <w:tab w:leader="none" w:pos="1240"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220" w:lineRule="exact"/>
        <w:rPr>
          <w:rFonts w:ascii="Arial" w:cs="Arial" w:eastAsia="Arial" w:hAnsi="Arial"/>
          <w:sz w:val="18"/>
          <w:szCs w:val="18"/>
          <w:b w:val="1"/>
          <w:bCs w:val="1"/>
          <w:color w:val="auto"/>
        </w:rPr>
      </w:pPr>
    </w:p>
    <w:p>
      <w:pPr>
        <w:ind w:firstLine="990"/>
        <w:spacing w:after="0" w:line="283" w:lineRule="auto"/>
        <w:tabs>
          <w:tab w:leader="none" w:pos="1245" w:val="left"/>
        </w:tabs>
        <w:numPr>
          <w:ilvl w:val="1"/>
          <w:numId w:val="312"/>
        </w:numPr>
        <w:rPr>
          <w:rFonts w:ascii="Arial" w:cs="Arial" w:eastAsia="Arial" w:hAnsi="Arial"/>
          <w:sz w:val="16"/>
          <w:szCs w:val="16"/>
          <w:b w:val="1"/>
          <w:bCs w:val="1"/>
          <w:color w:val="auto"/>
        </w:rPr>
      </w:pPr>
      <w:r>
        <w:rPr>
          <w:rFonts w:ascii="Arial" w:cs="Arial" w:eastAsia="Arial" w:hAnsi="Arial"/>
          <w:sz w:val="16"/>
          <w:szCs w:val="16"/>
          <w:color w:val="auto"/>
        </w:rPr>
        <w:t xml:space="preserve">three months after the termination of your Continuous Service for any reason other than Cause, your Disability or your death (except as otherwise provided in Section 8(d)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during any part of such three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months after the termination of your Continuous Service; </w:t>
      </w:r>
      <w:r>
        <w:rPr>
          <w:rFonts w:ascii="Arial" w:cs="Arial" w:eastAsia="Arial" w:hAnsi="Arial"/>
          <w:sz w:val="16"/>
          <w:szCs w:val="16"/>
          <w:i w:val="1"/>
          <w:iCs w:val="1"/>
          <w:color w:val="auto"/>
        </w:rPr>
        <w:t>provided</w:t>
      </w:r>
    </w:p>
    <w:p>
      <w:pPr>
        <w:spacing w:after="0" w:line="1"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if (i) you are a Non-Exempt Employee, (ii) your Continuous Service terminates within six months after the Date of Grant, and (iii) you have</w:t>
      </w:r>
      <w:r>
        <w:rPr>
          <w:rFonts w:ascii="Arial" w:cs="Arial" w:eastAsia="Arial" w:hAnsi="Arial"/>
          <w:sz w:val="16"/>
          <w:szCs w:val="16"/>
          <w:i w:val="1"/>
          <w:iCs w:val="1"/>
          <w:color w:val="auto"/>
        </w:rPr>
        <w:t xml:space="preserve"> </w:t>
      </w:r>
      <w:r>
        <w:rPr>
          <w:rFonts w:ascii="Arial" w:cs="Arial" w:eastAsia="Arial" w:hAnsi="Arial"/>
          <w:sz w:val="16"/>
          <w:szCs w:val="16"/>
          <w:color w:val="auto"/>
        </w:rPr>
        <w:t>vested in a portion of your option at the time of your termination of Continuous Service, your option will not expire until the earlier of (x) the later of</w:t>
      </w:r>
    </w:p>
    <w:p>
      <w:pPr>
        <w:ind w:left="300" w:hanging="293"/>
        <w:spacing w:after="0"/>
        <w:tabs>
          <w:tab w:leader="none" w:pos="30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date that is seven months after the Date of Grant, and (B) the date that is three months after the termination of your Continuous Service, and</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 the Expiration Date;</w:t>
      </w:r>
    </w:p>
    <w:p>
      <w:pPr>
        <w:spacing w:after="0" w:line="208" w:lineRule="exact"/>
        <w:rPr>
          <w:rFonts w:ascii="Arial" w:cs="Arial" w:eastAsia="Arial" w:hAnsi="Arial"/>
          <w:sz w:val="16"/>
          <w:szCs w:val="16"/>
          <w:color w:val="auto"/>
        </w:rPr>
      </w:pPr>
    </w:p>
    <w:p>
      <w:pPr>
        <w:ind w:left="1240" w:hanging="250"/>
        <w:spacing w:after="0"/>
        <w:tabs>
          <w:tab w:leader="none" w:pos="1240" w:val="left"/>
        </w:tabs>
        <w:numPr>
          <w:ilvl w:val="1"/>
          <w:numId w:val="313"/>
        </w:numPr>
        <w:rPr>
          <w:rFonts w:ascii="Arial" w:cs="Arial" w:eastAsia="Arial" w:hAnsi="Arial"/>
          <w:sz w:val="17"/>
          <w:szCs w:val="17"/>
          <w:b w:val="1"/>
          <w:bCs w:val="1"/>
          <w:color w:val="auto"/>
        </w:rPr>
      </w:pPr>
      <w:r>
        <w:rPr>
          <w:rFonts w:ascii="Arial" w:cs="Arial" w:eastAsia="Arial" w:hAnsi="Arial"/>
          <w:sz w:val="17"/>
          <w:szCs w:val="17"/>
          <w:color w:val="auto"/>
        </w:rPr>
        <w:t>12 months after the termination of your Continuous Service due to your Disability (except as otherwise provided in Section 8(d))</w:t>
      </w:r>
    </w:p>
    <w:p>
      <w:pPr>
        <w:spacing w:after="0" w:line="3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below;</w:t>
      </w:r>
    </w:p>
    <w:p>
      <w:pPr>
        <w:spacing w:after="0" w:line="208" w:lineRule="exact"/>
        <w:rPr>
          <w:rFonts w:ascii="Arial" w:cs="Arial" w:eastAsia="Arial" w:hAnsi="Arial"/>
          <w:sz w:val="17"/>
          <w:szCs w:val="17"/>
          <w:b w:val="1"/>
          <w:bCs w:val="1"/>
          <w:color w:val="auto"/>
        </w:rPr>
      </w:pPr>
    </w:p>
    <w:p>
      <w:pPr>
        <w:ind w:right="140" w:firstLine="990"/>
        <w:spacing w:after="0" w:line="271" w:lineRule="auto"/>
        <w:tabs>
          <w:tab w:leader="none" w:pos="1245" w:val="left"/>
        </w:tabs>
        <w:numPr>
          <w:ilvl w:val="1"/>
          <w:numId w:val="313"/>
        </w:numPr>
        <w:rPr>
          <w:rFonts w:ascii="Arial" w:cs="Arial" w:eastAsia="Arial" w:hAnsi="Arial"/>
          <w:sz w:val="18"/>
          <w:szCs w:val="18"/>
          <w:b w:val="1"/>
          <w:bCs w:val="1"/>
          <w:color w:val="auto"/>
        </w:rPr>
      </w:pPr>
      <w:r>
        <w:rPr>
          <w:rFonts w:ascii="Arial" w:cs="Arial" w:eastAsia="Arial" w:hAnsi="Arial"/>
          <w:sz w:val="18"/>
          <w:szCs w:val="18"/>
          <w:color w:val="auto"/>
        </w:rPr>
        <w:t>18 months after your death if you die either during your Continuous Service or within three (3) months after your Continuous Service terminates for any reason other than Cause;</w:t>
      </w:r>
    </w:p>
    <w:p>
      <w:pPr>
        <w:spacing w:after="0" w:line="174" w:lineRule="exact"/>
        <w:rPr>
          <w:rFonts w:ascii="Arial" w:cs="Arial" w:eastAsia="Arial" w:hAnsi="Arial"/>
          <w:sz w:val="18"/>
          <w:szCs w:val="18"/>
          <w:b w:val="1"/>
          <w:bCs w:val="1"/>
          <w:color w:val="auto"/>
        </w:rPr>
      </w:pPr>
    </w:p>
    <w:p>
      <w:pPr>
        <w:ind w:left="1240" w:hanging="250"/>
        <w:spacing w:after="0"/>
        <w:tabs>
          <w:tab w:leader="none" w:pos="1240" w:val="left"/>
        </w:tabs>
        <w:numPr>
          <w:ilvl w:val="1"/>
          <w:numId w:val="313"/>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220" w:lineRule="exact"/>
        <w:rPr>
          <w:rFonts w:ascii="Arial" w:cs="Arial" w:eastAsia="Arial" w:hAnsi="Arial"/>
          <w:sz w:val="18"/>
          <w:szCs w:val="18"/>
          <w:b w:val="1"/>
          <w:bCs w:val="1"/>
          <w:color w:val="auto"/>
        </w:rPr>
      </w:pPr>
    </w:p>
    <w:p>
      <w:pPr>
        <w:ind w:left="1220" w:hanging="230"/>
        <w:spacing w:after="0"/>
        <w:tabs>
          <w:tab w:leader="none" w:pos="1220" w:val="left"/>
        </w:tabs>
        <w:numPr>
          <w:ilvl w:val="1"/>
          <w:numId w:val="313"/>
        </w:numPr>
        <w:rPr>
          <w:rFonts w:ascii="Arial" w:cs="Arial" w:eastAsia="Arial" w:hAnsi="Arial"/>
          <w:sz w:val="18"/>
          <w:szCs w:val="18"/>
          <w:b w:val="1"/>
          <w:bCs w:val="1"/>
          <w:color w:val="auto"/>
        </w:rPr>
      </w:pPr>
      <w:r>
        <w:rPr>
          <w:rFonts w:ascii="Arial" w:cs="Arial" w:eastAsia="Arial" w:hAnsi="Arial"/>
          <w:sz w:val="18"/>
          <w:szCs w:val="18"/>
          <w:color w:val="auto"/>
        </w:rPr>
        <w:t>the day before the 10th anniversary of the Date of Grant.</w:t>
      </w:r>
    </w:p>
    <w:p>
      <w:pPr>
        <w:spacing w:after="0" w:line="221" w:lineRule="exact"/>
        <w:rPr>
          <w:sz w:val="20"/>
          <w:szCs w:val="20"/>
          <w:color w:val="auto"/>
        </w:rPr>
      </w:pPr>
    </w:p>
    <w:p>
      <w:pPr>
        <w:ind w:right="20" w:firstLine="436"/>
        <w:spacing w:after="0" w:line="290" w:lineRule="auto"/>
        <w:rPr>
          <w:sz w:val="20"/>
          <w:szCs w:val="20"/>
          <w:color w:val="auto"/>
        </w:rPr>
      </w:pPr>
      <w:r>
        <w:rPr>
          <w:rFonts w:ascii="Arial" w:cs="Arial" w:eastAsia="Arial" w:hAnsi="Arial"/>
          <w:sz w:val="16"/>
          <w:szCs w:val="16"/>
          <w:color w:val="auto"/>
        </w:rPr>
        <w:t>If your option is an Incentive Stock Option, note that to obtain the federal income tax advantages associated with an Incentive Stock Option, the Code requires that at all times beginning on the Date of Grant and ending on the day three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months after the date your employment with the Company or an Affiliate terminates.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374" w:name="page375"/>
    <w:bookmarkEnd w:id="374"/>
    <w:p>
      <w:pPr>
        <w:ind w:left="600" w:hanging="176"/>
        <w:spacing w:after="0"/>
        <w:tabs>
          <w:tab w:leader="none" w:pos="60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Exercise</w:t>
      </w:r>
      <w:r>
        <w:rPr>
          <w:rFonts w:ascii="Arial" w:cs="Arial" w:eastAsia="Arial" w:hAnsi="Arial"/>
          <w:sz w:val="18"/>
          <w:szCs w:val="18"/>
          <w:color w:val="auto"/>
        </w:rPr>
        <w:t>.</w:t>
      </w:r>
    </w:p>
    <w:p>
      <w:pPr>
        <w:spacing w:after="0" w:line="224" w:lineRule="exact"/>
        <w:rPr>
          <w:rFonts w:ascii="Arial" w:cs="Arial" w:eastAsia="Arial" w:hAnsi="Arial"/>
          <w:sz w:val="18"/>
          <w:szCs w:val="18"/>
          <w:b w:val="1"/>
          <w:bCs w:val="1"/>
          <w:color w:val="auto"/>
        </w:rPr>
      </w:pPr>
    </w:p>
    <w:p>
      <w:pPr>
        <w:ind w:left="-20" w:right="20" w:firstLine="990"/>
        <w:spacing w:after="0" w:line="253" w:lineRule="auto"/>
        <w:tabs>
          <w:tab w:leader="none" w:pos="1214" w:val="left"/>
        </w:tabs>
        <w:numPr>
          <w:ilvl w:val="1"/>
          <w:numId w:val="314"/>
        </w:numPr>
        <w:rPr>
          <w:rFonts w:ascii="Arial" w:cs="Arial" w:eastAsia="Arial" w:hAnsi="Arial"/>
          <w:sz w:val="18"/>
          <w:szCs w:val="18"/>
          <w:b w:val="1"/>
          <w:bCs w:val="1"/>
          <w:color w:val="auto"/>
        </w:rPr>
      </w:pPr>
      <w:r>
        <w:rPr>
          <w:rFonts w:ascii="Arial" w:cs="Arial" w:eastAsia="Arial" w:hAnsi="Arial"/>
          <w:sz w:val="18"/>
          <w:szCs w:val="18"/>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If required by the Company, your exercise may be made contingent on your execution of any additional documents specified by the Company (including, without limitation, any voting agreement or other agreement between the Company and some or all of its stockholders).</w:t>
      </w:r>
    </w:p>
    <w:p>
      <w:pPr>
        <w:spacing w:after="0" w:line="192" w:lineRule="exact"/>
        <w:rPr>
          <w:rFonts w:ascii="Arial" w:cs="Arial" w:eastAsia="Arial" w:hAnsi="Arial"/>
          <w:sz w:val="18"/>
          <w:szCs w:val="18"/>
          <w:b w:val="1"/>
          <w:bCs w:val="1"/>
          <w:color w:val="auto"/>
        </w:rPr>
      </w:pPr>
    </w:p>
    <w:p>
      <w:pPr>
        <w:ind w:left="-20" w:firstLine="990"/>
        <w:spacing w:after="0" w:line="255" w:lineRule="auto"/>
        <w:tabs>
          <w:tab w:leader="none" w:pos="1225" w:val="left"/>
        </w:tabs>
        <w:numPr>
          <w:ilvl w:val="1"/>
          <w:numId w:val="314"/>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190" w:lineRule="exact"/>
        <w:rPr>
          <w:rFonts w:ascii="Arial" w:cs="Arial" w:eastAsia="Arial" w:hAnsi="Arial"/>
          <w:sz w:val="18"/>
          <w:szCs w:val="18"/>
          <w:b w:val="1"/>
          <w:bCs w:val="1"/>
          <w:color w:val="auto"/>
        </w:rPr>
      </w:pPr>
    </w:p>
    <w:p>
      <w:pPr>
        <w:ind w:left="-20" w:right="60" w:firstLine="990"/>
        <w:spacing w:after="0" w:line="281" w:lineRule="auto"/>
        <w:tabs>
          <w:tab w:leader="none" w:pos="1204" w:val="left"/>
        </w:tabs>
        <w:numPr>
          <w:ilvl w:val="1"/>
          <w:numId w:val="314"/>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by exercising your option you agree that you will notify the Company in writing within 15 days after the date of any disposition of any of the shares of the Common Stock issued upon exercise of your option that occurs within two years after the Date of Grant or within one year after such shares of Common Stock are transferred upon exercise of your option.</w:t>
      </w:r>
    </w:p>
    <w:p>
      <w:pPr>
        <w:spacing w:after="0" w:line="169" w:lineRule="exact"/>
        <w:rPr>
          <w:rFonts w:ascii="Arial" w:cs="Arial" w:eastAsia="Arial" w:hAnsi="Arial"/>
          <w:sz w:val="17"/>
          <w:szCs w:val="17"/>
          <w:b w:val="1"/>
          <w:bCs w:val="1"/>
          <w:color w:val="auto"/>
        </w:rPr>
      </w:pPr>
    </w:p>
    <w:p>
      <w:pPr>
        <w:ind w:left="-20" w:right="20" w:firstLine="990"/>
        <w:spacing w:after="0" w:line="282" w:lineRule="auto"/>
        <w:tabs>
          <w:tab w:leader="none" w:pos="1225" w:val="left"/>
        </w:tabs>
        <w:numPr>
          <w:ilvl w:val="1"/>
          <w:numId w:val="314"/>
        </w:numPr>
        <w:rPr>
          <w:rFonts w:ascii="Arial" w:cs="Arial" w:eastAsia="Arial" w:hAnsi="Arial"/>
          <w:sz w:val="16"/>
          <w:szCs w:val="16"/>
          <w:b w:val="1"/>
          <w:bCs w:val="1"/>
          <w:color w:val="auto"/>
        </w:rPr>
      </w:pPr>
      <w:r>
        <w:rPr>
          <w:rFonts w:ascii="Arial" w:cs="Arial" w:eastAsia="Arial" w:hAnsi="Arial"/>
          <w:sz w:val="16"/>
          <w:szCs w:val="16"/>
          <w:color w:val="auto"/>
        </w:rPr>
        <w:t>By exercising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180 days following the effective date of a registration statement of the Company filed under the Securities Act or such longer period as the underwriters or the Company will request to facilitate compliance with applicable FINRA rules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9(d). The underwriters of the Company’s stock are intended third party beneficiaries of this Section 9(d) and will have the right, power and authority to enforce the provisions hereof as though they were a party hereto. You further agree that the obligations contained in this Section 9(d) shall also, if so determined by the Company’s Board of Directors, apply if and when the Company’s shares of Common Stock become publicly traded on a national securities exchange, including without limitation pursuant to the Company’s initial listing of its Common Stock on a national securities exchange by means of a registration statement on Form S-1 under the Securities Act (or any successor registration form under the Securities Act subsequently adopted by the Securities and Exchange Commission) filed by the Company with the Securities and Exchange Commission that registers shares of existing capital stock of the Company for resale (a “</w:t>
      </w:r>
      <w:r>
        <w:rPr>
          <w:rFonts w:ascii="Arial" w:cs="Arial" w:eastAsia="Arial" w:hAnsi="Arial"/>
          <w:sz w:val="16"/>
          <w:szCs w:val="16"/>
          <w:b w:val="1"/>
          <w:bCs w:val="1"/>
          <w:i w:val="1"/>
          <w:iCs w:val="1"/>
          <w:color w:val="auto"/>
        </w:rPr>
        <w:t>Direct Listing</w:t>
      </w:r>
      <w:r>
        <w:rPr>
          <w:rFonts w:ascii="Arial" w:cs="Arial" w:eastAsia="Arial" w:hAnsi="Arial"/>
          <w:sz w:val="16"/>
          <w:szCs w:val="16"/>
          <w:color w:val="auto"/>
        </w:rPr>
        <w:t>”), provided that all holders of at least 5% of the Company’s outstanding Common Stock (after giving effect to the conversion into Common Stock of any outstanding Preferred Stock of the Company) are subject to substantially similar obligations with respect to such Direct Listing.</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500" w:top="268" w:right="519" w:bottom="1440" w:gutter="0" w:footer="0" w:header="0"/>
        </w:sectPr>
      </w:pPr>
    </w:p>
    <w:bookmarkStart w:id="375" w:name="page376"/>
    <w:bookmarkEnd w:id="375"/>
    <w:p>
      <w:pPr>
        <w:ind w:right="100" w:firstLine="444"/>
        <w:spacing w:after="0" w:line="275" w:lineRule="auto"/>
        <w:tabs>
          <w:tab w:leader="none" w:pos="704"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Transferability</w:t>
      </w:r>
      <w:r>
        <w:rPr>
          <w:rFonts w:ascii="Arial" w:cs="Arial" w:eastAsia="Arial" w:hAnsi="Arial"/>
          <w:sz w:val="18"/>
          <w:szCs w:val="18"/>
          <w:color w:val="auto"/>
        </w:rPr>
        <w:t>. Except as otherwise provided in this Section 10, your option is not transferable, except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is exercisable during your life only by you.</w:t>
      </w:r>
    </w:p>
    <w:p>
      <w:pPr>
        <w:spacing w:after="0" w:line="167" w:lineRule="exact"/>
        <w:rPr>
          <w:rFonts w:ascii="Arial" w:cs="Arial" w:eastAsia="Arial" w:hAnsi="Arial"/>
          <w:sz w:val="18"/>
          <w:szCs w:val="18"/>
          <w:b w:val="1"/>
          <w:bCs w:val="1"/>
          <w:color w:val="auto"/>
        </w:rPr>
      </w:pPr>
    </w:p>
    <w:p>
      <w:pPr>
        <w:jc w:val="both"/>
        <w:ind w:right="140" w:firstLine="990"/>
        <w:spacing w:after="0" w:line="284" w:lineRule="auto"/>
        <w:tabs>
          <w:tab w:leader="none" w:pos="1234" w:val="left"/>
        </w:tabs>
        <w:numPr>
          <w:ilvl w:val="1"/>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t>Certain Trusts</w:t>
      </w:r>
      <w:r>
        <w:rPr>
          <w:rFonts w:ascii="Arial" w:cs="Arial" w:eastAsia="Arial" w:hAnsi="Arial"/>
          <w:sz w:val="17"/>
          <w:szCs w:val="17"/>
          <w:color w:val="auto"/>
        </w:rPr>
        <w:t>. Upon receiving written permission from the Board or its duly authorized designee, you may transfer your option to a</w:t>
      </w:r>
      <w:r>
        <w:rPr>
          <w:rFonts w:ascii="Arial" w:cs="Arial" w:eastAsia="Arial" w:hAnsi="Arial"/>
          <w:sz w:val="17"/>
          <w:szCs w:val="17"/>
          <w:b w:val="1"/>
          <w:bCs w:val="1"/>
          <w:color w:val="auto"/>
        </w:rPr>
        <w:t xml:space="preserve"> </w:t>
      </w:r>
      <w:r>
        <w:rPr>
          <w:rFonts w:ascii="Arial" w:cs="Arial" w:eastAsia="Arial" w:hAnsi="Arial"/>
          <w:sz w:val="17"/>
          <w:szCs w:val="17"/>
          <w:color w:val="auto"/>
        </w:rPr>
        <w:t>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61" w:lineRule="exact"/>
        <w:rPr>
          <w:rFonts w:ascii="Arial" w:cs="Arial" w:eastAsia="Arial" w:hAnsi="Arial"/>
          <w:sz w:val="17"/>
          <w:szCs w:val="17"/>
          <w:b w:val="1"/>
          <w:bCs w:val="1"/>
          <w:color w:val="auto"/>
        </w:rPr>
      </w:pPr>
    </w:p>
    <w:p>
      <w:pPr>
        <w:jc w:val="both"/>
        <w:ind w:right="20" w:firstLine="990"/>
        <w:spacing w:after="0" w:line="286" w:lineRule="auto"/>
        <w:tabs>
          <w:tab w:leader="none" w:pos="1244" w:val="left"/>
        </w:tabs>
        <w:numPr>
          <w:ilvl w:val="1"/>
          <w:numId w:val="315"/>
        </w:numPr>
        <w:rPr>
          <w:rFonts w:ascii="Arial" w:cs="Arial" w:eastAsia="Arial" w:hAnsi="Arial"/>
          <w:sz w:val="16"/>
          <w:szCs w:val="16"/>
          <w:b w:val="1"/>
          <w:bCs w:val="1"/>
          <w:color w:val="auto"/>
        </w:rPr>
      </w:pPr>
      <w:r>
        <w:rPr>
          <w:rFonts w:ascii="Arial" w:cs="Arial" w:eastAsia="Arial" w:hAnsi="Arial"/>
          <w:sz w:val="16"/>
          <w:szCs w:val="16"/>
          <w:b w:val="1"/>
          <w:bCs w:val="1"/>
          <w:color w:val="auto"/>
        </w:rPr>
        <w:t>Domestic Relations Orders</w:t>
      </w:r>
      <w:r>
        <w:rPr>
          <w:rFonts w:ascii="Arial" w:cs="Arial" w:eastAsia="Arial" w:hAnsi="Arial"/>
          <w:sz w:val="16"/>
          <w:szCs w:val="16"/>
          <w:color w:val="auto"/>
        </w:rPr>
        <w:t>. Upon receiving written permission from the Board or its duly authorized designee, and provided that you</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w:t>
      </w:r>
    </w:p>
    <w:p>
      <w:pPr>
        <w:spacing w:after="0" w:line="1" w:lineRule="exact"/>
        <w:rPr>
          <w:rFonts w:ascii="Arial" w:cs="Arial" w:eastAsia="Arial" w:hAnsi="Arial"/>
          <w:sz w:val="16"/>
          <w:szCs w:val="16"/>
          <w:b w:val="1"/>
          <w:bCs w:val="1"/>
          <w:color w:val="auto"/>
        </w:rPr>
      </w:pPr>
    </w:p>
    <w:p>
      <w:pPr>
        <w:ind w:right="40"/>
        <w:spacing w:after="0" w:line="250" w:lineRule="auto"/>
        <w:rPr>
          <w:rFonts w:ascii="Arial" w:cs="Arial" w:eastAsia="Arial" w:hAnsi="Arial"/>
          <w:sz w:val="16"/>
          <w:szCs w:val="16"/>
          <w:b w:val="1"/>
          <w:bCs w:val="1"/>
          <w:color w:val="auto"/>
        </w:rPr>
      </w:pPr>
      <w:r>
        <w:rPr>
          <w:rFonts w:ascii="Arial" w:cs="Arial" w:eastAsia="Arial" w:hAnsi="Arial"/>
          <w:sz w:val="18"/>
          <w:szCs w:val="18"/>
          <w:color w:val="auto"/>
        </w:rPr>
        <w:t>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190" w:lineRule="exact"/>
        <w:rPr>
          <w:rFonts w:ascii="Arial" w:cs="Arial" w:eastAsia="Arial" w:hAnsi="Arial"/>
          <w:sz w:val="16"/>
          <w:szCs w:val="16"/>
          <w:b w:val="1"/>
          <w:bCs w:val="1"/>
          <w:color w:val="auto"/>
        </w:rPr>
      </w:pPr>
    </w:p>
    <w:p>
      <w:pPr>
        <w:ind w:right="140" w:firstLine="990"/>
        <w:spacing w:after="0" w:line="273" w:lineRule="auto"/>
        <w:tabs>
          <w:tab w:leader="none" w:pos="1224" w:val="left"/>
        </w:tabs>
        <w:numPr>
          <w:ilvl w:val="1"/>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t>Beneficiary Designation</w:t>
      </w:r>
      <w:r>
        <w:rPr>
          <w:rFonts w:ascii="Arial" w:cs="Arial" w:eastAsia="Arial" w:hAnsi="Arial"/>
          <w:sz w:val="17"/>
          <w:szCs w:val="17"/>
          <w:color w:val="auto"/>
        </w:rPr>
        <w:t>. Upon receiving written permission from the Board or its duly authorized designee, you may, by delivering</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72" w:lineRule="exact"/>
        <w:rPr>
          <w:rFonts w:ascii="Arial" w:cs="Arial" w:eastAsia="Arial" w:hAnsi="Arial"/>
          <w:sz w:val="17"/>
          <w:szCs w:val="17"/>
          <w:b w:val="1"/>
          <w:bCs w:val="1"/>
          <w:color w:val="auto"/>
        </w:rPr>
      </w:pPr>
    </w:p>
    <w:p>
      <w:pPr>
        <w:ind w:right="140" w:firstLine="444"/>
        <w:spacing w:after="0" w:line="273" w:lineRule="auto"/>
        <w:tabs>
          <w:tab w:leader="none" w:pos="694"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t>Right of First Refusal</w:t>
      </w:r>
      <w:r>
        <w:rPr>
          <w:rFonts w:ascii="Arial" w:cs="Arial" w:eastAsia="Arial" w:hAnsi="Arial"/>
          <w:sz w:val="17"/>
          <w:szCs w:val="17"/>
          <w:color w:val="auto"/>
        </w:rPr>
        <w:t>. Shares of Common Stock that you acquire upon exercise of your option are subject to any right of first refusal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may be described in the Company’s bylaws in effect at such time the Company elects to exercise its right;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there is no right of first refusal described in the Company’s bylaws at such time, the right of first refusal described below will apply. The Company’s right of first refusal will expire on the first date upon which any security of the Company is listed (or approved for listing) upon notice of issuance on a national securities exchange or quotation system (the “</w:t>
      </w:r>
      <w:r>
        <w:rPr>
          <w:rFonts w:ascii="Arial" w:cs="Arial" w:eastAsia="Arial" w:hAnsi="Arial"/>
          <w:sz w:val="17"/>
          <w:szCs w:val="17"/>
          <w:b w:val="1"/>
          <w:bCs w:val="1"/>
          <w:i w:val="1"/>
          <w:iCs w:val="1"/>
          <w:color w:val="auto"/>
        </w:rPr>
        <w:t>Listing Date</w:t>
      </w:r>
      <w:r>
        <w:rPr>
          <w:rFonts w:ascii="Arial" w:cs="Arial" w:eastAsia="Arial" w:hAnsi="Arial"/>
          <w:sz w:val="17"/>
          <w:szCs w:val="17"/>
          <w:color w:val="auto"/>
        </w:rPr>
        <w:t>”).</w:t>
      </w:r>
    </w:p>
    <w:p>
      <w:pPr>
        <w:spacing w:after="0" w:line="176" w:lineRule="exact"/>
        <w:rPr>
          <w:rFonts w:ascii="Arial" w:cs="Arial" w:eastAsia="Arial" w:hAnsi="Arial"/>
          <w:sz w:val="17"/>
          <w:szCs w:val="17"/>
          <w:b w:val="1"/>
          <w:bCs w:val="1"/>
          <w:color w:val="auto"/>
        </w:rPr>
      </w:pPr>
    </w:p>
    <w:p>
      <w:pPr>
        <w:ind w:firstLine="990"/>
        <w:spacing w:after="0" w:line="271" w:lineRule="auto"/>
        <w:tabs>
          <w:tab w:leader="none" w:pos="1234" w:val="left"/>
        </w:tabs>
        <w:numPr>
          <w:ilvl w:val="1"/>
          <w:numId w:val="315"/>
        </w:numPr>
        <w:rPr>
          <w:rFonts w:ascii="Arial" w:cs="Arial" w:eastAsia="Arial" w:hAnsi="Arial"/>
          <w:sz w:val="18"/>
          <w:szCs w:val="18"/>
          <w:b w:val="1"/>
          <w:bCs w:val="1"/>
          <w:color w:val="auto"/>
        </w:rPr>
      </w:pPr>
      <w:r>
        <w:rPr>
          <w:rFonts w:ascii="Arial" w:cs="Arial" w:eastAsia="Arial" w:hAnsi="Arial"/>
          <w:sz w:val="18"/>
          <w:szCs w:val="18"/>
          <w:color w:val="auto"/>
        </w:rPr>
        <w:t>Prior to the Listing Date, you may not validly Transfer (as defined below) any shares of Common Stock acquired upon exercise of your option, or any interest in such shares, unless such Transfer is made in compliance with the following provisions:</w:t>
      </w:r>
    </w:p>
    <w:p>
      <w:pPr>
        <w:spacing w:after="0" w:line="174" w:lineRule="exact"/>
        <w:rPr>
          <w:rFonts w:ascii="Arial" w:cs="Arial" w:eastAsia="Arial" w:hAnsi="Arial"/>
          <w:sz w:val="18"/>
          <w:szCs w:val="18"/>
          <w:b w:val="1"/>
          <w:bCs w:val="1"/>
          <w:color w:val="auto"/>
        </w:rPr>
      </w:pPr>
    </w:p>
    <w:p>
      <w:pPr>
        <w:ind w:right="120" w:firstLine="1426"/>
        <w:spacing w:after="0" w:line="285" w:lineRule="auto"/>
        <w:tabs>
          <w:tab w:leader="none" w:pos="1632" w:val="left"/>
        </w:tabs>
        <w:numPr>
          <w:ilvl w:val="2"/>
          <w:numId w:val="315"/>
        </w:numPr>
        <w:rPr>
          <w:rFonts w:ascii="Arial" w:cs="Arial" w:eastAsia="Arial" w:hAnsi="Arial"/>
          <w:sz w:val="16"/>
          <w:szCs w:val="16"/>
          <w:b w:val="1"/>
          <w:bCs w:val="1"/>
          <w:color w:val="auto"/>
        </w:rPr>
      </w:pPr>
      <w:r>
        <w:rPr>
          <w:rFonts w:ascii="Arial" w:cs="Arial" w:eastAsia="Arial" w:hAnsi="Arial"/>
          <w:sz w:val="16"/>
          <w:szCs w:val="16"/>
          <w:color w:val="auto"/>
        </w:rPr>
        <w:t>Before there can be a valid Transfer of any shares of Common Stock or any interest therein, the record holder of the shares of Common Stock to be transferred (the “</w:t>
      </w:r>
      <w:r>
        <w:rPr>
          <w:rFonts w:ascii="Arial" w:cs="Arial" w:eastAsia="Arial" w:hAnsi="Arial"/>
          <w:sz w:val="16"/>
          <w:szCs w:val="16"/>
          <w:b w:val="1"/>
          <w:bCs w:val="1"/>
          <w:i w:val="1"/>
          <w:iCs w:val="1"/>
          <w:color w:val="auto"/>
        </w:rPr>
        <w:t>Offered Shares</w:t>
      </w:r>
      <w:r>
        <w:rPr>
          <w:rFonts w:ascii="Arial" w:cs="Arial" w:eastAsia="Arial" w:hAnsi="Arial"/>
          <w:sz w:val="16"/>
          <w:szCs w:val="16"/>
          <w:color w:val="auto"/>
        </w:rPr>
        <w:t>”) will give written notice (by registered or certified mail) to the Company. Such notice will specify the identity of the proposed transferee, the cash price offered for the Offered Shares by the proposed transferee (or, if the proposed Transfer is one in which the holder will not receive cash, such as an involuntary transfer, gift, donation or pledge, the holder will state that no purchase price is being proposed), and the other terms and conditions of the proposed Transfer. The date such notice is mailed will be hereinafter referred to as the “</w:t>
      </w:r>
      <w:r>
        <w:rPr>
          <w:rFonts w:ascii="Arial" w:cs="Arial" w:eastAsia="Arial" w:hAnsi="Arial"/>
          <w:sz w:val="16"/>
          <w:szCs w:val="16"/>
          <w:b w:val="1"/>
          <w:bCs w:val="1"/>
          <w:i w:val="1"/>
          <w:iCs w:val="1"/>
          <w:color w:val="auto"/>
        </w:rPr>
        <w:t>Notice Date</w:t>
      </w:r>
      <w:r>
        <w:rPr>
          <w:rFonts w:ascii="Arial" w:cs="Arial" w:eastAsia="Arial" w:hAnsi="Arial"/>
          <w:sz w:val="16"/>
          <w:szCs w:val="16"/>
          <w:color w:val="auto"/>
        </w:rPr>
        <w:t>” and the record holder of the Offered Shares will be hereinafter referred to as the “</w:t>
      </w:r>
      <w:r>
        <w:rPr>
          <w:rFonts w:ascii="Arial" w:cs="Arial" w:eastAsia="Arial" w:hAnsi="Arial"/>
          <w:sz w:val="16"/>
          <w:szCs w:val="16"/>
          <w:b w:val="1"/>
          <w:bCs w:val="1"/>
          <w:i w:val="1"/>
          <w:iCs w:val="1"/>
          <w:color w:val="auto"/>
        </w:rPr>
        <w:t>Offeror</w:t>
      </w:r>
      <w:r>
        <w:rPr>
          <w:rFonts w:ascii="Arial" w:cs="Arial" w:eastAsia="Arial" w:hAnsi="Arial"/>
          <w:sz w:val="16"/>
          <w:szCs w:val="16"/>
          <w:color w:val="auto"/>
        </w:rPr>
        <w:t>.” If, from time to time, there is any stock dividend, stock split or other change in the character or amount of any of the outstanding Common Stock which is subject to the provisions of your option, then in such event any and all new, substituted or additional securities to which you are entitled by reason of your ownership of the shares of Common Stock acquired upon exercise of your option will be immediately subject to the Company’s Right of First Refusal (as defined below) with the same force and effect as the shares subject to the Right of First Refusal immediately before such event.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80" w:top="268" w:right="519" w:bottom="1440" w:gutter="0" w:footer="0" w:header="0"/>
        </w:sectPr>
      </w:pPr>
    </w:p>
    <w:bookmarkStart w:id="376" w:name="page377"/>
    <w:bookmarkEnd w:id="376"/>
    <w:p>
      <w:pPr>
        <w:ind w:left="-20" w:right="20" w:firstLine="1426"/>
        <w:spacing w:after="0" w:line="269" w:lineRule="auto"/>
        <w:tabs>
          <w:tab w:leader="none" w:pos="1661" w:val="left"/>
        </w:tabs>
        <w:numPr>
          <w:ilvl w:val="1"/>
          <w:numId w:val="31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a period of 30 calendar days after the Notice Date, or such longer period as may be required to avoid the classification of your option as a liability for financial accounting purposes, the Company will have the option to purchase all (but not less than all) of the Offered Shares at the purchase price and on the terms set forth in Section 11(a)(iii) (the Company’s “</w:t>
      </w:r>
      <w:r>
        <w:rPr>
          <w:rFonts w:ascii="Arial" w:cs="Arial" w:eastAsia="Arial" w:hAnsi="Arial"/>
          <w:sz w:val="17"/>
          <w:szCs w:val="17"/>
          <w:b w:val="1"/>
          <w:bCs w:val="1"/>
          <w:i w:val="1"/>
          <w:iCs w:val="1"/>
          <w:color w:val="auto"/>
        </w:rPr>
        <w:t>Right of First Refusal</w:t>
      </w:r>
      <w:r>
        <w:rPr>
          <w:rFonts w:ascii="Arial" w:cs="Arial" w:eastAsia="Arial" w:hAnsi="Arial"/>
          <w:sz w:val="17"/>
          <w:szCs w:val="17"/>
          <w:color w:val="auto"/>
        </w:rPr>
        <w:t>”). In the event that the proposed Transfer is one involving no payment of a purchase price, the purchase price will be deemed to be the Fair Market Value of the Offered Shares as determined in good faith by the Board in its discretion. The Company may exercise its Right of First Refusal by mailing (by registered or certified mail) written notice of exercise of its Right of First Refusal to the Offeror prior to the end of said 30 days (including any extension required to avoid classification of the option as a liability for financial accounting purposes).</w:t>
      </w:r>
    </w:p>
    <w:p>
      <w:pPr>
        <w:spacing w:after="0" w:line="178" w:lineRule="exact"/>
        <w:rPr>
          <w:rFonts w:ascii="Arial" w:cs="Arial" w:eastAsia="Arial" w:hAnsi="Arial"/>
          <w:sz w:val="17"/>
          <w:szCs w:val="17"/>
          <w:b w:val="1"/>
          <w:bCs w:val="1"/>
          <w:color w:val="auto"/>
        </w:rPr>
      </w:pPr>
    </w:p>
    <w:p>
      <w:pPr>
        <w:ind w:left="-20" w:right="80" w:firstLine="1426"/>
        <w:spacing w:after="0" w:line="270" w:lineRule="auto"/>
        <w:tabs>
          <w:tab w:leader="none" w:pos="1711" w:val="left"/>
        </w:tabs>
        <w:numPr>
          <w:ilvl w:val="1"/>
          <w:numId w:val="316"/>
        </w:numPr>
        <w:rPr>
          <w:rFonts w:ascii="Arial" w:cs="Arial" w:eastAsia="Arial" w:hAnsi="Arial"/>
          <w:sz w:val="17"/>
          <w:szCs w:val="17"/>
          <w:b w:val="1"/>
          <w:bCs w:val="1"/>
          <w:color w:val="auto"/>
        </w:rPr>
      </w:pPr>
      <w:r>
        <w:rPr>
          <w:rFonts w:ascii="Arial" w:cs="Arial" w:eastAsia="Arial" w:hAnsi="Arial"/>
          <w:sz w:val="17"/>
          <w:szCs w:val="17"/>
          <w:color w:val="auto"/>
        </w:rPr>
        <w:t>The price at which the Company may purchase the Offered Shares pursuant to the exercise of its Right of First Refusal will be the cash price offered for the Offered Shares by the proposed transferee (as set forth in the notice required under Section 11(a)(i)), or the Fair Market Value as determined by the Board in the event no purchase price is involved. To the extent consideration other than cash is offered by the proposed transferee, the Company will not be required to pay any additional amounts to the Offeror other than the cash price offered (or the Fair Market Value, if applicable). The Company’s notice of exercise of its Right of First Refusal will be accompanied by full payment for the Offered Shares and, upon such payment by the Company, the Company will acquire full right, title and interest to all of the Offered Shares.</w:t>
      </w:r>
    </w:p>
    <w:p>
      <w:pPr>
        <w:spacing w:after="0" w:line="178" w:lineRule="exact"/>
        <w:rPr>
          <w:rFonts w:ascii="Arial" w:cs="Arial" w:eastAsia="Arial" w:hAnsi="Arial"/>
          <w:sz w:val="17"/>
          <w:szCs w:val="17"/>
          <w:b w:val="1"/>
          <w:bCs w:val="1"/>
          <w:color w:val="auto"/>
        </w:rPr>
      </w:pPr>
    </w:p>
    <w:p>
      <w:pPr>
        <w:ind w:left="-20" w:right="20" w:firstLine="1426"/>
        <w:spacing w:after="0" w:line="290" w:lineRule="auto"/>
        <w:tabs>
          <w:tab w:leader="none" w:pos="1701" w:val="left"/>
        </w:tabs>
        <w:numPr>
          <w:ilvl w:val="1"/>
          <w:numId w:val="316"/>
        </w:numPr>
        <w:rPr>
          <w:rFonts w:ascii="Arial" w:cs="Arial" w:eastAsia="Arial" w:hAnsi="Arial"/>
          <w:sz w:val="16"/>
          <w:szCs w:val="16"/>
          <w:b w:val="1"/>
          <w:bCs w:val="1"/>
          <w:color w:val="auto"/>
        </w:rPr>
      </w:pPr>
      <w:r>
        <w:rPr>
          <w:rFonts w:ascii="Arial" w:cs="Arial" w:eastAsia="Arial" w:hAnsi="Arial"/>
          <w:sz w:val="16"/>
          <w:szCs w:val="16"/>
          <w:color w:val="auto"/>
        </w:rPr>
        <w:t xml:space="preserve">If, and only if, the option given pursuant to Section 11(a)(ii) is not exercised, the Transfer proposed in the notice given pursuant to Section 11(a)(i) may take place;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Transfer must, in all respects, be exactly as proposed in said notice except that such Transfer may not take place either before the 10</w:t>
      </w:r>
      <w:r>
        <w:rPr>
          <w:rFonts w:ascii="Arial" w:cs="Arial" w:eastAsia="Arial" w:hAnsi="Arial"/>
          <w:sz w:val="13"/>
          <w:szCs w:val="13"/>
          <w:color w:val="auto"/>
        </w:rPr>
        <w:t>th</w:t>
      </w:r>
      <w:r>
        <w:rPr>
          <w:rFonts w:ascii="Arial" w:cs="Arial" w:eastAsia="Arial" w:hAnsi="Arial"/>
          <w:sz w:val="16"/>
          <w:szCs w:val="16"/>
          <w:color w:val="auto"/>
        </w:rPr>
        <w:t xml:space="preserve"> calendar day after the expiration of the 30 day option exercise period or after the ninetieth 90</w:t>
      </w:r>
      <w:r>
        <w:rPr>
          <w:rFonts w:ascii="Arial" w:cs="Arial" w:eastAsia="Arial" w:hAnsi="Arial"/>
          <w:sz w:val="13"/>
          <w:szCs w:val="13"/>
          <w:color w:val="auto"/>
        </w:rPr>
        <w:t>th</w:t>
      </w:r>
      <w:r>
        <w:rPr>
          <w:rFonts w:ascii="Arial" w:cs="Arial" w:eastAsia="Arial" w:hAnsi="Arial"/>
          <w:sz w:val="16"/>
          <w:szCs w:val="16"/>
          <w:color w:val="auto"/>
        </w:rPr>
        <w:t xml:space="preserve"> calendar day after the expiration of the 30 day option exercise period, and if such Transfer has not taken place prior to said 90</w:t>
      </w:r>
      <w:r>
        <w:rPr>
          <w:rFonts w:ascii="Arial" w:cs="Arial" w:eastAsia="Arial" w:hAnsi="Arial"/>
          <w:sz w:val="13"/>
          <w:szCs w:val="13"/>
          <w:color w:val="auto"/>
        </w:rPr>
        <w:t>th</w:t>
      </w:r>
      <w:r>
        <w:rPr>
          <w:rFonts w:ascii="Arial" w:cs="Arial" w:eastAsia="Arial" w:hAnsi="Arial"/>
          <w:sz w:val="16"/>
          <w:szCs w:val="16"/>
          <w:color w:val="auto"/>
        </w:rPr>
        <w:t xml:space="preserve"> day, such Transfer may not take place without once again complying with this Section 11(a). The option exercise periods in this Section 11(a)(iv) will be adjusted to include any extension required to avoid the classification of your option as a liability for financial accounting purposes.</w:t>
      </w:r>
    </w:p>
    <w:p>
      <w:pPr>
        <w:spacing w:after="0" w:line="163" w:lineRule="exact"/>
        <w:rPr>
          <w:rFonts w:ascii="Arial" w:cs="Arial" w:eastAsia="Arial" w:hAnsi="Arial"/>
          <w:sz w:val="16"/>
          <w:szCs w:val="16"/>
          <w:b w:val="1"/>
          <w:bCs w:val="1"/>
          <w:color w:val="auto"/>
        </w:rPr>
      </w:pPr>
    </w:p>
    <w:p>
      <w:pPr>
        <w:ind w:left="-20" w:firstLine="990"/>
        <w:spacing w:after="0" w:line="269" w:lineRule="auto"/>
        <w:tabs>
          <w:tab w:leader="none" w:pos="1225" w:val="left"/>
        </w:tabs>
        <w:numPr>
          <w:ilvl w:val="0"/>
          <w:numId w:val="317"/>
        </w:numPr>
        <w:rPr>
          <w:rFonts w:ascii="Arial" w:cs="Arial" w:eastAsia="Arial" w:hAnsi="Arial"/>
          <w:sz w:val="17"/>
          <w:szCs w:val="17"/>
          <w:b w:val="1"/>
          <w:bCs w:val="1"/>
          <w:color w:val="auto"/>
        </w:rPr>
      </w:pPr>
      <w:r>
        <w:rPr>
          <w:rFonts w:ascii="Arial" w:cs="Arial" w:eastAsia="Arial" w:hAnsi="Arial"/>
          <w:sz w:val="17"/>
          <w:szCs w:val="17"/>
          <w:color w:val="auto"/>
        </w:rPr>
        <w:t>As used in this Section 11, the term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xml:space="preserve">” means any sale, encumbrance, pledge, gift or other form of disposition or transfer of shares of Common Stock or any legal or equitable interest therein;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term Transfer does not include a transfer of such shares or interests by will or intestacy to your Immediate Family (as defined below). In such case, the transferee or other recipient will receive and hold the shares of Common Stock so transferred subject to the provisions of this Section, and there will be no further transfer of such shares except in accordance with the terms of this Section 11. As used herein, the term “</w:t>
      </w:r>
      <w:r>
        <w:rPr>
          <w:rFonts w:ascii="Arial" w:cs="Arial" w:eastAsia="Arial" w:hAnsi="Arial"/>
          <w:sz w:val="17"/>
          <w:szCs w:val="17"/>
          <w:b w:val="1"/>
          <w:bCs w:val="1"/>
          <w:i w:val="1"/>
          <w:iCs w:val="1"/>
          <w:color w:val="auto"/>
        </w:rPr>
        <w:t>Immediate Family</w:t>
      </w:r>
      <w:r>
        <w:rPr>
          <w:rFonts w:ascii="Arial" w:cs="Arial" w:eastAsia="Arial" w:hAnsi="Arial"/>
          <w:sz w:val="17"/>
          <w:szCs w:val="17"/>
          <w:color w:val="auto"/>
        </w:rPr>
        <w:t>” will mean your spouse, the lineal descendant or antecedent, father, mother, brother or sister, child, adopted child, grandchild or adopted grandchild of you or your spouse, or the spouse of any child, adopted child, grandchild or adopted grandchild of you or your spouse.</w:t>
      </w:r>
    </w:p>
    <w:p>
      <w:pPr>
        <w:spacing w:after="0" w:line="178" w:lineRule="exact"/>
        <w:rPr>
          <w:rFonts w:ascii="Arial" w:cs="Arial" w:eastAsia="Arial" w:hAnsi="Arial"/>
          <w:sz w:val="17"/>
          <w:szCs w:val="17"/>
          <w:b w:val="1"/>
          <w:bCs w:val="1"/>
          <w:color w:val="auto"/>
        </w:rPr>
      </w:pPr>
    </w:p>
    <w:p>
      <w:pPr>
        <w:ind w:left="-20" w:right="180" w:firstLine="990"/>
        <w:spacing w:after="0" w:line="255" w:lineRule="auto"/>
        <w:tabs>
          <w:tab w:leader="none" w:pos="1204"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None of the shares of Common Stock purchased on exercise of your option will be transferred on the Company’s books nor will the Company recognize any such Transfer of any such shares or any interest therein unless and until all applicable provisions of this Section 11 have been complied with in all respects. The certificates of stock evidencing shares of Common Stock purchased on exercise of your option will bear an appropriate legend referring to the transfer restrictions imposed by this Section 11.</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500" w:top="272" w:right="519" w:bottom="1440" w:gutter="0" w:footer="0" w:header="0"/>
        </w:sectPr>
      </w:pPr>
    </w:p>
    <w:bookmarkStart w:id="377" w:name="page378"/>
    <w:bookmarkEnd w:id="377"/>
    <w:p>
      <w:pPr>
        <w:ind w:left="-20" w:firstLine="990"/>
        <w:spacing w:after="0" w:line="286" w:lineRule="auto"/>
        <w:tabs>
          <w:tab w:leader="none" w:pos="1225" w:val="left"/>
        </w:tabs>
        <w:numPr>
          <w:ilvl w:val="1"/>
          <w:numId w:val="31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ensure that the shares subject to the Company’s Right of First Refusal will be available for repurchase by the Company, the Company may require you to deposit the certificates evidencing the shares that you purchase upon exercise of your option with an escrow agent designated by the Company under the terms and conditions of an escrow agreement approved by the Company. If the Company does not require such deposit as a condition of exercise of your option, the Company reserves the right at any time to require you to so deposit the certificates in escrow. As soon as practicable after the expiration of the Company’s Right of First Refusal, the agent will deliver to you the shares and any other property no longer subject to such restriction. In the event the shares and any other property held in escrow are subject to the Company’s exercise of its Right of First Refusal, the notices required to be given to you will be given to the escrow agent, and any payment required to be given to you will be given to the escrow agent. Within 30 days after payment by the Company for the Offered Shares, the escrow agent will deliver the Offered Shares that the Company has repurchased to the Company and will deliver the payment received from the Company to you.</w:t>
      </w:r>
    </w:p>
    <w:p>
      <w:pPr>
        <w:spacing w:after="0" w:line="162" w:lineRule="exact"/>
        <w:rPr>
          <w:rFonts w:ascii="Arial" w:cs="Arial" w:eastAsia="Arial" w:hAnsi="Arial"/>
          <w:sz w:val="16"/>
          <w:szCs w:val="16"/>
          <w:b w:val="1"/>
          <w:bCs w:val="1"/>
          <w:color w:val="auto"/>
        </w:rPr>
      </w:pPr>
    </w:p>
    <w:p>
      <w:pPr>
        <w:jc w:val="both"/>
        <w:ind w:left="-20" w:right="20" w:firstLine="444"/>
        <w:spacing w:after="0" w:line="299" w:lineRule="auto"/>
        <w:tabs>
          <w:tab w:leader="none" w:pos="684" w:val="left"/>
        </w:tabs>
        <w:numPr>
          <w:ilvl w:val="0"/>
          <w:numId w:val="319"/>
        </w:numPr>
        <w:rPr>
          <w:rFonts w:ascii="Arial" w:cs="Arial" w:eastAsia="Arial" w:hAnsi="Arial"/>
          <w:sz w:val="16"/>
          <w:szCs w:val="16"/>
          <w:b w:val="1"/>
          <w:bCs w:val="1"/>
          <w:color w:val="auto"/>
        </w:rPr>
      </w:pPr>
      <w:r>
        <w:rPr>
          <w:rFonts w:ascii="Arial" w:cs="Arial" w:eastAsia="Arial" w:hAnsi="Arial"/>
          <w:sz w:val="16"/>
          <w:szCs w:val="16"/>
          <w:b w:val="1"/>
          <w:bCs w:val="1"/>
          <w:color w:val="auto"/>
        </w:rPr>
        <w:t>Option not a Service Contract</w:t>
      </w:r>
      <w:r>
        <w:rPr>
          <w:rFonts w:ascii="Arial" w:cs="Arial" w:eastAsia="Arial" w:hAnsi="Arial"/>
          <w:sz w:val="16"/>
          <w:szCs w:val="16"/>
          <w:color w:val="auto"/>
        </w:rPr>
        <w:t>. Your option is not an employment or service contract, and nothing in your option will be deemed to create in</w:t>
      </w:r>
      <w:r>
        <w:rPr>
          <w:rFonts w:ascii="Arial" w:cs="Arial" w:eastAsia="Arial" w:hAnsi="Arial"/>
          <w:sz w:val="16"/>
          <w:szCs w:val="16"/>
          <w:b w:val="1"/>
          <w:bCs w:val="1"/>
          <w:color w:val="auto"/>
        </w:rPr>
        <w:t xml:space="preserve"> </w:t>
      </w:r>
      <w:r>
        <w:rPr>
          <w:rFonts w:ascii="Arial" w:cs="Arial" w:eastAsia="Arial" w:hAnsi="Arial"/>
          <w:sz w:val="16"/>
          <w:szCs w:val="16"/>
          <w:color w:val="auto"/>
        </w:rPr>
        <w:t>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153" w:lineRule="exact"/>
        <w:rPr>
          <w:rFonts w:ascii="Arial" w:cs="Arial" w:eastAsia="Arial" w:hAnsi="Arial"/>
          <w:sz w:val="16"/>
          <w:szCs w:val="16"/>
          <w:b w:val="1"/>
          <w:bCs w:val="1"/>
          <w:color w:val="auto"/>
        </w:rPr>
      </w:pPr>
    </w:p>
    <w:p>
      <w:pPr>
        <w:ind w:left="700" w:hanging="276"/>
        <w:spacing w:after="0"/>
        <w:tabs>
          <w:tab w:leader="none" w:pos="70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Obligations</w:t>
      </w:r>
      <w:r>
        <w:rPr>
          <w:rFonts w:ascii="Arial" w:cs="Arial" w:eastAsia="Arial" w:hAnsi="Arial"/>
          <w:sz w:val="18"/>
          <w:szCs w:val="18"/>
          <w:color w:val="auto"/>
        </w:rPr>
        <w:t>.</w:t>
      </w:r>
    </w:p>
    <w:p>
      <w:pPr>
        <w:spacing w:after="0" w:line="224" w:lineRule="exact"/>
        <w:rPr>
          <w:rFonts w:ascii="Arial" w:cs="Arial" w:eastAsia="Arial" w:hAnsi="Arial"/>
          <w:sz w:val="18"/>
          <w:szCs w:val="18"/>
          <w:b w:val="1"/>
          <w:bCs w:val="1"/>
          <w:color w:val="auto"/>
        </w:rPr>
      </w:pPr>
    </w:p>
    <w:p>
      <w:pPr>
        <w:ind w:left="-20" w:firstLine="990"/>
        <w:spacing w:after="0" w:line="253" w:lineRule="auto"/>
        <w:tabs>
          <w:tab w:leader="none" w:pos="1214" w:val="left"/>
        </w:tabs>
        <w:numPr>
          <w:ilvl w:val="1"/>
          <w:numId w:val="319"/>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92" w:lineRule="exact"/>
        <w:rPr>
          <w:rFonts w:ascii="Arial" w:cs="Arial" w:eastAsia="Arial" w:hAnsi="Arial"/>
          <w:sz w:val="18"/>
          <w:szCs w:val="18"/>
          <w:b w:val="1"/>
          <w:bCs w:val="1"/>
          <w:color w:val="auto"/>
        </w:rPr>
      </w:pPr>
    </w:p>
    <w:p>
      <w:pPr>
        <w:ind w:left="-20" w:right="20" w:firstLine="990"/>
        <w:spacing w:after="0" w:line="266" w:lineRule="auto"/>
        <w:tabs>
          <w:tab w:leader="none" w:pos="1225" w:val="left"/>
        </w:tabs>
        <w:numPr>
          <w:ilvl w:val="1"/>
          <w:numId w:val="319"/>
        </w:numPr>
        <w:rPr>
          <w:rFonts w:ascii="Arial" w:cs="Arial" w:eastAsia="Arial" w:hAnsi="Arial"/>
          <w:sz w:val="17"/>
          <w:szCs w:val="17"/>
          <w:b w:val="1"/>
          <w:bCs w:val="1"/>
          <w:color w:val="auto"/>
        </w:rPr>
      </w:pPr>
      <w:r>
        <w:rPr>
          <w:rFonts w:ascii="Arial" w:cs="Arial" w:eastAsia="Arial" w:hAnsi="Arial"/>
          <w:sz w:val="17"/>
          <w:szCs w:val="17"/>
          <w:color w:val="auto"/>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will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will be withheld solely from fully vested shares of Common Stock determined as of the date of exercise of your option that are otherwise issuable to you upon such exercise. Any adverse consequences to you arising in connection with such share withholding procedure will be your sole responsibility.</w:t>
      </w:r>
    </w:p>
    <w:p>
      <w:pPr>
        <w:spacing w:after="0" w:line="184" w:lineRule="exact"/>
        <w:rPr>
          <w:rFonts w:ascii="Arial" w:cs="Arial" w:eastAsia="Arial" w:hAnsi="Arial"/>
          <w:sz w:val="17"/>
          <w:szCs w:val="17"/>
          <w:b w:val="1"/>
          <w:bCs w:val="1"/>
          <w:color w:val="auto"/>
        </w:rPr>
      </w:pPr>
    </w:p>
    <w:p>
      <w:pPr>
        <w:ind w:left="-20" w:right="80" w:firstLine="990"/>
        <w:spacing w:after="0" w:line="255" w:lineRule="auto"/>
        <w:tabs>
          <w:tab w:leader="none" w:pos="1204" w:val="left"/>
        </w:tabs>
        <w:numPr>
          <w:ilvl w:val="1"/>
          <w:numId w:val="319"/>
        </w:numPr>
        <w:rPr>
          <w:rFonts w:ascii="Arial" w:cs="Arial" w:eastAsia="Arial" w:hAnsi="Arial"/>
          <w:sz w:val="18"/>
          <w:szCs w:val="18"/>
          <w:b w:val="1"/>
          <w:bCs w:val="1"/>
          <w:color w:val="auto"/>
        </w:rPr>
      </w:pPr>
      <w:r>
        <w:rPr>
          <w:rFonts w:ascii="Arial" w:cs="Arial" w:eastAsia="Arial" w:hAnsi="Arial"/>
          <w:sz w:val="18"/>
          <w:szCs w:val="18"/>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500" w:top="272" w:right="519" w:bottom="1440" w:gutter="0" w:footer="0" w:header="0"/>
        </w:sectPr>
      </w:pPr>
    </w:p>
    <w:bookmarkStart w:id="378" w:name="page379"/>
    <w:bookmarkEnd w:id="378"/>
    <w:p>
      <w:pPr>
        <w:ind w:left="-40" w:firstLine="444"/>
        <w:spacing w:after="0" w:line="267" w:lineRule="auto"/>
        <w:tabs>
          <w:tab w:leader="none" w:pos="664"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Tax Consequences</w:t>
      </w:r>
      <w:r>
        <w:rPr>
          <w:rFonts w:ascii="Arial" w:cs="Arial" w:eastAsia="Arial" w:hAnsi="Arial"/>
          <w:sz w:val="17"/>
          <w:szCs w:val="17"/>
          <w:color w:val="auto"/>
        </w:rPr>
        <w:t>. You hereby agree that the Company does not have a duty to design or administer the Plan or its other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will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179" w:lineRule="exact"/>
        <w:rPr>
          <w:rFonts w:ascii="Arial" w:cs="Arial" w:eastAsia="Arial" w:hAnsi="Arial"/>
          <w:sz w:val="17"/>
          <w:szCs w:val="17"/>
          <w:b w:val="1"/>
          <w:bCs w:val="1"/>
          <w:color w:val="auto"/>
        </w:rPr>
      </w:pPr>
    </w:p>
    <w:p>
      <w:pPr>
        <w:ind w:left="-40" w:right="60" w:firstLine="444"/>
        <w:spacing w:after="0" w:line="271" w:lineRule="auto"/>
        <w:tabs>
          <w:tab w:leader="none" w:pos="664"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notices provided for in your option or the Plan will be given in writing (including electronically) and will be deemed effectively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73" w:lineRule="exact"/>
        <w:rPr>
          <w:rFonts w:ascii="Arial" w:cs="Arial" w:eastAsia="Arial" w:hAnsi="Arial"/>
          <w:sz w:val="17"/>
          <w:szCs w:val="17"/>
          <w:b w:val="1"/>
          <w:bCs w:val="1"/>
          <w:color w:val="auto"/>
        </w:rPr>
      </w:pPr>
    </w:p>
    <w:p>
      <w:pPr>
        <w:ind w:left="-40" w:right="240" w:firstLine="444"/>
        <w:spacing w:after="0" w:line="309" w:lineRule="auto"/>
        <w:tabs>
          <w:tab w:leader="none" w:pos="664" w:val="left"/>
        </w:tabs>
        <w:numPr>
          <w:ilvl w:val="0"/>
          <w:numId w:val="320"/>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Plan Document</w:t>
      </w:r>
      <w:r>
        <w:rPr>
          <w:rFonts w:ascii="Arial" w:cs="Arial" w:eastAsia="Arial" w:hAnsi="Arial"/>
          <w:sz w:val="16"/>
          <w:szCs w:val="16"/>
          <w:color w:val="auto"/>
        </w:rPr>
        <w:t>. Your option is subject to all the provisions of the Plan, the provisions of which are hereby made a part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520" w:top="268" w:right="519" w:bottom="1440" w:gutter="0" w:footer="0" w:header="0"/>
        </w:sectPr>
      </w:pPr>
    </w:p>
    <w:bookmarkStart w:id="379" w:name="page380"/>
    <w:bookmarkEnd w:id="3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ATTACHMENT 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2021 Equity Incentive Plan</w:t>
      </w:r>
    </w:p>
    <w:p>
      <w:pPr>
        <w:sectPr>
          <w:pgSz w:w="11900" w:h="16838" w:orient="portrait"/>
          <w:cols w:equalWidth="0" w:num="1">
            <w:col w:w="9019"/>
          </w:cols>
          <w:pgMar w:left="1440" w:top="268" w:right="1440" w:bottom="1440" w:gutter="0" w:footer="0" w:header="0"/>
        </w:sectPr>
      </w:pPr>
    </w:p>
    <w:bookmarkStart w:id="380" w:name="page381"/>
    <w:bookmarkEnd w:id="3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ATTACHMENT III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EXERCISE</w:t>
      </w:r>
    </w:p>
    <w:p>
      <w:pPr>
        <w:sectPr>
          <w:pgSz w:w="11900" w:h="16838" w:orient="portrait"/>
          <w:cols w:equalWidth="0" w:num="1">
            <w:col w:w="9019"/>
          </w:cols>
          <w:pgMar w:left="1440" w:top="268" w:right="1440" w:bottom="1440" w:gutter="0" w:footer="0" w:header="0"/>
        </w:sectPr>
      </w:pPr>
    </w:p>
    <w:bookmarkStart w:id="381" w:name="page382"/>
    <w:bookmarkEnd w:id="3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VERA THERAPEUTICS,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This constitutes notice to </w:t>
      </w:r>
      <w:r>
        <w:rPr>
          <w:rFonts w:ascii="Arial" w:cs="Arial" w:eastAsia="Arial" w:hAnsi="Arial"/>
          <w:sz w:val="18"/>
          <w:szCs w:val="18"/>
          <w:b w:val="1"/>
          <w:bCs w:val="1"/>
          <w:color w:val="auto"/>
        </w:rPr>
        <w:t>Vera Therapeutics, Inc.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my stock option that I elect to purchase the below number of shares of Common Stock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for the price set forth below. Use of certain payment methods is subject to Company and/or Board consent and certain additional requirements set forth in the Option Agreement and the Plan. If the Company uses an electronic capitalization table system (such as Carta or Shareworks) and the fields below are blank, the blank fields shall be deemed to come from the electronic capitalization system and is considered part of this Notice of Exercise.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Option Information</w:t>
            </w:r>
          </w:p>
        </w:tc>
        <w:tc>
          <w:tcPr>
            <w:tcW w:w="4180" w:type="dxa"/>
            <w:vAlign w:val="bottom"/>
            <w:gridSpan w:val="2"/>
          </w:tcPr>
          <w:p>
            <w:pPr>
              <w:spacing w:after="0"/>
              <w:rPr>
                <w:sz w:val="17"/>
                <w:szCs w:val="17"/>
                <w:color w:val="auto"/>
              </w:rPr>
            </w:pP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5700" w:type="dxa"/>
            <w:vAlign w:val="bottom"/>
            <w:gridSpan w:val="3"/>
          </w:tcPr>
          <w:p>
            <w:pPr>
              <w:spacing w:after="0"/>
              <w:rPr>
                <w:sz w:val="20"/>
                <w:szCs w:val="20"/>
                <w:color w:val="auto"/>
              </w:rPr>
            </w:pPr>
            <w:r>
              <w:rPr>
                <w:rFonts w:ascii="Arial" w:cs="Arial" w:eastAsia="Arial" w:hAnsi="Arial"/>
                <w:sz w:val="18"/>
                <w:szCs w:val="18"/>
                <w:color w:val="auto"/>
              </w:rPr>
              <w:t>Type of option (check one):</w:t>
            </w:r>
          </w:p>
        </w:tc>
        <w:tc>
          <w:tcPr>
            <w:tcW w:w="5220" w:type="dxa"/>
            <w:vAlign w:val="bottom"/>
          </w:tcPr>
          <w:p>
            <w:pPr>
              <w:ind w:left="1500"/>
              <w:spacing w:after="0" w:line="207" w:lineRule="exact"/>
              <w:rPr>
                <w:sz w:val="20"/>
                <w:szCs w:val="20"/>
                <w:color w:val="auto"/>
              </w:rPr>
            </w:pP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7"/>
        </w:trPr>
        <w:tc>
          <w:tcPr>
            <w:tcW w:w="5700" w:type="dxa"/>
            <w:vAlign w:val="bottom"/>
            <w:gridSpan w:val="3"/>
          </w:tcPr>
          <w:p>
            <w:pPr>
              <w:spacing w:after="0"/>
              <w:rPr>
                <w:sz w:val="20"/>
                <w:szCs w:val="20"/>
                <w:color w:val="auto"/>
              </w:rPr>
            </w:pPr>
            <w:r>
              <w:rPr>
                <w:rFonts w:ascii="Arial" w:cs="Arial" w:eastAsia="Arial" w:hAnsi="Arial"/>
                <w:sz w:val="18"/>
                <w:szCs w:val="18"/>
                <w:color w:val="auto"/>
              </w:rPr>
              <w:t>Stock option dated:</w:t>
            </w:r>
          </w:p>
        </w:tc>
        <w:tc>
          <w:tcPr>
            <w:tcW w:w="5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00" w:type="dxa"/>
            <w:vAlign w:val="bottom"/>
            <w:gridSpan w:val="3"/>
          </w:tcPr>
          <w:p>
            <w:pPr>
              <w:spacing w:after="0"/>
              <w:rPr>
                <w:sz w:val="20"/>
                <w:szCs w:val="20"/>
                <w:color w:val="auto"/>
              </w:rPr>
            </w:pPr>
            <w:r>
              <w:rPr>
                <w:rFonts w:ascii="Arial" w:cs="Arial" w:eastAsia="Arial" w:hAnsi="Arial"/>
                <w:sz w:val="18"/>
                <w:szCs w:val="18"/>
                <w:color w:val="auto"/>
              </w:rPr>
              <w:t>Number of Shares as to which option is exercised:</w:t>
            </w:r>
          </w:p>
        </w:tc>
        <w:tc>
          <w:tcPr>
            <w:tcW w:w="5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00" w:type="dxa"/>
            <w:vAlign w:val="bottom"/>
            <w:gridSpan w:val="3"/>
          </w:tcPr>
          <w:p>
            <w:pPr>
              <w:spacing w:after="0"/>
              <w:rPr>
                <w:sz w:val="20"/>
                <w:szCs w:val="20"/>
                <w:color w:val="auto"/>
              </w:rPr>
            </w:pPr>
            <w:r>
              <w:rPr>
                <w:rFonts w:ascii="Arial" w:cs="Arial" w:eastAsia="Arial" w:hAnsi="Arial"/>
                <w:sz w:val="18"/>
                <w:szCs w:val="18"/>
                <w:color w:val="auto"/>
              </w:rPr>
              <w:t>Certificates to be issued in name of:</w:t>
            </w:r>
            <w:r>
              <w:rPr>
                <w:rFonts w:ascii="Arial" w:cs="Arial" w:eastAsia="Arial" w:hAnsi="Arial"/>
                <w:sz w:val="15"/>
                <w:szCs w:val="15"/>
                <w:color w:val="auto"/>
              </w:rPr>
              <w:t>3</w:t>
            </w:r>
          </w:p>
        </w:tc>
        <w:tc>
          <w:tcPr>
            <w:tcW w:w="5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Exercise Information</w:t>
            </w:r>
          </w:p>
        </w:tc>
        <w:tc>
          <w:tcPr>
            <w:tcW w:w="5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700" w:type="dxa"/>
            <w:vAlign w:val="bottom"/>
            <w:gridSpan w:val="3"/>
            <w:vMerge w:val="continue"/>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Date of Exercise:</w:t>
            </w:r>
          </w:p>
        </w:tc>
        <w:tc>
          <w:tcPr>
            <w:tcW w:w="4080" w:type="dxa"/>
            <w:vAlign w:val="bottom"/>
          </w:tcPr>
          <w:p>
            <w:pPr>
              <w:spacing w:after="0"/>
              <w:rPr>
                <w:sz w:val="20"/>
                <w:szCs w:val="20"/>
                <w:color w:val="auto"/>
              </w:rPr>
            </w:pPr>
          </w:p>
        </w:tc>
        <w:tc>
          <w:tcPr>
            <w:tcW w:w="5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700" w:type="dxa"/>
            <w:vAlign w:val="bottom"/>
            <w:gridSpan w:val="3"/>
          </w:tcPr>
          <w:p>
            <w:pPr>
              <w:spacing w:after="0"/>
              <w:rPr>
                <w:sz w:val="20"/>
                <w:szCs w:val="20"/>
                <w:color w:val="auto"/>
              </w:rPr>
            </w:pPr>
            <w:r>
              <w:rPr>
                <w:rFonts w:ascii="Arial" w:cs="Arial" w:eastAsia="Arial" w:hAnsi="Arial"/>
                <w:sz w:val="18"/>
                <w:szCs w:val="18"/>
                <w:color w:val="auto"/>
              </w:rPr>
              <w:t>Total exercise price:</w:t>
            </w:r>
          </w:p>
        </w:tc>
        <w:tc>
          <w:tcPr>
            <w:tcW w:w="5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00" w:type="dxa"/>
            <w:vAlign w:val="bottom"/>
            <w:gridSpan w:val="3"/>
          </w:tcPr>
          <w:p>
            <w:pPr>
              <w:ind w:left="360"/>
              <w:spacing w:after="0"/>
              <w:rPr>
                <w:sz w:val="20"/>
                <w:szCs w:val="20"/>
                <w:color w:val="auto"/>
              </w:rPr>
            </w:pPr>
            <w:r>
              <w:rPr>
                <w:rFonts w:ascii="Arial" w:cs="Arial" w:eastAsia="Arial" w:hAnsi="Arial"/>
                <w:sz w:val="18"/>
                <w:szCs w:val="18"/>
                <w:color w:val="auto"/>
              </w:rPr>
              <w:t>Cash:</w:t>
            </w:r>
            <w:r>
              <w:rPr>
                <w:rFonts w:ascii="Arial" w:cs="Arial" w:eastAsia="Arial" w:hAnsi="Arial"/>
                <w:sz w:val="15"/>
                <w:szCs w:val="15"/>
                <w:color w:val="auto"/>
              </w:rPr>
              <w:t>4</w:t>
            </w:r>
          </w:p>
        </w:tc>
        <w:tc>
          <w:tcPr>
            <w:tcW w:w="5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00" w:type="dxa"/>
            <w:vAlign w:val="bottom"/>
            <w:gridSpan w:val="3"/>
          </w:tcPr>
          <w:p>
            <w:pPr>
              <w:ind w:left="360"/>
              <w:spacing w:after="0"/>
              <w:rPr>
                <w:sz w:val="20"/>
                <w:szCs w:val="20"/>
                <w:color w:val="auto"/>
              </w:rPr>
            </w:pPr>
            <w:r>
              <w:rPr>
                <w:rFonts w:ascii="Arial" w:cs="Arial" w:eastAsia="Arial" w:hAnsi="Arial"/>
                <w:sz w:val="18"/>
                <w:szCs w:val="18"/>
                <w:color w:val="auto"/>
              </w:rPr>
              <w:t>Regulation T Program (cashless exercise):</w:t>
            </w:r>
            <w:r>
              <w:rPr>
                <w:rFonts w:ascii="Arial" w:cs="Arial" w:eastAsia="Arial" w:hAnsi="Arial"/>
                <w:sz w:val="15"/>
                <w:szCs w:val="15"/>
                <w:color w:val="auto"/>
              </w:rPr>
              <w:t>5</w:t>
            </w:r>
          </w:p>
        </w:tc>
        <w:tc>
          <w:tcPr>
            <w:tcW w:w="5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00" w:type="dxa"/>
            <w:vAlign w:val="bottom"/>
            <w:gridSpan w:val="3"/>
          </w:tcPr>
          <w:p>
            <w:pPr>
              <w:ind w:left="360"/>
              <w:spacing w:after="0"/>
              <w:rPr>
                <w:sz w:val="20"/>
                <w:szCs w:val="20"/>
                <w:color w:val="auto"/>
              </w:rPr>
            </w:pPr>
            <w:r>
              <w:rPr>
                <w:rFonts w:ascii="Arial" w:cs="Arial" w:eastAsia="Arial" w:hAnsi="Arial"/>
                <w:sz w:val="18"/>
                <w:szCs w:val="18"/>
                <w:color w:val="auto"/>
              </w:rPr>
              <w:t>Value of _________ Shares delivered with this notice:</w:t>
            </w:r>
            <w:r>
              <w:rPr>
                <w:rFonts w:ascii="Arial" w:cs="Arial" w:eastAsia="Arial" w:hAnsi="Arial"/>
                <w:sz w:val="15"/>
                <w:szCs w:val="15"/>
                <w:color w:val="auto"/>
              </w:rPr>
              <w:t>6</w:t>
            </w:r>
          </w:p>
        </w:tc>
        <w:tc>
          <w:tcPr>
            <w:tcW w:w="5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00" w:type="dxa"/>
            <w:vAlign w:val="bottom"/>
            <w:gridSpan w:val="3"/>
          </w:tcPr>
          <w:p>
            <w:pPr>
              <w:ind w:left="360"/>
              <w:spacing w:after="0"/>
              <w:rPr>
                <w:sz w:val="20"/>
                <w:szCs w:val="20"/>
                <w:color w:val="auto"/>
              </w:rPr>
            </w:pPr>
            <w:r>
              <w:rPr>
                <w:rFonts w:ascii="Arial" w:cs="Arial" w:eastAsia="Arial" w:hAnsi="Arial"/>
                <w:sz w:val="18"/>
                <w:szCs w:val="18"/>
                <w:color w:val="auto"/>
              </w:rPr>
              <w:t>Value of _________ Shares pursuant to net exercise:</w:t>
            </w:r>
            <w:r>
              <w:rPr>
                <w:rFonts w:ascii="Arial" w:cs="Arial" w:eastAsia="Arial" w:hAnsi="Arial"/>
                <w:sz w:val="15"/>
                <w:szCs w:val="15"/>
                <w:color w:val="auto"/>
              </w:rPr>
              <w:t>7</w:t>
            </w:r>
          </w:p>
        </w:tc>
        <w:tc>
          <w:tcPr>
            <w:tcW w:w="5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40" w:firstLine="436"/>
        <w:spacing w:after="0" w:line="288" w:lineRule="auto"/>
        <w:rPr>
          <w:sz w:val="20"/>
          <w:szCs w:val="20"/>
          <w:color w:val="auto"/>
        </w:rPr>
      </w:pPr>
      <w:r>
        <w:rPr>
          <w:rFonts w:ascii="Arial" w:cs="Arial" w:eastAsia="Arial" w:hAnsi="Arial"/>
          <w:sz w:val="16"/>
          <w:szCs w:val="16"/>
          <w:color w:val="auto"/>
        </w:rPr>
        <w:t>By this exercise, I agree (i) to provide such additional documents as you may require pursuant to the terms of the Vera Therapeutics, Inc. 2021 Equity Incentive Plan, (ii) to provide for the payment by me to you (in the manner designated by you) of your withholding obligation, if any, relating to the exercise of this option, and (iii) if this exercise relates to an incentive stock option, to notify you in writing within 15 days after the date of any disposition of any of the Shares issued upon exercise of this option that occurs within two years after the date of grant of this option or within one year after such Shares are issued upon exercise of this option. I further agree that this Notice of Exercise may be delivered via facsimile, electronic mail (including pdf or any electronic signature complying with the U.S. federal ESIGN Act of 2000, Uniform Electronic Transactions Act or other applicable law) or other transmission method and will be deemed to have been duly and validly delivered and be valid and effective for all purposes.</w:t>
      </w:r>
    </w:p>
    <w:p>
      <w:pPr>
        <w:spacing w:after="0" w:line="166" w:lineRule="exact"/>
        <w:rPr>
          <w:sz w:val="20"/>
          <w:szCs w:val="20"/>
          <w:color w:val="auto"/>
        </w:rPr>
      </w:pPr>
    </w:p>
    <w:p>
      <w:pPr>
        <w:ind w:right="120" w:firstLine="436"/>
        <w:spacing w:after="0" w:line="271" w:lineRule="auto"/>
        <w:rPr>
          <w:sz w:val="20"/>
          <w:szCs w:val="20"/>
          <w:color w:val="auto"/>
        </w:rPr>
      </w:pPr>
      <w:r>
        <w:rPr>
          <w:rFonts w:ascii="Arial" w:cs="Arial" w:eastAsia="Arial" w:hAnsi="Arial"/>
          <w:sz w:val="18"/>
          <w:szCs w:val="18"/>
          <w:color w:val="auto"/>
        </w:rPr>
        <w:t>I hereby make the following certifications and representations with respect to the number of Shares listed above, which are being acquired by me for my own account upon exercise of the option as set forth above:</w:t>
      </w:r>
    </w:p>
    <w:p>
      <w:pPr>
        <w:spacing w:after="0" w:line="175" w:lineRule="exact"/>
        <w:rPr>
          <w:sz w:val="20"/>
          <w:szCs w:val="20"/>
          <w:color w:val="auto"/>
        </w:rPr>
      </w:pPr>
    </w:p>
    <w:p>
      <w:pPr>
        <w:ind w:right="80" w:firstLine="436"/>
        <w:spacing w:after="0" w:line="307" w:lineRule="auto"/>
        <w:rPr>
          <w:sz w:val="20"/>
          <w:szCs w:val="20"/>
          <w:color w:val="auto"/>
        </w:rPr>
      </w:pPr>
      <w:r>
        <w:rPr>
          <w:rFonts w:ascii="Arial" w:cs="Arial" w:eastAsia="Arial" w:hAnsi="Arial"/>
          <w:sz w:val="16"/>
          <w:szCs w:val="16"/>
          <w:color w:val="auto"/>
        </w:rPr>
        <w:t>I acknowledge that the Shares have not been registered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are deemed to constitute “restricted securities” under Rule 701 and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435610</wp:posOffset>
            </wp:positionV>
            <wp:extent cx="76454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hanging="433"/>
        <w:spacing w:after="0"/>
        <w:tabs>
          <w:tab w:leader="none" w:pos="440" w:val="left"/>
        </w:tabs>
        <w:numPr>
          <w:ilvl w:val="0"/>
          <w:numId w:val="321"/>
        </w:numPr>
        <w:rPr>
          <w:rFonts w:ascii="Arial" w:cs="Arial" w:eastAsia="Arial" w:hAnsi="Arial"/>
          <w:sz w:val="15"/>
          <w:szCs w:val="15"/>
          <w:color w:val="auto"/>
        </w:rPr>
      </w:pPr>
      <w:r>
        <w:rPr>
          <w:rFonts w:ascii="Arial" w:cs="Arial" w:eastAsia="Arial" w:hAnsi="Arial"/>
          <w:sz w:val="18"/>
          <w:szCs w:val="18"/>
          <w:color w:val="auto"/>
        </w:rPr>
        <w:t>If left blank, will be issued in the name of the option holder.</w:t>
      </w:r>
    </w:p>
    <w:p>
      <w:pPr>
        <w:spacing w:after="0" w:line="20" w:lineRule="exact"/>
        <w:rPr>
          <w:sz w:val="20"/>
          <w:szCs w:val="20"/>
          <w:color w:val="auto"/>
        </w:rPr>
      </w:pPr>
    </w:p>
    <w:p>
      <w:pPr>
        <w:ind w:left="440" w:hanging="433"/>
        <w:spacing w:after="0"/>
        <w:tabs>
          <w:tab w:leader="none" w:pos="440" w:val="left"/>
        </w:tabs>
        <w:numPr>
          <w:ilvl w:val="0"/>
          <w:numId w:val="322"/>
        </w:numPr>
        <w:rPr>
          <w:rFonts w:ascii="Arial" w:cs="Arial" w:eastAsia="Arial" w:hAnsi="Arial"/>
          <w:sz w:val="15"/>
          <w:szCs w:val="15"/>
          <w:color w:val="auto"/>
        </w:rPr>
      </w:pPr>
      <w:r>
        <w:rPr>
          <w:rFonts w:ascii="Arial" w:cs="Arial" w:eastAsia="Arial" w:hAnsi="Arial"/>
          <w:sz w:val="18"/>
          <w:szCs w:val="18"/>
          <w:color w:val="auto"/>
        </w:rPr>
        <w:t>Cash may be in the form of cash, check, bank draft, electronic funds transfer or money order payment.</w:t>
      </w:r>
    </w:p>
    <w:p>
      <w:pPr>
        <w:spacing w:after="0" w:line="7" w:lineRule="exact"/>
        <w:rPr>
          <w:sz w:val="20"/>
          <w:szCs w:val="20"/>
          <w:color w:val="auto"/>
        </w:rPr>
      </w:pPr>
    </w:p>
    <w:p>
      <w:pPr>
        <w:ind w:left="440" w:hanging="433"/>
        <w:spacing w:after="0"/>
        <w:tabs>
          <w:tab w:leader="none" w:pos="440" w:val="left"/>
        </w:tabs>
        <w:numPr>
          <w:ilvl w:val="0"/>
          <w:numId w:val="323"/>
        </w:numPr>
        <w:rPr>
          <w:rFonts w:ascii="Arial" w:cs="Arial" w:eastAsia="Arial" w:hAnsi="Arial"/>
          <w:sz w:val="14"/>
          <w:szCs w:val="14"/>
          <w:color w:val="auto"/>
        </w:rPr>
      </w:pPr>
      <w:r>
        <w:rPr>
          <w:rFonts w:ascii="Arial" w:cs="Arial" w:eastAsia="Arial" w:hAnsi="Arial"/>
          <w:sz w:val="17"/>
          <w:szCs w:val="17"/>
          <w:color w:val="auto"/>
        </w:rPr>
        <w:t>Subject to Company and/or Board consent and must meet the public trading and other requirements set forth in the Option Agreement.</w:t>
      </w:r>
    </w:p>
    <w:p>
      <w:pPr>
        <w:spacing w:after="0" w:line="19" w:lineRule="exact"/>
        <w:rPr>
          <w:sz w:val="20"/>
          <w:szCs w:val="20"/>
          <w:color w:val="auto"/>
        </w:rPr>
      </w:pPr>
    </w:p>
    <w:p>
      <w:pPr>
        <w:ind w:left="440" w:right="180" w:hanging="433"/>
        <w:spacing w:after="0" w:line="279" w:lineRule="auto"/>
        <w:tabs>
          <w:tab w:leader="none" w:pos="440" w:val="left"/>
        </w:tabs>
        <w:numPr>
          <w:ilvl w:val="0"/>
          <w:numId w:val="324"/>
        </w:numPr>
        <w:rPr>
          <w:rFonts w:ascii="Arial" w:cs="Arial" w:eastAsia="Arial" w:hAnsi="Arial"/>
          <w:sz w:val="13"/>
          <w:szCs w:val="13"/>
          <w:color w:val="auto"/>
        </w:rPr>
      </w:pPr>
      <w:r>
        <w:rPr>
          <w:rFonts w:ascii="Arial" w:cs="Arial" w:eastAsia="Arial" w:hAnsi="Arial"/>
          <w:sz w:val="16"/>
          <w:szCs w:val="16"/>
          <w:color w:val="auto"/>
        </w:rPr>
        <w:t>Subject to Company and/or Board consent and must meet the public trading and other requirements set forth in the Option Agreement. Shares must be valued in accordance with the terms of the option being exercised, and must be owned free and clear of any liens, claims, encumbrances or security interests. Certificates must be endorsed or accompanied by an executed assignment separate from certificate.</w:t>
      </w:r>
    </w:p>
    <w:p>
      <w:pPr>
        <w:ind w:left="440" w:hanging="433"/>
        <w:spacing w:after="0"/>
        <w:tabs>
          <w:tab w:leader="none" w:pos="440" w:val="left"/>
        </w:tabs>
        <w:numPr>
          <w:ilvl w:val="0"/>
          <w:numId w:val="325"/>
        </w:numPr>
        <w:rPr>
          <w:rFonts w:ascii="Arial" w:cs="Arial" w:eastAsia="Arial" w:hAnsi="Arial"/>
          <w:sz w:val="15"/>
          <w:szCs w:val="15"/>
          <w:color w:val="auto"/>
        </w:rPr>
      </w:pPr>
      <w:r>
        <w:rPr>
          <w:rFonts w:ascii="Arial" w:cs="Arial" w:eastAsia="Arial" w:hAnsi="Arial"/>
          <w:sz w:val="18"/>
          <w:szCs w:val="18"/>
          <w:color w:val="auto"/>
        </w:rPr>
        <w:t>Subject to Company and/or Board consent and must be a Nonstatutory Option.</w:t>
      </w:r>
    </w:p>
    <w:p>
      <w:pPr>
        <w:sectPr>
          <w:pgSz w:w="11900" w:h="16838" w:orient="portrait"/>
          <w:cols w:equalWidth="0" w:num="1">
            <w:col w:w="10920"/>
          </w:cols>
          <w:pgMar w:left="480" w:top="268" w:right="499" w:bottom="1440" w:gutter="0" w:footer="0" w:header="0"/>
        </w:sectPr>
      </w:pPr>
    </w:p>
    <w:bookmarkStart w:id="382" w:name="page383"/>
    <w:bookmarkEnd w:id="382"/>
    <w:p>
      <w:pPr>
        <w:ind w:firstLine="43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further acknowledge and agree that, except for such information as required to be delivered to me by the Company pursuant to the option or the Plan (if any), I will have no right to receive any information from the Company by virtue of the grant of the option or the purchase of shares of Common Stock through exercise of the option, ownership of such shares of Common Stock, or as a result of my being a holder of record of stock of the Company. Without limiting the foregoing, to the fullest extent permitted by law, I hereby waive all inspection rights under Section 220 of the Delaware General Corporation Law and all such similar information and/or inspection rights that may be provided under the law of any jurisdiction, or any federal, state or foreign regulation, that are, or may become, applicable to the Company or the Company’s capital stock (the “</w:t>
      </w:r>
      <w:r>
        <w:rPr>
          <w:rFonts w:ascii="Arial" w:cs="Arial" w:eastAsia="Arial" w:hAnsi="Arial"/>
          <w:sz w:val="17"/>
          <w:szCs w:val="17"/>
          <w:b w:val="1"/>
          <w:bCs w:val="1"/>
          <w:i w:val="1"/>
          <w:iCs w:val="1"/>
          <w:color w:val="auto"/>
        </w:rPr>
        <w:t>Inspection Rights</w:t>
      </w:r>
      <w:r>
        <w:rPr>
          <w:rFonts w:ascii="Arial" w:cs="Arial" w:eastAsia="Arial" w:hAnsi="Arial"/>
          <w:sz w:val="17"/>
          <w:szCs w:val="17"/>
          <w:color w:val="auto"/>
        </w:rPr>
        <w:t>”). I hereby covenant and agree never to directly or indirectly commence, voluntarily aid in any way, prosecute, assign, transfer, or cause to be commenced any claim, action, cause of action, or other proceeding to pursue or exercise the Inspection Rights.</w:t>
      </w:r>
    </w:p>
    <w:p>
      <w:pPr>
        <w:spacing w:after="0" w:line="180" w:lineRule="exact"/>
        <w:rPr>
          <w:sz w:val="20"/>
          <w:szCs w:val="20"/>
          <w:color w:val="auto"/>
        </w:rPr>
      </w:pPr>
    </w:p>
    <w:p>
      <w:pPr>
        <w:ind w:right="40" w:firstLine="436"/>
        <w:spacing w:after="0" w:line="259" w:lineRule="auto"/>
        <w:rPr>
          <w:sz w:val="20"/>
          <w:szCs w:val="20"/>
          <w:color w:val="auto"/>
        </w:rPr>
      </w:pPr>
      <w:r>
        <w:rPr>
          <w:rFonts w:ascii="Arial" w:cs="Arial" w:eastAsia="Arial" w:hAnsi="Arial"/>
          <w:sz w:val="18"/>
          <w:szCs w:val="18"/>
          <w:color w:val="auto"/>
        </w:rPr>
        <w:t>I further acknowledge that I will not be able to resell the Shares for at least 90 days after the stock of the Company becomes publicly traded (</w:t>
      </w:r>
      <w:r>
        <w:rPr>
          <w:rFonts w:ascii="Arial" w:cs="Arial" w:eastAsia="Arial" w:hAnsi="Arial"/>
          <w:sz w:val="18"/>
          <w:szCs w:val="18"/>
          <w:i w:val="1"/>
          <w:iCs w:val="1"/>
          <w:color w:val="auto"/>
        </w:rPr>
        <w:t>i.e.,</w:t>
      </w:r>
      <w:r>
        <w:rPr>
          <w:rFonts w:ascii="Arial" w:cs="Arial" w:eastAsia="Arial" w:hAnsi="Arial"/>
          <w:sz w:val="18"/>
          <w:szCs w:val="18"/>
          <w:color w:val="auto"/>
        </w:rPr>
        <w:t xml:space="preserve"> subject to the reporting requirements of Section 13 or 15(d) of the Securities Exchange Act of 1934) under Rule 701 and that more restrictive conditions apply to affiliates of the Company under Rule 144.</w:t>
      </w:r>
    </w:p>
    <w:p>
      <w:pPr>
        <w:spacing w:after="0" w:line="186" w:lineRule="exact"/>
        <w:rPr>
          <w:sz w:val="20"/>
          <w:szCs w:val="20"/>
          <w:color w:val="auto"/>
        </w:rPr>
      </w:pPr>
    </w:p>
    <w:p>
      <w:pPr>
        <w:ind w:right="620" w:firstLine="436"/>
        <w:spacing w:after="0" w:line="259" w:lineRule="auto"/>
        <w:rPr>
          <w:sz w:val="20"/>
          <w:szCs w:val="20"/>
          <w:color w:val="auto"/>
        </w:rPr>
      </w:pPr>
      <w:r>
        <w:rPr>
          <w:rFonts w:ascii="Arial" w:cs="Arial" w:eastAsia="Arial" w:hAnsi="Arial"/>
          <w:sz w:val="18"/>
          <w:szCs w:val="18"/>
          <w:color w:val="auto"/>
        </w:rPr>
        <w:t>I further acknowledge that all certificates representing any of the Shares subject to the provisions of the option will have endorsed thereon appropriate legends reflecting the foregoing limitations, as well as any legends reflecting restrictions pursuant to the Company’s Certificate of Incorporation, Bylaws and/or applicable securities laws.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further agree that, if required by the Company (or a representative of the underwriters) in connection with the first underwritten registration of</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offering of any securities of the Company under the Securities Act, I will not sell, dispose of, transfer, make any short sale of, grant any option for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purchase of, or enter into any hedging or similar transaction with the same economic effect as a sale with respect to any shares of Common Stock or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other securities of the Company for a period of 180 days following the effective date of a registration statement of the Company filed under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Securities Act (or such longer period as the underwriters or the Company will request to facilitate compliance with applicable FINRA rules)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I further agree to execute and deliver such other agreements as may be reasonably requested by the Company or the underwriters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that are consistent with the foregoing or that are necessary to give further effect thereto. In order to enforce the foregoing covenant, the Company may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impose stop-transfer instructions with respect to securities subject to the foregoing restrictions until the end of such period. I further agree that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obligations contained in this paragraph shall also, if so determined by the Company’s Board of Directors, apply if and when the Company’s shares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Common Stock become publicly traded on a national securities exchange, including without limitation pursuant to the Company’s initial listing of its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Common Stock on a national securities exchange by means of a registration statement on Form S-1 under the Securities Act (or any successor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registration form under the Securities Act subsequently adopted by the Securities and Exchange Commission) filed by the Company with the Securities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and Exchange Commission that registers shares of existing capital stock of the Company for resale (a “</w:t>
      </w:r>
      <w:r>
        <w:rPr>
          <w:rFonts w:ascii="Arial" w:cs="Arial" w:eastAsia="Arial" w:hAnsi="Arial"/>
          <w:sz w:val="16"/>
          <w:szCs w:val="16"/>
          <w:b w:val="1"/>
          <w:bCs w:val="1"/>
          <w:i w:val="1"/>
          <w:iCs w:val="1"/>
          <w:color w:val="auto"/>
        </w:rPr>
        <w:t>Direct Listing</w:t>
      </w:r>
      <w:r>
        <w:rPr>
          <w:rFonts w:ascii="Arial" w:cs="Arial" w:eastAsia="Arial" w:hAnsi="Arial"/>
          <w:sz w:val="16"/>
          <w:szCs w:val="16"/>
          <w:color w:val="auto"/>
        </w:rPr>
        <w:t>”), provided that all holders of at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least 5% of the Company’s outstanding Common Stock (after giving effect to the conversion into Common Stock of any outstanding Preferred Stock of</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Company) are subject to substantially similar obligations with respect to such Direct Listing.</w:t>
      </w:r>
    </w:p>
    <w:p>
      <w:pPr>
        <w:spacing w:after="0" w:line="23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285115</wp:posOffset>
            </wp:positionV>
            <wp:extent cx="332041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4">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285115</wp:posOffset>
            </wp:positionV>
            <wp:extent cx="332041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5">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Name (Please Print)</w:t>
      </w:r>
    </w:p>
    <w:p>
      <w:pPr>
        <w:spacing w:after="0" w:line="2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Address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13335</wp:posOffset>
            </wp:positionV>
            <wp:extent cx="332041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6">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166370</wp:posOffset>
            </wp:positionV>
            <wp:extent cx="332041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7">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319405</wp:posOffset>
            </wp:positionV>
            <wp:extent cx="332041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8">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13335</wp:posOffset>
            </wp:positionV>
            <wp:extent cx="332041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9">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ectPr>
          <w:pgSz w:w="11900" w:h="16838" w:orient="portrait"/>
          <w:cols w:equalWidth="0" w:num="1">
            <w:col w:w="10900"/>
          </w:cols>
          <w:pgMar w:left="480" w:top="272" w:right="519"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b w:val="1"/>
          <w:bCs w:val="1"/>
          <w:color w:val="auto"/>
        </w:rPr>
        <w:t>Exhibit 10.5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THERAPEUTICS,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GRANT NOTICE</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Vera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to you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number of restricted stock units specified and on the terms set forth below in consideration of your services (the “</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Your RSU Award is subject to all of the terms and conditions as set forth herein and in the Company’s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-2540</wp:posOffset>
            </wp:positionV>
            <wp:extent cx="338836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0">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-2540</wp:posOffset>
            </wp:positionV>
            <wp:extent cx="33883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1">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-2540</wp:posOffset>
            </wp:positionV>
            <wp:extent cx="33883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2">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5080</wp:posOffset>
            </wp:positionV>
            <wp:extent cx="33883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3">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Vesting Schedule: </w:t>
      </w:r>
      <w:r>
        <w:rPr>
          <w:rFonts w:ascii="Arial" w:cs="Arial" w:eastAsia="Arial" w:hAnsi="Arial"/>
          <w:sz w:val="16"/>
          <w:szCs w:val="16"/>
          <w:color w:val="auto"/>
        </w:rPr>
        <w:t>[__________________________________________________________________]. Notwithstanding the foregoing, vesting shall</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terminate upon the Participant’s termination of Continuous Service.</w:t>
      </w:r>
    </w:p>
    <w:p>
      <w:pPr>
        <w:spacing w:after="0" w:line="204"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 xml:space="preserve">Issuance Schedule: </w:t>
      </w:r>
      <w:r>
        <w:rPr>
          <w:rFonts w:ascii="Arial" w:cs="Arial" w:eastAsia="Arial" w:hAnsi="Arial"/>
          <w:sz w:val="18"/>
          <w:szCs w:val="18"/>
          <w:color w:val="auto"/>
        </w:rPr>
        <w:t>One share of Common Stock will be issued for each restricted stock unit which vests at the time set forth in Section 5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8"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 xml:space="preserve">Participant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78" w:lineRule="exact"/>
        <w:rPr>
          <w:sz w:val="20"/>
          <w:szCs w:val="20"/>
          <w:color w:val="auto"/>
        </w:rPr>
      </w:pPr>
    </w:p>
    <w:p>
      <w:pPr>
        <w:ind w:left="980" w:right="40" w:hanging="438"/>
        <w:spacing w:after="0" w:line="255" w:lineRule="auto"/>
        <w:tabs>
          <w:tab w:leader="none" w:pos="9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RSU Award is governed by this RSU Award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the provisions of the Plan and the Agreement, all of which are made a part of this document. Unless otherwise provided in the Plan, this Grant Notice and the Agreement (together, the “</w:t>
      </w:r>
      <w:r>
        <w:rPr>
          <w:rFonts w:ascii="Arial" w:cs="Arial" w:eastAsia="Arial" w:hAnsi="Arial"/>
          <w:sz w:val="18"/>
          <w:szCs w:val="18"/>
          <w:b w:val="1"/>
          <w:bCs w:val="1"/>
          <w:i w:val="1"/>
          <w:iCs w:val="1"/>
          <w:color w:val="auto"/>
        </w:rPr>
        <w:t>RSU Award Agreement</w:t>
      </w:r>
      <w:r>
        <w:rPr>
          <w:rFonts w:ascii="Arial" w:cs="Arial" w:eastAsia="Arial" w:hAnsi="Arial"/>
          <w:sz w:val="18"/>
          <w:szCs w:val="18"/>
          <w:color w:val="auto"/>
        </w:rPr>
        <w:t>”) may not be modified, amended or revised except in a writing signed by you and a duly authorized officer of the Company.</w:t>
      </w:r>
    </w:p>
    <w:p>
      <w:pPr>
        <w:spacing w:after="0" w:line="96" w:lineRule="exact"/>
        <w:rPr>
          <w:rFonts w:ascii="Arial" w:cs="Arial" w:eastAsia="Arial" w:hAnsi="Arial"/>
          <w:sz w:val="18"/>
          <w:szCs w:val="18"/>
          <w:color w:val="auto"/>
        </w:rPr>
      </w:pPr>
    </w:p>
    <w:p>
      <w:pPr>
        <w:ind w:left="980" w:right="80" w:hanging="438"/>
        <w:spacing w:after="0" w:line="335" w:lineRule="auto"/>
        <w:tabs>
          <w:tab w:leader="none" w:pos="98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34" w:lineRule="exact"/>
        <w:rPr>
          <w:rFonts w:ascii="Arial" w:cs="Arial" w:eastAsia="Arial" w:hAnsi="Arial"/>
          <w:sz w:val="16"/>
          <w:szCs w:val="16"/>
          <w:color w:val="auto"/>
        </w:rPr>
      </w:pPr>
    </w:p>
    <w:p>
      <w:pPr>
        <w:jc w:val="both"/>
        <w:ind w:left="980" w:right="40" w:hanging="438"/>
        <w:spacing w:after="0" w:line="297" w:lineRule="auto"/>
        <w:tabs>
          <w:tab w:leader="none" w:pos="98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ERA</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460" w:type="dxa"/>
            <w:vAlign w:val="bottom"/>
            <w:gridSpan w:val="2"/>
          </w:tcPr>
          <w:p>
            <w:pPr>
              <w:ind w:left="24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w:t>
            </w:r>
            <w:r>
              <w:rPr>
                <w:rFonts w:ascii="Arial" w:cs="Arial" w:eastAsia="Arial" w:hAnsi="Arial"/>
                <w:sz w:val="18"/>
                <w:szCs w:val="18"/>
                <w:b w:val="1"/>
                <w:bCs w:val="1"/>
                <w:color w:val="auto"/>
              </w:rPr>
              <w:t>:</w:t>
            </w:r>
          </w:p>
        </w:tc>
      </w:tr>
      <w:tr>
        <w:trPr>
          <w:trHeight w:val="228"/>
        </w:trPr>
        <w:tc>
          <w:tcPr>
            <w:tcW w:w="5460" w:type="dxa"/>
            <w:vAlign w:val="bottom"/>
            <w:gridSpan w:val="2"/>
          </w:tcPr>
          <w:p>
            <w:pPr>
              <w:spacing w:after="0"/>
              <w:rPr>
                <w:sz w:val="20"/>
                <w:szCs w:val="20"/>
                <w:color w:val="auto"/>
              </w:rPr>
            </w:pPr>
            <w:r>
              <w:rPr>
                <w:rFonts w:ascii="Arial" w:cs="Arial" w:eastAsia="Arial" w:hAnsi="Arial"/>
                <w:sz w:val="18"/>
                <w:szCs w:val="18"/>
                <w:color w:val="auto"/>
              </w:rPr>
              <w:t>By:</w:t>
            </w:r>
          </w:p>
        </w:tc>
        <w:tc>
          <w:tcPr>
            <w:tcW w:w="78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207"/>
        </w:trPr>
        <w:tc>
          <w:tcPr>
            <w:tcW w:w="540" w:type="dxa"/>
            <w:vAlign w:val="bottom"/>
          </w:tcPr>
          <w:p>
            <w:pPr>
              <w:spacing w:after="0"/>
              <w:rPr>
                <w:sz w:val="18"/>
                <w:szCs w:val="18"/>
                <w:color w:val="auto"/>
              </w:rPr>
            </w:pPr>
          </w:p>
        </w:tc>
        <w:tc>
          <w:tcPr>
            <w:tcW w:w="4920" w:type="dxa"/>
            <w:vAlign w:val="bottom"/>
            <w:tcBorders>
              <w:top w:val="single" w:sz="8" w:color="auto"/>
            </w:tcBorders>
          </w:tcPr>
          <w:p>
            <w:pPr>
              <w:ind w:left="1840"/>
              <w:spacing w:after="0"/>
              <w:rPr>
                <w:sz w:val="20"/>
                <w:szCs w:val="20"/>
                <w:color w:val="auto"/>
              </w:rPr>
            </w:pPr>
            <w:r>
              <w:rPr>
                <w:rFonts w:ascii="Arial" w:cs="Arial" w:eastAsia="Arial" w:hAnsi="Arial"/>
                <w:sz w:val="18"/>
                <w:szCs w:val="18"/>
                <w:color w:val="auto"/>
              </w:rPr>
              <w:t>Signature</w:t>
            </w:r>
          </w:p>
        </w:tc>
        <w:tc>
          <w:tcPr>
            <w:tcW w:w="780" w:type="dxa"/>
            <w:vAlign w:val="bottom"/>
          </w:tcPr>
          <w:p>
            <w:pPr>
              <w:spacing w:after="0"/>
              <w:rPr>
                <w:sz w:val="18"/>
                <w:szCs w:val="18"/>
                <w:color w:val="auto"/>
              </w:rPr>
            </w:pPr>
          </w:p>
        </w:tc>
        <w:tc>
          <w:tcPr>
            <w:tcW w:w="4680" w:type="dxa"/>
            <w:vAlign w:val="bottom"/>
            <w:tcBorders>
              <w:top w:val="single" w:sz="8" w:color="auto"/>
            </w:tcBorders>
          </w:tcPr>
          <w:p>
            <w:pPr>
              <w:ind w:left="1740"/>
              <w:spacing w:after="0"/>
              <w:rPr>
                <w:sz w:val="20"/>
                <w:szCs w:val="20"/>
                <w:color w:val="auto"/>
              </w:rPr>
            </w:pPr>
            <w:r>
              <w:rPr>
                <w:rFonts w:ascii="Arial" w:cs="Arial" w:eastAsia="Arial" w:hAnsi="Arial"/>
                <w:sz w:val="18"/>
                <w:szCs w:val="18"/>
                <w:color w:val="auto"/>
              </w:rPr>
              <w:t>Signature</w:t>
            </w:r>
          </w:p>
        </w:tc>
      </w:tr>
      <w:tr>
        <w:trPr>
          <w:trHeight w:val="228"/>
        </w:trPr>
        <w:tc>
          <w:tcPr>
            <w:tcW w:w="54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460" w:type="dxa"/>
            <w:vAlign w:val="bottom"/>
            <w:gridSpan w:val="2"/>
          </w:tcPr>
          <w:p>
            <w:pPr>
              <w:ind w:left="240"/>
              <w:spacing w:after="0"/>
              <w:rPr>
                <w:sz w:val="20"/>
                <w:szCs w:val="20"/>
                <w:color w:val="auto"/>
              </w:rPr>
            </w:pPr>
            <w:r>
              <w:rPr>
                <w:rFonts w:ascii="Arial" w:cs="Arial" w:eastAsia="Arial" w:hAnsi="Arial"/>
                <w:sz w:val="18"/>
                <w:szCs w:val="18"/>
                <w:color w:val="auto"/>
              </w:rPr>
              <w:t>Date:</w:t>
            </w:r>
          </w:p>
        </w:tc>
      </w:tr>
      <w:tr>
        <w:trPr>
          <w:trHeight w:val="221"/>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Borders>
              <w:top w:val="single" w:sz="8" w:color="auto"/>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4680" w:type="dxa"/>
            <w:vAlign w:val="bottom"/>
            <w:tcBorders>
              <w:top w:val="single" w:sz="8" w:color="auto"/>
            </w:tcBorders>
          </w:tcPr>
          <w:p>
            <w:pPr>
              <w:spacing w:after="0"/>
              <w:rPr>
                <w:sz w:val="19"/>
                <w:szCs w:val="19"/>
                <w:color w:val="auto"/>
              </w:rPr>
            </w:pPr>
          </w:p>
        </w:tc>
      </w:tr>
      <w:tr>
        <w:trPr>
          <w:trHeight w:val="434"/>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b w:val="1"/>
                <w:bCs w:val="1"/>
                <w:color w:val="auto"/>
              </w:rPr>
              <w:t xml:space="preserve">: </w:t>
            </w:r>
            <w:r>
              <w:rPr>
                <w:rFonts w:ascii="Arial" w:cs="Arial" w:eastAsia="Arial" w:hAnsi="Arial"/>
                <w:sz w:val="18"/>
                <w:szCs w:val="18"/>
                <w:color w:val="auto"/>
              </w:rPr>
              <w:t>RSU Award Agreement, 2021 Equity Incentive Plan</w:t>
            </w:r>
          </w:p>
        </w:tc>
        <w:tc>
          <w:tcPr>
            <w:tcW w:w="78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ectPr>
          <w:pgSz w:w="11900" w:h="16838" w:orient="portrait"/>
          <w:cols w:equalWidth="0" w:num="1">
            <w:col w:w="10920"/>
          </w:cols>
          <w:pgMar w:left="480" w:top="121" w:right="499" w:bottom="1440" w:gutter="0" w:footer="0" w:header="0"/>
        </w:sectPr>
      </w:pPr>
    </w:p>
    <w:bookmarkStart w:id="384" w:name="page385"/>
    <w:bookmarkEnd w:id="38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VERA THERAPEUTICS, INC.</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2021 EQUITY INCENTIVE PLAN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AWARD AGREEMENT (RSU AWARD)</w:t>
      </w:r>
    </w:p>
    <w:p>
      <w:pPr>
        <w:spacing w:after="0" w:line="225" w:lineRule="exact"/>
        <w:rPr>
          <w:sz w:val="20"/>
          <w:szCs w:val="20"/>
          <w:color w:val="auto"/>
        </w:rPr>
      </w:pPr>
    </w:p>
    <w:p>
      <w:pPr>
        <w:ind w:right="80" w:firstLine="436"/>
        <w:spacing w:after="0" w:line="253" w:lineRule="auto"/>
        <w:rPr>
          <w:sz w:val="20"/>
          <w:szCs w:val="20"/>
          <w:color w:val="auto"/>
        </w:rPr>
      </w:pPr>
      <w:r>
        <w:rPr>
          <w:rFonts w:ascii="Arial" w:cs="Arial" w:eastAsia="Arial" w:hAnsi="Arial"/>
          <w:sz w:val="18"/>
          <w:szCs w:val="18"/>
          <w:color w:val="auto"/>
        </w:rPr>
        <w:t>As reflected by your Restricted Stock Unit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Vera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RSU Award under the Company’s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stock units as indicated in your Grant Notice (the “</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The terms of your RSU Award as specified in this Award Agreement for your RSU Award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Grant Notice constitute your “</w:t>
      </w:r>
      <w:r>
        <w:rPr>
          <w:rFonts w:ascii="Arial" w:cs="Arial" w:eastAsia="Arial" w:hAnsi="Arial"/>
          <w:sz w:val="18"/>
          <w:szCs w:val="18"/>
          <w:b w:val="1"/>
          <w:bCs w:val="1"/>
          <w:i w:val="1"/>
          <w:iCs w:val="1"/>
          <w:color w:val="auto"/>
        </w:rPr>
        <w:t>RSU Award Agreement</w:t>
      </w:r>
      <w:r>
        <w:rPr>
          <w:rFonts w:ascii="Arial" w:cs="Arial" w:eastAsia="Arial" w:hAnsi="Arial"/>
          <w:sz w:val="18"/>
          <w:szCs w:val="18"/>
          <w:color w:val="auto"/>
        </w:rPr>
        <w:t>”. Defined terms not explicitly defined in this Agreement but defined in the Grant Notice or the Plan shall have the same definitions as in the Grant Notice or Plan, as applicable.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general terms applicable to your RSU Award are as follows:</w:t>
      </w:r>
    </w:p>
    <w:p>
      <w:pPr>
        <w:spacing w:after="0" w:line="217" w:lineRule="exact"/>
        <w:rPr>
          <w:sz w:val="20"/>
          <w:szCs w:val="20"/>
          <w:color w:val="auto"/>
        </w:rPr>
      </w:pPr>
    </w:p>
    <w:p>
      <w:pPr>
        <w:ind w:left="620" w:hanging="176"/>
        <w:spacing w:after="0"/>
        <w:tabs>
          <w:tab w:leader="none" w:pos="620"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17"/>
          <w:szCs w:val="17"/>
          <w:b w:val="1"/>
          <w:bCs w:val="1"/>
          <w:color w:val="auto"/>
        </w:rPr>
        <w:t xml:space="preserve">. </w:t>
      </w:r>
      <w:r>
        <w:rPr>
          <w:rFonts w:ascii="Arial" w:cs="Arial" w:eastAsia="Arial" w:hAnsi="Arial"/>
          <w:sz w:val="17"/>
          <w:szCs w:val="17"/>
          <w:color w:val="auto"/>
        </w:rPr>
        <w:t>Your RSU Award is subject to all the provisions of the Plan, including but not limited to the provisions in:</w:t>
      </w:r>
    </w:p>
    <w:p>
      <w:pPr>
        <w:spacing w:after="0" w:line="129" w:lineRule="exact"/>
        <w:rPr>
          <w:rFonts w:ascii="Arial" w:cs="Arial" w:eastAsia="Arial" w:hAnsi="Arial"/>
          <w:sz w:val="17"/>
          <w:szCs w:val="17"/>
          <w:b w:val="1"/>
          <w:bCs w:val="1"/>
          <w:color w:val="auto"/>
        </w:rPr>
      </w:pPr>
    </w:p>
    <w:p>
      <w:pPr>
        <w:ind w:left="1240" w:hanging="250"/>
        <w:spacing w:after="0"/>
        <w:tabs>
          <w:tab w:leader="none" w:pos="1240" w:val="left"/>
        </w:tabs>
        <w:numPr>
          <w:ilvl w:val="1"/>
          <w:numId w:val="327"/>
        </w:numPr>
        <w:rPr>
          <w:rFonts w:ascii="Arial" w:cs="Arial" w:eastAsia="Arial" w:hAnsi="Arial"/>
          <w:sz w:val="16"/>
          <w:szCs w:val="16"/>
          <w:b w:val="1"/>
          <w:bCs w:val="1"/>
          <w:color w:val="auto"/>
        </w:rPr>
      </w:pPr>
      <w:r>
        <w:rPr>
          <w:rFonts w:ascii="Arial" w:cs="Arial" w:eastAsia="Arial" w:hAnsi="Arial"/>
          <w:sz w:val="16"/>
          <w:szCs w:val="16"/>
          <w:color w:val="auto"/>
        </w:rPr>
        <w:t>Section 6 of the Plan regarding the impact of a Capitalization Adjustment, dissolution, liquidation, or Corporate Transaction on your</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RSU Award;</w:t>
      </w:r>
    </w:p>
    <w:p>
      <w:pPr>
        <w:spacing w:after="0" w:line="101" w:lineRule="exact"/>
        <w:rPr>
          <w:rFonts w:ascii="Arial" w:cs="Arial" w:eastAsia="Arial" w:hAnsi="Arial"/>
          <w:sz w:val="16"/>
          <w:szCs w:val="16"/>
          <w:b w:val="1"/>
          <w:bCs w:val="1"/>
          <w:color w:val="auto"/>
        </w:rPr>
      </w:pPr>
    </w:p>
    <w:p>
      <w:pPr>
        <w:ind w:left="1260" w:hanging="270"/>
        <w:spacing w:after="0"/>
        <w:tabs>
          <w:tab w:leader="none" w:pos="1260" w:val="left"/>
        </w:tabs>
        <w:numPr>
          <w:ilvl w:val="1"/>
          <w:numId w:val="327"/>
        </w:numPr>
        <w:rPr>
          <w:rFonts w:ascii="Arial" w:cs="Arial" w:eastAsia="Arial" w:hAnsi="Arial"/>
          <w:sz w:val="16"/>
          <w:szCs w:val="16"/>
          <w:b w:val="1"/>
          <w:bCs w:val="1"/>
          <w:color w:val="auto"/>
        </w:rPr>
      </w:pPr>
      <w:r>
        <w:rPr>
          <w:rFonts w:ascii="Arial" w:cs="Arial" w:eastAsia="Arial" w:hAnsi="Arial"/>
          <w:sz w:val="16"/>
          <w:szCs w:val="16"/>
          <w:color w:val="auto"/>
        </w:rPr>
        <w:t>Section 9(e) of the Plan regarding the Company’s retained rights to terminate your Continuous Service notwithstanding the grant of the</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RSU Award; and</w:t>
      </w:r>
    </w:p>
    <w:p>
      <w:pPr>
        <w:spacing w:after="0" w:line="101" w:lineRule="exact"/>
        <w:rPr>
          <w:rFonts w:ascii="Arial" w:cs="Arial" w:eastAsia="Arial" w:hAnsi="Arial"/>
          <w:sz w:val="16"/>
          <w:szCs w:val="16"/>
          <w:b w:val="1"/>
          <w:bCs w:val="1"/>
          <w:color w:val="auto"/>
        </w:rPr>
      </w:pPr>
    </w:p>
    <w:p>
      <w:pPr>
        <w:ind w:left="1240" w:hanging="250"/>
        <w:spacing w:after="0"/>
        <w:tabs>
          <w:tab w:leader="none" w:pos="1240" w:val="left"/>
        </w:tabs>
        <w:numPr>
          <w:ilvl w:val="1"/>
          <w:numId w:val="327"/>
        </w:numPr>
        <w:rPr>
          <w:rFonts w:ascii="Arial" w:cs="Arial" w:eastAsia="Arial" w:hAnsi="Arial"/>
          <w:sz w:val="18"/>
          <w:szCs w:val="18"/>
          <w:b w:val="1"/>
          <w:bCs w:val="1"/>
          <w:color w:val="auto"/>
        </w:rPr>
      </w:pPr>
      <w:r>
        <w:rPr>
          <w:rFonts w:ascii="Arial" w:cs="Arial" w:eastAsia="Arial" w:hAnsi="Arial"/>
          <w:sz w:val="18"/>
          <w:szCs w:val="18"/>
          <w:color w:val="auto"/>
        </w:rPr>
        <w:t>Section 8(c) of the Plan regarding the tax consequences of your RSU Award.</w:t>
      </w:r>
    </w:p>
    <w:p>
      <w:pPr>
        <w:spacing w:after="0" w:line="2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82" w:lineRule="exact"/>
        <w:rPr>
          <w:sz w:val="20"/>
          <w:szCs w:val="20"/>
          <w:color w:val="auto"/>
        </w:rPr>
      </w:pPr>
    </w:p>
    <w:p>
      <w:pPr>
        <w:ind w:right="120" w:firstLine="444"/>
        <w:spacing w:after="0" w:line="271" w:lineRule="auto"/>
        <w:tabs>
          <w:tab w:leader="none" w:pos="614" w:val="left"/>
        </w:tabs>
        <w:numPr>
          <w:ilvl w:val="0"/>
          <w:numId w:val="328"/>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RANT OF THE</w:t>
      </w:r>
      <w:r>
        <w:rPr>
          <w:rFonts w:ascii="Arial" w:cs="Arial" w:eastAsia="Arial" w:hAnsi="Arial"/>
          <w:sz w:val="17"/>
          <w:szCs w:val="17"/>
          <w:b w:val="1"/>
          <w:bCs w:val="1"/>
          <w:color w:val="auto"/>
        </w:rPr>
        <w:t xml:space="preserve"> RSU A</w:t>
      </w:r>
      <w:r>
        <w:rPr>
          <w:rFonts w:ascii="Arial" w:cs="Arial" w:eastAsia="Arial" w:hAnsi="Arial"/>
          <w:sz w:val="13"/>
          <w:szCs w:val="13"/>
          <w:b w:val="1"/>
          <w:bCs w:val="1"/>
          <w:color w:val="auto"/>
        </w:rPr>
        <w:t>WARD</w:t>
      </w:r>
      <w:r>
        <w:rPr>
          <w:rFonts w:ascii="Arial" w:cs="Arial" w:eastAsia="Arial" w:hAnsi="Arial"/>
          <w:sz w:val="17"/>
          <w:szCs w:val="17"/>
          <w:b w:val="1"/>
          <w:bCs w:val="1"/>
          <w:color w:val="auto"/>
        </w:rPr>
        <w:t xml:space="preserve">. </w:t>
      </w:r>
      <w:r>
        <w:rPr>
          <w:rFonts w:ascii="Arial" w:cs="Arial" w:eastAsia="Arial" w:hAnsi="Arial"/>
          <w:sz w:val="17"/>
          <w:szCs w:val="17"/>
          <w:color w:val="auto"/>
        </w:rPr>
        <w:t>This RSU Award represents your right to be issued on a future date the number of shares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that is equal to the number of restricted stock units indicated in the Grant Notice as modified to reflect any Capitalization Adjustment and subject to your satisfaction of the vesting conditions set forth therein (the “</w:t>
      </w:r>
      <w:r>
        <w:rPr>
          <w:rFonts w:ascii="Arial" w:cs="Arial" w:eastAsia="Arial" w:hAnsi="Arial"/>
          <w:sz w:val="17"/>
          <w:szCs w:val="17"/>
          <w:b w:val="1"/>
          <w:bCs w:val="1"/>
          <w:i w:val="1"/>
          <w:iCs w:val="1"/>
          <w:color w:val="auto"/>
        </w:rPr>
        <w:t>Restricted Stock Units</w:t>
      </w:r>
      <w:r>
        <w:rPr>
          <w:rFonts w:ascii="Arial" w:cs="Arial" w:eastAsia="Arial" w:hAnsi="Arial"/>
          <w:sz w:val="17"/>
          <w:szCs w:val="17"/>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73" w:lineRule="exact"/>
        <w:rPr>
          <w:rFonts w:ascii="Arial" w:cs="Arial" w:eastAsia="Arial" w:hAnsi="Arial"/>
          <w:sz w:val="17"/>
          <w:szCs w:val="17"/>
          <w:b w:val="1"/>
          <w:bCs w:val="1"/>
          <w:color w:val="auto"/>
        </w:rPr>
      </w:pPr>
    </w:p>
    <w:p>
      <w:pPr>
        <w:ind w:right="360" w:firstLine="444"/>
        <w:spacing w:after="0" w:line="309" w:lineRule="auto"/>
        <w:tabs>
          <w:tab w:leader="none" w:pos="614"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D</w:t>
      </w:r>
      <w:r>
        <w:rPr>
          <w:rFonts w:ascii="Arial" w:cs="Arial" w:eastAsia="Arial" w:hAnsi="Arial"/>
          <w:sz w:val="12"/>
          <w:szCs w:val="12"/>
          <w:b w:val="1"/>
          <w:bCs w:val="1"/>
          <w:color w:val="auto"/>
        </w:rPr>
        <w:t>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You shall receive no benefit or adjustment to your RSU Award with respect to any cash dividend, stock dividend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480" w:top="268" w:right="519" w:bottom="1440" w:gutter="0" w:footer="0" w:header="0"/>
        </w:sectPr>
      </w:pPr>
    </w:p>
    <w:bookmarkStart w:id="385" w:name="page386"/>
    <w:bookmarkEnd w:id="385"/>
    <w:p>
      <w:pPr>
        <w:ind w:right="260" w:firstLine="444"/>
        <w:spacing w:after="0" w:line="289" w:lineRule="auto"/>
        <w:tabs>
          <w:tab w:leader="none" w:pos="614" w:val="left"/>
        </w:tabs>
        <w:numPr>
          <w:ilvl w:val="0"/>
          <w:numId w:val="32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w:t>
      </w:r>
      <w:r>
        <w:rPr>
          <w:rFonts w:ascii="Arial" w:cs="Arial" w:eastAsia="Arial" w:hAnsi="Arial"/>
          <w:sz w:val="12"/>
          <w:szCs w:val="12"/>
          <w:b w:val="1"/>
          <w:bCs w:val="1"/>
          <w:color w:val="auto"/>
        </w:rPr>
        <w:t>ITHHOLDING</w:t>
      </w:r>
      <w:r>
        <w:rPr>
          <w:rFonts w:ascii="Arial" w:cs="Arial" w:eastAsia="Arial" w:hAnsi="Arial"/>
          <w:sz w:val="16"/>
          <w:szCs w:val="16"/>
          <w:b w:val="1"/>
          <w:bCs w:val="1"/>
          <w:color w:val="auto"/>
        </w:rPr>
        <w:t xml:space="preserve"> O</w:t>
      </w:r>
      <w:r>
        <w:rPr>
          <w:rFonts w:ascii="Arial" w:cs="Arial" w:eastAsia="Arial" w:hAnsi="Arial"/>
          <w:sz w:val="12"/>
          <w:szCs w:val="12"/>
          <w:b w:val="1"/>
          <w:bCs w:val="1"/>
          <w:color w:val="auto"/>
        </w:rPr>
        <w:t>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As further provided in Section 8 of the Plan, you hereby authorize withholding from payroll and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payable to you, and otherwise agree to make adequate provision for, any sums required to satisfy the federal, state, local and foreign tax withholding obligations, if any, which arise in connection with your RSU Award (the “</w:t>
      </w:r>
      <w:r>
        <w:rPr>
          <w:rFonts w:ascii="Arial" w:cs="Arial" w:eastAsia="Arial" w:hAnsi="Arial"/>
          <w:sz w:val="16"/>
          <w:szCs w:val="16"/>
          <w:b w:val="1"/>
          <w:bCs w:val="1"/>
          <w:i w:val="1"/>
          <w:iCs w:val="1"/>
          <w:color w:val="auto"/>
        </w:rPr>
        <w:t>Withholding Obligation</w:t>
      </w:r>
      <w:r>
        <w:rPr>
          <w:rFonts w:ascii="Arial" w:cs="Arial" w:eastAsia="Arial" w:hAnsi="Arial"/>
          <w:sz w:val="16"/>
          <w:szCs w:val="16"/>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61" w:lineRule="exact"/>
        <w:rPr>
          <w:rFonts w:ascii="Arial" w:cs="Arial" w:eastAsia="Arial" w:hAnsi="Arial"/>
          <w:sz w:val="16"/>
          <w:szCs w:val="16"/>
          <w:b w:val="1"/>
          <w:bCs w:val="1"/>
          <w:color w:val="auto"/>
        </w:rPr>
      </w:pPr>
    </w:p>
    <w:p>
      <w:pPr>
        <w:ind w:left="620" w:hanging="176"/>
        <w:spacing w:after="0"/>
        <w:tabs>
          <w:tab w:leader="none" w:pos="62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SSUANCE</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firstLine="990"/>
        <w:spacing w:after="0" w:line="253" w:lineRule="auto"/>
        <w:tabs>
          <w:tab w:leader="none" w:pos="1234"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18"/>
          <w:szCs w:val="18"/>
          <w:b w:val="1"/>
          <w:bCs w:val="1"/>
          <w:i w:val="1"/>
          <w:iCs w:val="1"/>
          <w:color w:val="auto"/>
        </w:rPr>
        <w:t>Original Issuance Date</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1260" w:hanging="270"/>
        <w:spacing w:after="0"/>
        <w:tabs>
          <w:tab w:leader="none" w:pos="1260" w:val="left"/>
        </w:tabs>
        <w:numPr>
          <w:ilvl w:val="1"/>
          <w:numId w:val="329"/>
        </w:numPr>
        <w:rPr>
          <w:rFonts w:ascii="Arial" w:cs="Arial" w:eastAsia="Arial" w:hAnsi="Arial"/>
          <w:sz w:val="16"/>
          <w:szCs w:val="16"/>
          <w:b w:val="1"/>
          <w:bCs w:val="1"/>
          <w:color w:val="auto"/>
        </w:rPr>
      </w:pPr>
      <w:r>
        <w:rPr>
          <w:rFonts w:ascii="Arial" w:cs="Arial" w:eastAsia="Arial" w:hAnsi="Arial"/>
          <w:sz w:val="16"/>
          <w:szCs w:val="16"/>
          <w:color w:val="auto"/>
        </w:rPr>
        <w:t>If the Original Issuance Date falls on a date that is not a business day, delivery shall instead occur on the next following business day.</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In addition, if:</w:t>
      </w:r>
    </w:p>
    <w:p>
      <w:pPr>
        <w:spacing w:after="0" w:line="101" w:lineRule="exact"/>
        <w:rPr>
          <w:rFonts w:ascii="Arial" w:cs="Arial" w:eastAsia="Arial" w:hAnsi="Arial"/>
          <w:sz w:val="16"/>
          <w:szCs w:val="16"/>
          <w:b w:val="1"/>
          <w:bCs w:val="1"/>
          <w:color w:val="auto"/>
        </w:rPr>
      </w:pPr>
    </w:p>
    <w:p>
      <w:pPr>
        <w:ind w:right="80" w:firstLine="1426"/>
        <w:spacing w:after="0" w:line="253" w:lineRule="auto"/>
        <w:tabs>
          <w:tab w:leader="none" w:pos="1632" w:val="left"/>
        </w:tabs>
        <w:numPr>
          <w:ilvl w:val="2"/>
          <w:numId w:val="329"/>
        </w:numPr>
        <w:rPr>
          <w:rFonts w:ascii="Arial" w:cs="Arial" w:eastAsia="Arial" w:hAnsi="Arial"/>
          <w:sz w:val="18"/>
          <w:szCs w:val="18"/>
          <w:b w:val="1"/>
          <w:bCs w:val="1"/>
          <w:color w:val="auto"/>
        </w:rPr>
      </w:pPr>
      <w:r>
        <w:rPr>
          <w:rFonts w:ascii="Arial" w:cs="Arial" w:eastAsia="Arial" w:hAnsi="Arial"/>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8"/>
          <w:szCs w:val="18"/>
          <w:b w:val="1"/>
          <w:bCs w:val="1"/>
          <w:i w:val="1"/>
          <w:iCs w:val="1"/>
          <w:color w:val="auto"/>
        </w:rPr>
        <w:t>10b5-1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Arrangement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w:t>
      </w:r>
    </w:p>
    <w:p>
      <w:pPr>
        <w:spacing w:after="0" w:line="85" w:lineRule="exact"/>
        <w:rPr>
          <w:rFonts w:ascii="Arial" w:cs="Arial" w:eastAsia="Arial" w:hAnsi="Arial"/>
          <w:sz w:val="18"/>
          <w:szCs w:val="18"/>
          <w:b w:val="1"/>
          <w:bCs w:val="1"/>
          <w:color w:val="auto"/>
        </w:rPr>
      </w:pPr>
    </w:p>
    <w:p>
      <w:pPr>
        <w:ind w:firstLine="1426"/>
        <w:spacing w:after="0" w:line="275" w:lineRule="auto"/>
        <w:tabs>
          <w:tab w:leader="none" w:pos="1681" w:val="left"/>
        </w:tabs>
        <w:numPr>
          <w:ilvl w:val="2"/>
          <w:numId w:val="329"/>
        </w:numPr>
        <w:rPr>
          <w:rFonts w:ascii="Arial" w:cs="Arial" w:eastAsia="Arial" w:hAnsi="Arial"/>
          <w:sz w:val="17"/>
          <w:szCs w:val="17"/>
          <w:b w:val="1"/>
          <w:bCs w:val="1"/>
          <w:color w:val="auto"/>
        </w:rPr>
      </w:pPr>
      <w:r>
        <w:rPr>
          <w:rFonts w:ascii="Arial" w:cs="Arial" w:eastAsia="Arial" w:hAnsi="Arial"/>
          <w:sz w:val="17"/>
          <w:szCs w:val="17"/>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7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u w:val="single" w:color="auto"/>
          <w:color w:val="auto"/>
        </w:rPr>
        <w:t>then</w:t>
      </w:r>
      <w:r>
        <w:rPr>
          <w:rFonts w:ascii="Arial" w:cs="Arial" w:eastAsia="Arial" w:hAnsi="Arial"/>
          <w:sz w:val="16"/>
          <w:szCs w:val="16"/>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6"/>
          <w:szCs w:val="16"/>
          <w:u w:val="single" w:color="auto"/>
          <w:color w:val="auto"/>
        </w:rPr>
        <w:t>if and only if</w:t>
      </w:r>
      <w:r>
        <w:rPr>
          <w:rFonts w:ascii="Arial" w:cs="Arial" w:eastAsia="Arial" w:hAnsi="Arial"/>
          <w:sz w:val="16"/>
          <w:szCs w:val="16"/>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57" w:lineRule="exact"/>
        <w:rPr>
          <w:sz w:val="20"/>
          <w:szCs w:val="20"/>
          <w:color w:val="auto"/>
        </w:rPr>
      </w:pPr>
    </w:p>
    <w:p>
      <w:pPr>
        <w:ind w:left="5400" w:right="1680" w:hanging="4410"/>
        <w:spacing w:after="0" w:line="441" w:lineRule="auto"/>
        <w:tabs>
          <w:tab w:leader="none" w:pos="1235"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To the extent the RSU Award is a Non-Exempt RSU Award, the provisions of Section 11 of the Plan shall apply. 2.</w:t>
      </w:r>
    </w:p>
    <w:p>
      <w:pPr>
        <w:sectPr>
          <w:pgSz w:w="11900" w:h="16838" w:orient="portrait"/>
          <w:cols w:equalWidth="0" w:num="1">
            <w:col w:w="10920"/>
          </w:cols>
          <w:pgMar w:left="480" w:top="268" w:right="499" w:bottom="1440" w:gutter="0" w:footer="0" w:header="0"/>
        </w:sectPr>
      </w:pPr>
    </w:p>
    <w:bookmarkStart w:id="386" w:name="page387"/>
    <w:bookmarkEnd w:id="386"/>
    <w:p>
      <w:pPr>
        <w:ind w:left="-7" w:right="60" w:firstLine="444"/>
        <w:spacing w:after="0" w:line="275" w:lineRule="auto"/>
        <w:tabs>
          <w:tab w:leader="none" w:pos="607" w:val="left"/>
        </w:tabs>
        <w:numPr>
          <w:ilvl w:val="1"/>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w:t>
      </w:r>
      <w:r>
        <w:rPr>
          <w:rFonts w:ascii="Arial" w:cs="Arial" w:eastAsia="Arial" w:hAnsi="Arial"/>
          <w:sz w:val="14"/>
          <w:szCs w:val="14"/>
          <w:b w:val="1"/>
          <w:bCs w:val="1"/>
          <w:color w:val="auto"/>
        </w:rPr>
        <w: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the Plan, your RSU Award is not transferable, except by will or by the applicable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w:t>
      </w:r>
    </w:p>
    <w:p>
      <w:pPr>
        <w:spacing w:after="0" w:line="167" w:lineRule="exact"/>
        <w:rPr>
          <w:rFonts w:ascii="Arial" w:cs="Arial" w:eastAsia="Arial" w:hAnsi="Arial"/>
          <w:sz w:val="18"/>
          <w:szCs w:val="18"/>
          <w:b w:val="1"/>
          <w:bCs w:val="1"/>
          <w:color w:val="auto"/>
        </w:rPr>
      </w:pPr>
    </w:p>
    <w:p>
      <w:pPr>
        <w:ind w:left="-7" w:right="340" w:firstLine="444"/>
        <w:spacing w:after="0" w:line="261" w:lineRule="auto"/>
        <w:tabs>
          <w:tab w:leader="none" w:pos="607" w:val="left"/>
        </w:tabs>
        <w:numPr>
          <w:ilvl w:val="1"/>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RSU Award is subject to the terms of any agreement governing a Corporate Transaction involving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80" w:lineRule="exact"/>
        <w:rPr>
          <w:rFonts w:ascii="Arial" w:cs="Arial" w:eastAsia="Arial" w:hAnsi="Arial"/>
          <w:sz w:val="18"/>
          <w:szCs w:val="18"/>
          <w:b w:val="1"/>
          <w:bCs w:val="1"/>
          <w:color w:val="auto"/>
        </w:rPr>
      </w:pPr>
    </w:p>
    <w:p>
      <w:pPr>
        <w:ind w:left="-7" w:right="80" w:firstLine="444"/>
        <w:spacing w:after="0" w:line="290" w:lineRule="auto"/>
        <w:tabs>
          <w:tab w:leader="none" w:pos="607" w:val="left"/>
        </w:tabs>
        <w:numPr>
          <w:ilvl w:val="1"/>
          <w:numId w:val="331"/>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O</w:t>
      </w:r>
      <w:r>
        <w:rPr>
          <w:rFonts w:ascii="Arial" w:cs="Arial" w:eastAsia="Arial" w:hAnsi="Arial"/>
          <w:sz w:val="16"/>
          <w:szCs w:val="16"/>
          <w:b w:val="1"/>
          <w:bCs w:val="1"/>
          <w:color w:val="auto"/>
        </w:rPr>
        <w:t xml:space="preserve"> L</w:t>
      </w:r>
      <w:r>
        <w:rPr>
          <w:rFonts w:ascii="Arial" w:cs="Arial" w:eastAsia="Arial" w:hAnsi="Arial"/>
          <w:sz w:val="12"/>
          <w:szCs w:val="12"/>
          <w:b w:val="1"/>
          <w:bCs w:val="1"/>
          <w:color w:val="auto"/>
        </w:rPr>
        <w:t>IABILITY FOR</w:t>
      </w:r>
      <w:r>
        <w:rPr>
          <w:rFonts w:ascii="Arial" w:cs="Arial" w:eastAsia="Arial" w:hAnsi="Arial"/>
          <w:sz w:val="16"/>
          <w:szCs w:val="16"/>
          <w:b w:val="1"/>
          <w:bCs w:val="1"/>
          <w:color w:val="auto"/>
        </w:rPr>
        <w:t xml:space="preserve"> T</w:t>
      </w:r>
      <w:r>
        <w:rPr>
          <w:rFonts w:ascii="Arial" w:cs="Arial" w:eastAsia="Arial" w:hAnsi="Arial"/>
          <w:sz w:val="12"/>
          <w:szCs w:val="12"/>
          <w:b w:val="1"/>
          <w:bCs w:val="1"/>
          <w:color w:val="auto"/>
        </w:rPr>
        <w:t>AXES</w:t>
      </w:r>
      <w:r>
        <w:rPr>
          <w:rFonts w:ascii="Arial" w:cs="Arial" w:eastAsia="Arial" w:hAnsi="Arial"/>
          <w:sz w:val="16"/>
          <w:szCs w:val="16"/>
          <w:color w:val="auto"/>
        </w:rPr>
        <w:t>. As a condition to accepting the RSU Award, you hereby (a) agree to not make any claim against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Officers, Directors, Employees or Affiliates related to tax liabilities arising from the RSU Award or other Company compensation and</w:t>
      </w:r>
    </w:p>
    <w:p>
      <w:pPr>
        <w:ind w:left="-7" w:right="160" w:firstLine="7"/>
        <w:spacing w:after="0" w:line="256" w:lineRule="auto"/>
        <w:tabs>
          <w:tab w:leader="none" w:pos="24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acknowledge that you were advised to consult with your own personal tax, financial and other legal advisors regarding the tax consequences of the RSU Award and have either done so or knowingly and voluntarily declined to do so.</w:t>
      </w:r>
    </w:p>
    <w:p>
      <w:pPr>
        <w:spacing w:after="0" w:line="183" w:lineRule="exact"/>
        <w:rPr>
          <w:rFonts w:ascii="Arial" w:cs="Arial" w:eastAsia="Arial" w:hAnsi="Arial"/>
          <w:sz w:val="18"/>
          <w:szCs w:val="18"/>
          <w:color w:val="auto"/>
        </w:rPr>
      </w:pPr>
    </w:p>
    <w:p>
      <w:pPr>
        <w:ind w:left="-7" w:firstLine="444"/>
        <w:spacing w:after="0" w:line="257" w:lineRule="auto"/>
        <w:tabs>
          <w:tab w:leader="none" w:pos="607" w:val="left"/>
        </w:tabs>
        <w:numPr>
          <w:ilvl w:val="1"/>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r>
        <w:rPr>
          <w:rFonts w:ascii="Arial" w:cs="Arial" w:eastAsia="Arial" w:hAnsi="Arial"/>
          <w:sz w:val="18"/>
          <w:szCs w:val="18"/>
          <w:color w:val="auto"/>
        </w:rPr>
        <w:t>. If any part of this Agreement or the Plan is declared by any court or governmental authority to be unlawful or invalid, such</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3" w:lineRule="exact"/>
        <w:rPr>
          <w:rFonts w:ascii="Arial" w:cs="Arial" w:eastAsia="Arial" w:hAnsi="Arial"/>
          <w:sz w:val="18"/>
          <w:szCs w:val="18"/>
          <w:b w:val="1"/>
          <w:bCs w:val="1"/>
          <w:color w:val="auto"/>
        </w:rPr>
      </w:pPr>
    </w:p>
    <w:p>
      <w:pPr>
        <w:ind w:left="-7" w:right="60" w:firstLine="444"/>
        <w:spacing w:after="0" w:line="340" w:lineRule="auto"/>
        <w:tabs>
          <w:tab w:leader="none" w:pos="696" w:val="left"/>
        </w:tabs>
        <w:numPr>
          <w:ilvl w:val="1"/>
          <w:numId w:val="332"/>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THER</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You hereby acknowledge receipt of or the right to receive a document providing the information required by Rule</w:t>
      </w:r>
      <w:r>
        <w:rPr>
          <w:rFonts w:ascii="Arial" w:cs="Arial" w:eastAsia="Arial" w:hAnsi="Arial"/>
          <w:sz w:val="16"/>
          <w:szCs w:val="16"/>
          <w:b w:val="1"/>
          <w:bCs w:val="1"/>
          <w:color w:val="auto"/>
        </w:rPr>
        <w:t xml:space="preserve"> </w:t>
      </w:r>
      <w:r>
        <w:rPr>
          <w:rFonts w:ascii="Arial" w:cs="Arial" w:eastAsia="Arial" w:hAnsi="Arial"/>
          <w:sz w:val="16"/>
          <w:szCs w:val="16"/>
          <w:color w:val="auto"/>
        </w:rPr>
        <w:t>428(b)(1) promulgated under the Securities Act, which includes the Prospectus. In addition, you acknowledge receipt of the Company’s Trading Policy.</w:t>
      </w:r>
    </w:p>
    <w:p>
      <w:pPr>
        <w:spacing w:after="0" w:line="120" w:lineRule="exact"/>
        <w:rPr>
          <w:rFonts w:ascii="Arial" w:cs="Arial" w:eastAsia="Arial" w:hAnsi="Arial"/>
          <w:sz w:val="16"/>
          <w:szCs w:val="16"/>
          <w:b w:val="1"/>
          <w:bCs w:val="1"/>
          <w:color w:val="auto"/>
        </w:rPr>
      </w:pPr>
    </w:p>
    <w:p>
      <w:pPr>
        <w:ind w:left="-7" w:right="80" w:firstLine="444"/>
        <w:spacing w:after="0" w:line="306" w:lineRule="auto"/>
        <w:tabs>
          <w:tab w:leader="none" w:pos="686" w:val="left"/>
        </w:tabs>
        <w:numPr>
          <w:ilvl w:val="1"/>
          <w:numId w:val="332"/>
        </w:numPr>
        <w:rPr>
          <w:rFonts w:ascii="Arial" w:cs="Arial" w:eastAsia="Arial" w:hAnsi="Arial"/>
          <w:sz w:val="17"/>
          <w:szCs w:val="17"/>
          <w:b w:val="1"/>
          <w:bCs w:val="1"/>
          <w:color w:val="auto"/>
        </w:rPr>
      </w:pPr>
      <w:r>
        <w:rPr>
          <w:rFonts w:ascii="Arial" w:cs="Arial" w:eastAsia="Arial" w:hAnsi="Arial"/>
          <w:sz w:val="17"/>
          <w:szCs w:val="17"/>
          <w:b w:val="1"/>
          <w:bCs w:val="1"/>
          <w:color w:val="auto"/>
        </w:rPr>
        <w:t>Q</w:t>
      </w:r>
      <w:r>
        <w:rPr>
          <w:rFonts w:ascii="Arial" w:cs="Arial" w:eastAsia="Arial" w:hAnsi="Arial"/>
          <w:sz w:val="13"/>
          <w:szCs w:val="13"/>
          <w:b w:val="1"/>
          <w:bCs w:val="1"/>
          <w:color w:val="auto"/>
        </w:rPr>
        <w:t>UESTIONS</w:t>
      </w:r>
      <w:r>
        <w:rPr>
          <w:rFonts w:ascii="Arial" w:cs="Arial" w:eastAsia="Arial" w:hAnsi="Arial"/>
          <w:sz w:val="17"/>
          <w:szCs w:val="17"/>
          <w:b w:val="1"/>
          <w:bCs w:val="1"/>
          <w:color w:val="auto"/>
        </w:rPr>
        <w:t xml:space="preserve">. </w:t>
      </w:r>
      <w:r>
        <w:rPr>
          <w:rFonts w:ascii="Arial" w:cs="Arial" w:eastAsia="Arial" w:hAnsi="Arial"/>
          <w:sz w:val="17"/>
          <w:szCs w:val="17"/>
          <w:color w:val="auto"/>
        </w:rPr>
        <w:t>If you have questions regarding these or any other terms and conditions applicable to your RSU Award, including a summary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applicable federal income tax consequences please see the Prospectus.</w:t>
      </w:r>
    </w:p>
    <w:p>
      <w:pPr>
        <w:spacing w:after="0" w:line="81"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73"/>
          </w:cols>
          <w:pgMar w:left="487" w:top="268" w:right="53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ERA</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1" w:lineRule="exact"/>
        <w:rPr>
          <w:sz w:val="20"/>
          <w:szCs w:val="20"/>
          <w:color w:val="auto"/>
        </w:rPr>
      </w:pPr>
    </w:p>
    <w:p>
      <w:pPr>
        <w:ind w:left="180" w:hanging="173"/>
        <w:spacing w:after="0"/>
        <w:tabs>
          <w:tab w:leader="none" w:pos="18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P</w:t>
      </w:r>
      <w:r>
        <w:rPr>
          <w:rFonts w:ascii="Arial" w:cs="Arial" w:eastAsia="Arial" w:hAnsi="Arial"/>
          <w:sz w:val="14"/>
          <w:szCs w:val="14"/>
          <w:b w:val="1"/>
          <w:bCs w:val="1"/>
          <w:color w:val="auto"/>
        </w:rPr>
        <w:t>URPOSE</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60" w:firstLine="444"/>
        <w:spacing w:after="0" w:line="259" w:lineRule="auto"/>
        <w:tabs>
          <w:tab w:leader="none" w:pos="689" w:val="left"/>
        </w:tabs>
        <w:numPr>
          <w:ilvl w:val="1"/>
          <w:numId w:val="333"/>
        </w:numPr>
        <w:rPr>
          <w:rFonts w:ascii="Arial" w:cs="Arial" w:eastAsia="Arial" w:hAnsi="Arial"/>
          <w:sz w:val="18"/>
          <w:szCs w:val="18"/>
          <w:b w:val="1"/>
          <w:bCs w:val="1"/>
          <w:color w:val="auto"/>
        </w:rPr>
      </w:pPr>
      <w:r>
        <w:rPr>
          <w:rFonts w:ascii="Arial" w:cs="Arial" w:eastAsia="Arial" w:hAnsi="Arial"/>
          <w:sz w:val="18"/>
          <w:szCs w:val="18"/>
          <w:color w:val="auto"/>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w:t>
      </w:r>
    </w:p>
    <w:p>
      <w:pPr>
        <w:spacing w:after="0" w:line="185" w:lineRule="exact"/>
        <w:rPr>
          <w:rFonts w:ascii="Arial" w:cs="Arial" w:eastAsia="Arial" w:hAnsi="Arial"/>
          <w:sz w:val="18"/>
          <w:szCs w:val="18"/>
          <w:b w:val="1"/>
          <w:bCs w:val="1"/>
          <w:color w:val="auto"/>
        </w:rPr>
      </w:pPr>
    </w:p>
    <w:p>
      <w:pPr>
        <w:ind w:right="40" w:firstLine="444"/>
        <w:spacing w:after="0" w:line="268" w:lineRule="auto"/>
        <w:tabs>
          <w:tab w:leader="none" w:pos="699" w:val="left"/>
        </w:tabs>
        <w:numPr>
          <w:ilvl w:val="1"/>
          <w:numId w:val="333"/>
        </w:numPr>
        <w:rPr>
          <w:rFonts w:ascii="Arial" w:cs="Arial" w:eastAsia="Arial" w:hAnsi="Arial"/>
          <w:sz w:val="17"/>
          <w:szCs w:val="17"/>
          <w:b w:val="1"/>
          <w:bCs w:val="1"/>
          <w:color w:val="auto"/>
        </w:rPr>
      </w:pPr>
      <w:r>
        <w:rPr>
          <w:rFonts w:ascii="Arial" w:cs="Arial" w:eastAsia="Arial" w:hAnsi="Arial"/>
          <w:sz w:val="17"/>
          <w:szCs w:val="17"/>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spacing w:after="0" w:line="179" w:lineRule="exact"/>
        <w:rPr>
          <w:rFonts w:ascii="Arial" w:cs="Arial" w:eastAsia="Arial" w:hAnsi="Arial"/>
          <w:sz w:val="17"/>
          <w:szCs w:val="17"/>
          <w:b w:val="1"/>
          <w:bCs w:val="1"/>
          <w:color w:val="auto"/>
        </w:rPr>
      </w:pPr>
    </w:p>
    <w:p>
      <w:pPr>
        <w:ind w:right="280" w:firstLine="444"/>
        <w:spacing w:after="0" w:line="335" w:lineRule="auto"/>
        <w:tabs>
          <w:tab w:leader="none" w:pos="679" w:val="left"/>
        </w:tabs>
        <w:numPr>
          <w:ilvl w:val="1"/>
          <w:numId w:val="333"/>
        </w:numPr>
        <w:rPr>
          <w:rFonts w:ascii="Arial" w:cs="Arial" w:eastAsia="Arial" w:hAnsi="Arial"/>
          <w:sz w:val="16"/>
          <w:szCs w:val="16"/>
          <w:b w:val="1"/>
          <w:bCs w:val="1"/>
          <w:color w:val="auto"/>
        </w:rPr>
      </w:pPr>
      <w:r>
        <w:rPr>
          <w:rFonts w:ascii="Arial" w:cs="Arial" w:eastAsia="Arial" w:hAnsi="Arial"/>
          <w:sz w:val="16"/>
          <w:szCs w:val="16"/>
          <w:color w:val="auto"/>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spacing w:after="0" w:line="231" w:lineRule="exact"/>
        <w:rPr>
          <w:rFonts w:ascii="Arial" w:cs="Arial" w:eastAsia="Arial" w:hAnsi="Arial"/>
          <w:sz w:val="16"/>
          <w:szCs w:val="16"/>
          <w:b w:val="1"/>
          <w:bCs w:val="1"/>
          <w:color w:val="auto"/>
        </w:rPr>
      </w:pPr>
    </w:p>
    <w:p>
      <w:pPr>
        <w:ind w:left="180" w:hanging="173"/>
        <w:spacing w:after="0"/>
        <w:tabs>
          <w:tab w:leader="none" w:pos="18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60" w:firstLine="444"/>
        <w:spacing w:after="0" w:line="271" w:lineRule="auto"/>
        <w:tabs>
          <w:tab w:leader="none" w:pos="689" w:val="left"/>
        </w:tabs>
        <w:numPr>
          <w:ilvl w:val="1"/>
          <w:numId w:val="333"/>
        </w:numPr>
        <w:rPr>
          <w:rFonts w:ascii="Arial" w:cs="Arial" w:eastAsia="Arial" w:hAnsi="Arial"/>
          <w:sz w:val="18"/>
          <w:szCs w:val="18"/>
          <w:b w:val="1"/>
          <w:bCs w:val="1"/>
          <w:color w:val="auto"/>
        </w:rPr>
      </w:pPr>
      <w:r>
        <w:rPr>
          <w:rFonts w:ascii="Arial" w:cs="Arial" w:eastAsia="Arial" w:hAnsi="Arial"/>
          <w:sz w:val="18"/>
          <w:szCs w:val="18"/>
          <w:color w:val="auto"/>
        </w:rPr>
        <w:t>The Board will administer the Plan unless and until the Board delegates administration of the Plan to a Committee or Committees, as provided in Section 2(c).</w:t>
      </w:r>
    </w:p>
    <w:p>
      <w:pPr>
        <w:spacing w:after="0" w:line="174" w:lineRule="exact"/>
        <w:rPr>
          <w:rFonts w:ascii="Arial" w:cs="Arial" w:eastAsia="Arial" w:hAnsi="Arial"/>
          <w:sz w:val="18"/>
          <w:szCs w:val="18"/>
          <w:b w:val="1"/>
          <w:bCs w:val="1"/>
          <w:color w:val="auto"/>
        </w:rPr>
      </w:pPr>
    </w:p>
    <w:p>
      <w:pPr>
        <w:ind w:left="700" w:hanging="256"/>
        <w:spacing w:after="0"/>
        <w:tabs>
          <w:tab w:leader="none" w:pos="700" w:val="left"/>
        </w:tabs>
        <w:numPr>
          <w:ilvl w:val="1"/>
          <w:numId w:val="333"/>
        </w:numPr>
        <w:rPr>
          <w:rFonts w:ascii="Arial" w:cs="Arial" w:eastAsia="Arial" w:hAnsi="Arial"/>
          <w:sz w:val="18"/>
          <w:szCs w:val="18"/>
          <w:b w:val="1"/>
          <w:bCs w:val="1"/>
          <w:color w:val="auto"/>
        </w:rPr>
      </w:pPr>
      <w:r>
        <w:rPr>
          <w:rFonts w:ascii="Arial" w:cs="Arial" w:eastAsia="Arial" w:hAnsi="Arial"/>
          <w:sz w:val="18"/>
          <w:szCs w:val="18"/>
          <w:color w:val="auto"/>
        </w:rPr>
        <w:t>The Board will have the power, subject to, and within the limitations of, the express provisions of the Plan:</w:t>
      </w:r>
    </w:p>
    <w:p>
      <w:pPr>
        <w:spacing w:after="0" w:line="220" w:lineRule="exact"/>
        <w:rPr>
          <w:rFonts w:ascii="Arial" w:cs="Arial" w:eastAsia="Arial" w:hAnsi="Arial"/>
          <w:sz w:val="18"/>
          <w:szCs w:val="18"/>
          <w:b w:val="1"/>
          <w:bCs w:val="1"/>
          <w:color w:val="auto"/>
        </w:rPr>
      </w:pPr>
    </w:p>
    <w:p>
      <w:pPr>
        <w:ind w:left="1200" w:hanging="210"/>
        <w:spacing w:after="0"/>
        <w:tabs>
          <w:tab w:leader="none" w:pos="1200" w:val="left"/>
        </w:tabs>
        <w:numPr>
          <w:ilvl w:val="2"/>
          <w:numId w:val="333"/>
        </w:numPr>
        <w:rPr>
          <w:rFonts w:ascii="Arial" w:cs="Arial" w:eastAsia="Arial" w:hAnsi="Arial"/>
          <w:sz w:val="17"/>
          <w:szCs w:val="17"/>
          <w:b w:val="1"/>
          <w:bCs w:val="1"/>
          <w:color w:val="auto"/>
        </w:rPr>
      </w:pPr>
      <w:r>
        <w:rPr>
          <w:rFonts w:ascii="Arial" w:cs="Arial" w:eastAsia="Arial" w:hAnsi="Arial"/>
          <w:sz w:val="17"/>
          <w:szCs w:val="17"/>
          <w:color w:val="auto"/>
        </w:rPr>
        <w:t>To determine how and when Purchase Rights will be granted and the provisions of each Offering (which need not be identical).</w:t>
      </w:r>
    </w:p>
    <w:p>
      <w:pPr>
        <w:spacing w:after="0" w:line="232" w:lineRule="exact"/>
        <w:rPr>
          <w:rFonts w:ascii="Arial" w:cs="Arial" w:eastAsia="Arial" w:hAnsi="Arial"/>
          <w:sz w:val="17"/>
          <w:szCs w:val="17"/>
          <w:b w:val="1"/>
          <w:bCs w:val="1"/>
          <w:color w:val="auto"/>
        </w:rPr>
      </w:pPr>
    </w:p>
    <w:p>
      <w:pPr>
        <w:ind w:right="160" w:firstLine="990"/>
        <w:spacing w:after="0" w:line="287" w:lineRule="auto"/>
        <w:tabs>
          <w:tab w:leader="none" w:pos="1245" w:val="left"/>
        </w:tabs>
        <w:numPr>
          <w:ilvl w:val="2"/>
          <w:numId w:val="333"/>
        </w:numPr>
        <w:rPr>
          <w:rFonts w:ascii="Arial" w:cs="Arial" w:eastAsia="Arial" w:hAnsi="Arial"/>
          <w:sz w:val="16"/>
          <w:szCs w:val="16"/>
          <w:b w:val="1"/>
          <w:bCs w:val="1"/>
          <w:color w:val="auto"/>
        </w:rPr>
      </w:pPr>
      <w:r>
        <w:rPr>
          <w:rFonts w:ascii="Arial" w:cs="Arial" w:eastAsia="Arial" w:hAnsi="Arial"/>
          <w:sz w:val="16"/>
          <w:szCs w:val="16"/>
          <w:color w:val="auto"/>
        </w:rPr>
        <w:t>To designate from time to time (A) which Related Corporations of the Company will be eligible to participate in the Plan as Designated 423 Companies, (B) which Related Corporations or Affiliates will be eligible to participate in the Plan as Designated Non-423 Companies,</w:t>
      </w:r>
    </w:p>
    <w:p>
      <w:pPr>
        <w:ind w:right="220"/>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(C) which Affiliates or Related Corporations may be excluded from participation in the Plan, and (D) which Designated Companies will participate in each separate Offering (to the extent that the Company makes separate Offerings).</w:t>
      </w:r>
    </w:p>
    <w:p>
      <w:pPr>
        <w:spacing w:after="0" w:line="187" w:lineRule="exact"/>
        <w:rPr>
          <w:rFonts w:ascii="Arial" w:cs="Arial" w:eastAsia="Arial" w:hAnsi="Arial"/>
          <w:sz w:val="16"/>
          <w:szCs w:val="16"/>
          <w:b w:val="1"/>
          <w:bCs w:val="1"/>
          <w:color w:val="auto"/>
        </w:rPr>
      </w:pPr>
    </w:p>
    <w:p>
      <w:pPr>
        <w:jc w:val="both"/>
        <w:ind w:firstLine="990"/>
        <w:spacing w:after="0" w:line="259" w:lineRule="auto"/>
        <w:tabs>
          <w:tab w:leader="none" w:pos="1294" w:val="left"/>
        </w:tabs>
        <w:numPr>
          <w:ilvl w:val="2"/>
          <w:numId w:val="333"/>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388" w:name="page389"/>
    <w:bookmarkEnd w:id="388"/>
    <w:p>
      <w:pPr>
        <w:ind w:left="1293" w:hanging="310"/>
        <w:spacing w:after="0"/>
        <w:tabs>
          <w:tab w:leader="none" w:pos="1293" w:val="left"/>
        </w:tabs>
        <w:numPr>
          <w:ilvl w:val="2"/>
          <w:numId w:val="33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To settle all controversies regarding the Plan and Purchase Rights granted under the Plan.</w:t>
      </w:r>
    </w:p>
    <w:p>
      <w:pPr>
        <w:spacing w:after="0" w:line="220" w:lineRule="exact"/>
        <w:rPr>
          <w:rFonts w:ascii="Arial" w:cs="Arial" w:eastAsia="Arial" w:hAnsi="Arial"/>
          <w:sz w:val="18"/>
          <w:szCs w:val="18"/>
          <w:b w:val="1"/>
          <w:bCs w:val="1"/>
          <w:color w:val="auto"/>
        </w:rPr>
      </w:pPr>
    </w:p>
    <w:p>
      <w:pPr>
        <w:ind w:left="1233" w:hanging="250"/>
        <w:spacing w:after="0"/>
        <w:tabs>
          <w:tab w:leader="none" w:pos="1233" w:val="left"/>
        </w:tabs>
        <w:numPr>
          <w:ilvl w:val="2"/>
          <w:numId w:val="334"/>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as provided in Section 12.</w:t>
      </w:r>
    </w:p>
    <w:p>
      <w:pPr>
        <w:spacing w:after="0" w:line="220" w:lineRule="exact"/>
        <w:rPr>
          <w:rFonts w:ascii="Arial" w:cs="Arial" w:eastAsia="Arial" w:hAnsi="Arial"/>
          <w:sz w:val="18"/>
          <w:szCs w:val="18"/>
          <w:b w:val="1"/>
          <w:bCs w:val="1"/>
          <w:color w:val="auto"/>
        </w:rPr>
      </w:pPr>
    </w:p>
    <w:p>
      <w:pPr>
        <w:ind w:left="1293" w:hanging="310"/>
        <w:spacing w:after="0"/>
        <w:tabs>
          <w:tab w:leader="none" w:pos="1293" w:val="left"/>
        </w:tabs>
        <w:numPr>
          <w:ilvl w:val="2"/>
          <w:numId w:val="334"/>
        </w:numPr>
        <w:rPr>
          <w:rFonts w:ascii="Arial" w:cs="Arial" w:eastAsia="Arial" w:hAnsi="Arial"/>
          <w:sz w:val="18"/>
          <w:szCs w:val="18"/>
          <w:b w:val="1"/>
          <w:bCs w:val="1"/>
          <w:color w:val="auto"/>
        </w:rPr>
      </w:pPr>
      <w:r>
        <w:rPr>
          <w:rFonts w:ascii="Arial" w:cs="Arial" w:eastAsia="Arial" w:hAnsi="Arial"/>
          <w:sz w:val="18"/>
          <w:szCs w:val="18"/>
          <w:color w:val="auto"/>
        </w:rPr>
        <w:t>To amend the Plan at any time as provided in Section 12.</w:t>
      </w:r>
    </w:p>
    <w:p>
      <w:pPr>
        <w:spacing w:after="0" w:line="220" w:lineRule="exact"/>
        <w:rPr>
          <w:rFonts w:ascii="Arial" w:cs="Arial" w:eastAsia="Arial" w:hAnsi="Arial"/>
          <w:sz w:val="18"/>
          <w:szCs w:val="18"/>
          <w:b w:val="1"/>
          <w:bCs w:val="1"/>
          <w:color w:val="auto"/>
        </w:rPr>
      </w:pPr>
    </w:p>
    <w:p>
      <w:pPr>
        <w:jc w:val="both"/>
        <w:ind w:left="-7" w:right="240" w:firstLine="990"/>
        <w:spacing w:after="0" w:line="259" w:lineRule="auto"/>
        <w:tabs>
          <w:tab w:leader="none" w:pos="1326" w:val="left"/>
        </w:tabs>
        <w:numPr>
          <w:ilvl w:val="2"/>
          <w:numId w:val="334"/>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w:t>
      </w:r>
    </w:p>
    <w:p>
      <w:pPr>
        <w:spacing w:after="0" w:line="185" w:lineRule="exact"/>
        <w:rPr>
          <w:rFonts w:ascii="Arial" w:cs="Arial" w:eastAsia="Arial" w:hAnsi="Arial"/>
          <w:sz w:val="18"/>
          <w:szCs w:val="18"/>
          <w:b w:val="1"/>
          <w:bCs w:val="1"/>
          <w:color w:val="auto"/>
        </w:rPr>
      </w:pPr>
    </w:p>
    <w:p>
      <w:pPr>
        <w:ind w:left="-7" w:right="320" w:firstLine="990"/>
        <w:spacing w:after="0" w:line="271" w:lineRule="auto"/>
        <w:tabs>
          <w:tab w:leader="none" w:pos="1376" w:val="left"/>
        </w:tabs>
        <w:numPr>
          <w:ilvl w:val="2"/>
          <w:numId w:val="334"/>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Employees who are foreign nationals or employed outside the United States.</w:t>
      </w:r>
    </w:p>
    <w:p>
      <w:pPr>
        <w:spacing w:after="0" w:line="174" w:lineRule="exact"/>
        <w:rPr>
          <w:rFonts w:ascii="Arial" w:cs="Arial" w:eastAsia="Arial" w:hAnsi="Arial"/>
          <w:sz w:val="18"/>
          <w:szCs w:val="18"/>
          <w:b w:val="1"/>
          <w:bCs w:val="1"/>
          <w:color w:val="auto"/>
        </w:rPr>
      </w:pPr>
    </w:p>
    <w:p>
      <w:pPr>
        <w:ind w:left="-7" w:firstLine="444"/>
        <w:spacing w:after="0" w:line="268" w:lineRule="auto"/>
        <w:tabs>
          <w:tab w:leader="none" w:pos="671" w:val="left"/>
        </w:tabs>
        <w:numPr>
          <w:ilvl w:val="1"/>
          <w:numId w:val="335"/>
        </w:numPr>
        <w:rPr>
          <w:rFonts w:ascii="Arial" w:cs="Arial" w:eastAsia="Arial" w:hAnsi="Arial"/>
          <w:sz w:val="17"/>
          <w:szCs w:val="17"/>
          <w:b w:val="1"/>
          <w:bCs w:val="1"/>
          <w:color w:val="auto"/>
        </w:rPr>
      </w:pPr>
      <w:r>
        <w:rPr>
          <w:rFonts w:ascii="Arial" w:cs="Arial" w:eastAsia="Arial" w:hAnsi="Arial"/>
          <w:sz w:val="17"/>
          <w:szCs w:val="17"/>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to the Board in this Plan and in any applicable Offering Document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79" w:lineRule="exact"/>
        <w:rPr>
          <w:rFonts w:ascii="Arial" w:cs="Arial" w:eastAsia="Arial" w:hAnsi="Arial"/>
          <w:sz w:val="17"/>
          <w:szCs w:val="17"/>
          <w:b w:val="1"/>
          <w:bCs w:val="1"/>
          <w:color w:val="auto"/>
        </w:rPr>
      </w:pPr>
    </w:p>
    <w:p>
      <w:pPr>
        <w:ind w:left="-7" w:right="160" w:firstLine="444"/>
        <w:spacing w:after="0" w:line="271" w:lineRule="auto"/>
        <w:tabs>
          <w:tab w:leader="none" w:pos="691" w:val="left"/>
        </w:tabs>
        <w:numPr>
          <w:ilvl w:val="1"/>
          <w:numId w:val="335"/>
        </w:numPr>
        <w:rPr>
          <w:rFonts w:ascii="Arial" w:cs="Arial" w:eastAsia="Arial" w:hAnsi="Arial"/>
          <w:sz w:val="18"/>
          <w:szCs w:val="18"/>
          <w:b w:val="1"/>
          <w:bCs w:val="1"/>
          <w:color w:val="auto"/>
        </w:rPr>
      </w:pPr>
      <w:r>
        <w:rPr>
          <w:rFonts w:ascii="Arial" w:cs="Arial" w:eastAsia="Arial" w:hAnsi="Arial"/>
          <w:sz w:val="18"/>
          <w:szCs w:val="18"/>
          <w:color w:val="auto"/>
        </w:rPr>
        <w:t>All determinations, interpretations and constructions made by the Board in good faith will not be subject to review by any person and will be final, binding and conclusive on all persons.</w:t>
      </w:r>
    </w:p>
    <w:p>
      <w:pPr>
        <w:spacing w:after="0" w:line="277" w:lineRule="exact"/>
        <w:rPr>
          <w:rFonts w:ascii="Arial" w:cs="Arial" w:eastAsia="Arial" w:hAnsi="Arial"/>
          <w:sz w:val="18"/>
          <w:szCs w:val="18"/>
          <w:b w:val="1"/>
          <w:bCs w:val="1"/>
          <w:color w:val="auto"/>
        </w:rPr>
      </w:pPr>
    </w:p>
    <w:p>
      <w:pPr>
        <w:ind w:left="173" w:hanging="173"/>
        <w:spacing w:after="0"/>
        <w:tabs>
          <w:tab w:leader="none" w:pos="173"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 w:right="140" w:firstLine="444"/>
        <w:spacing w:after="0" w:line="288" w:lineRule="auto"/>
        <w:tabs>
          <w:tab w:leader="none" w:pos="681" w:val="left"/>
        </w:tabs>
        <w:numPr>
          <w:ilvl w:val="1"/>
          <w:numId w:val="336"/>
        </w:numPr>
        <w:rPr>
          <w:rFonts w:ascii="Arial" w:cs="Arial" w:eastAsia="Arial" w:hAnsi="Arial"/>
          <w:sz w:val="16"/>
          <w:szCs w:val="16"/>
          <w:b w:val="1"/>
          <w:bCs w:val="1"/>
          <w:color w:val="auto"/>
        </w:rPr>
      </w:pPr>
      <w:r>
        <w:rPr>
          <w:rFonts w:ascii="Arial" w:cs="Arial" w:eastAsia="Arial" w:hAnsi="Arial"/>
          <w:sz w:val="16"/>
          <w:szCs w:val="16"/>
          <w:color w:val="auto"/>
        </w:rPr>
        <w:t>Subject to the provisions of Section 11(a) relating to Capitalization Adjustments, the maximum number of shares of Common Stock that may be issued under the Plan will not exceed 220,251 shares of Common Stock (the “</w:t>
      </w:r>
      <w:r>
        <w:rPr>
          <w:rFonts w:ascii="Arial" w:cs="Arial" w:eastAsia="Arial" w:hAnsi="Arial"/>
          <w:sz w:val="16"/>
          <w:szCs w:val="16"/>
          <w:b w:val="1"/>
          <w:bCs w:val="1"/>
          <w:i w:val="1"/>
          <w:iCs w:val="1"/>
          <w:color w:val="auto"/>
        </w:rPr>
        <w:t>Initial Share Reserve</w:t>
      </w:r>
      <w:r>
        <w:rPr>
          <w:rFonts w:ascii="Arial" w:cs="Arial" w:eastAsia="Arial" w:hAnsi="Arial"/>
          <w:sz w:val="16"/>
          <w:szCs w:val="16"/>
          <w:color w:val="auto"/>
        </w:rPr>
        <w:t>”), plus the number of shares of Common Stock that are automatically added on January 1st of each year for a period of up to ten years, commencing on January 1, 2022 and ending on (and including) January 1, 2031, in an amount equal to the lesser of (x) 1% of the total number of shares of Common Stock outstanding on December 31st of the preceding calendar year, and (y) 440,502 shares of Common Stock. Notwithstanding the foregoing, the Board may act prior to the first day of any calendar year to provide that there will be no January 1</w:t>
      </w:r>
      <w:r>
        <w:rPr>
          <w:rFonts w:ascii="Arial" w:cs="Arial" w:eastAsia="Arial" w:hAnsi="Arial"/>
          <w:sz w:val="13"/>
          <w:szCs w:val="13"/>
          <w:color w:val="auto"/>
        </w:rPr>
        <w:t>st</w:t>
      </w:r>
      <w:r>
        <w:rPr>
          <w:rFonts w:ascii="Arial" w:cs="Arial" w:eastAsia="Arial" w:hAnsi="Arial"/>
          <w:sz w:val="16"/>
          <w:szCs w:val="16"/>
          <w:color w:val="auto"/>
        </w:rPr>
        <w:t xml:space="preserve"> increase in the share reserve for such calendar year or that the increase in the share reserve for such calendar year will be a lesser number of shares of Common Stock than would otherwise occur pursuant to the preceding sentence.</w:t>
      </w:r>
    </w:p>
    <w:p>
      <w:pPr>
        <w:spacing w:after="0" w:line="100"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13"/>
          </w:cols>
          <w:pgMar w:left="487" w:top="271" w:right="499" w:bottom="1440" w:gutter="0" w:footer="0" w:header="0"/>
        </w:sectPr>
      </w:pPr>
    </w:p>
    <w:bookmarkStart w:id="389" w:name="page390"/>
    <w:bookmarkEnd w:id="389"/>
    <w:p>
      <w:pPr>
        <w:ind w:left="-7" w:right="340" w:firstLine="444"/>
        <w:spacing w:after="0" w:line="271" w:lineRule="auto"/>
        <w:tabs>
          <w:tab w:leader="none" w:pos="691" w:val="left"/>
        </w:tabs>
        <w:numPr>
          <w:ilvl w:val="1"/>
          <w:numId w:val="33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any Purchase Right granted under the Plan terminates without having been exercised in full, the shares of Common Stock not purchased under such Purchase Right will again become available for issuance under the Plan.</w:t>
      </w:r>
    </w:p>
    <w:p>
      <w:pPr>
        <w:spacing w:after="0" w:line="174" w:lineRule="exact"/>
        <w:rPr>
          <w:rFonts w:ascii="Arial" w:cs="Arial" w:eastAsia="Arial" w:hAnsi="Arial"/>
          <w:sz w:val="18"/>
          <w:szCs w:val="18"/>
          <w:b w:val="1"/>
          <w:bCs w:val="1"/>
          <w:color w:val="auto"/>
        </w:rPr>
      </w:pPr>
    </w:p>
    <w:p>
      <w:pPr>
        <w:ind w:left="-7" w:right="80" w:firstLine="444"/>
        <w:spacing w:after="0" w:line="271" w:lineRule="auto"/>
        <w:tabs>
          <w:tab w:leader="none" w:pos="671" w:val="left"/>
        </w:tabs>
        <w:numPr>
          <w:ilvl w:val="1"/>
          <w:numId w:val="337"/>
        </w:numPr>
        <w:rPr>
          <w:rFonts w:ascii="Arial" w:cs="Arial" w:eastAsia="Arial" w:hAnsi="Arial"/>
          <w:sz w:val="18"/>
          <w:szCs w:val="18"/>
          <w:b w:val="1"/>
          <w:bCs w:val="1"/>
          <w:color w:val="auto"/>
        </w:rPr>
      </w:pPr>
      <w:r>
        <w:rPr>
          <w:rFonts w:ascii="Arial" w:cs="Arial" w:eastAsia="Arial" w:hAnsi="Arial"/>
          <w:sz w:val="18"/>
          <w:szCs w:val="18"/>
          <w:color w:val="auto"/>
        </w:rPr>
        <w:t>The stock purchasable under the Plan will be shares of authorized but unissued or reacquired Common Stock, including shares repurchased by the Company on the open market.</w:t>
      </w:r>
    </w:p>
    <w:p>
      <w:pPr>
        <w:spacing w:after="0" w:line="277" w:lineRule="exact"/>
        <w:rPr>
          <w:rFonts w:ascii="Arial" w:cs="Arial" w:eastAsia="Arial" w:hAnsi="Arial"/>
          <w:sz w:val="18"/>
          <w:szCs w:val="18"/>
          <w:b w:val="1"/>
          <w:bCs w:val="1"/>
          <w:color w:val="auto"/>
        </w:rPr>
      </w:pPr>
    </w:p>
    <w:p>
      <w:pPr>
        <w:ind w:left="173" w:hanging="173"/>
        <w:spacing w:after="0"/>
        <w:tabs>
          <w:tab w:leader="none" w:pos="173"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RANT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O</w:t>
      </w:r>
      <w:r>
        <w:rPr>
          <w:rFonts w:ascii="Arial" w:cs="Arial" w:eastAsia="Arial" w:hAnsi="Arial"/>
          <w:sz w:val="14"/>
          <w:szCs w:val="14"/>
          <w:b w:val="1"/>
          <w:bCs w:val="1"/>
          <w:color w:val="auto"/>
        </w:rPr>
        <w:t>FFERING</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 w:firstLine="444"/>
        <w:spacing w:after="0" w:line="251" w:lineRule="auto"/>
        <w:tabs>
          <w:tab w:leader="none" w:pos="681" w:val="left"/>
        </w:tabs>
        <w:numPr>
          <w:ilvl w:val="1"/>
          <w:numId w:val="338"/>
        </w:numPr>
        <w:rPr>
          <w:rFonts w:ascii="Arial" w:cs="Arial" w:eastAsia="Arial" w:hAnsi="Arial"/>
          <w:sz w:val="18"/>
          <w:szCs w:val="18"/>
          <w:b w:val="1"/>
          <w:bCs w:val="1"/>
          <w:color w:val="auto"/>
        </w:rPr>
      </w:pPr>
      <w:r>
        <w:rPr>
          <w:rFonts w:ascii="Arial" w:cs="Arial" w:eastAsia="Arial" w:hAnsi="Arial"/>
          <w:sz w:val="18"/>
          <w:szCs w:val="18"/>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94" w:lineRule="exact"/>
        <w:rPr>
          <w:rFonts w:ascii="Arial" w:cs="Arial" w:eastAsia="Arial" w:hAnsi="Arial"/>
          <w:sz w:val="18"/>
          <w:szCs w:val="18"/>
          <w:b w:val="1"/>
          <w:bCs w:val="1"/>
          <w:color w:val="auto"/>
        </w:rPr>
      </w:pPr>
    </w:p>
    <w:p>
      <w:pPr>
        <w:ind w:left="-7" w:right="300" w:firstLine="444"/>
        <w:spacing w:after="0" w:line="253" w:lineRule="auto"/>
        <w:tabs>
          <w:tab w:leader="none" w:pos="691" w:val="left"/>
        </w:tabs>
        <w:numPr>
          <w:ilvl w:val="1"/>
          <w:numId w:val="338"/>
        </w:numPr>
        <w:rPr>
          <w:rFonts w:ascii="Arial" w:cs="Arial" w:eastAsia="Arial" w:hAnsi="Arial"/>
          <w:sz w:val="18"/>
          <w:szCs w:val="18"/>
          <w:b w:val="1"/>
          <w:bCs w:val="1"/>
          <w:color w:val="auto"/>
        </w:rPr>
      </w:pPr>
      <w:r>
        <w:rPr>
          <w:rFonts w:ascii="Arial" w:cs="Arial" w:eastAsia="Arial" w:hAnsi="Arial"/>
          <w:sz w:val="18"/>
          <w:szCs w:val="18"/>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92" w:lineRule="exact"/>
        <w:rPr>
          <w:rFonts w:ascii="Arial" w:cs="Arial" w:eastAsia="Arial" w:hAnsi="Arial"/>
          <w:sz w:val="18"/>
          <w:szCs w:val="18"/>
          <w:b w:val="1"/>
          <w:bCs w:val="1"/>
          <w:color w:val="auto"/>
        </w:rPr>
      </w:pPr>
    </w:p>
    <w:p>
      <w:pPr>
        <w:ind w:left="-7" w:right="180" w:firstLine="444"/>
        <w:spacing w:after="0" w:line="275" w:lineRule="auto"/>
        <w:tabs>
          <w:tab w:leader="none" w:pos="671" w:val="left"/>
        </w:tabs>
        <w:numPr>
          <w:ilvl w:val="1"/>
          <w:numId w:val="338"/>
        </w:numPr>
        <w:rPr>
          <w:rFonts w:ascii="Arial" w:cs="Arial" w:eastAsia="Arial" w:hAnsi="Arial"/>
          <w:sz w:val="17"/>
          <w:szCs w:val="17"/>
          <w:b w:val="1"/>
          <w:bCs w:val="1"/>
          <w:color w:val="auto"/>
        </w:rPr>
      </w:pPr>
      <w:r>
        <w:rPr>
          <w:rFonts w:ascii="Arial" w:cs="Arial" w:eastAsia="Arial" w:hAnsi="Arial"/>
          <w:sz w:val="17"/>
          <w:szCs w:val="17"/>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76" w:lineRule="exact"/>
        <w:rPr>
          <w:rFonts w:ascii="Arial" w:cs="Arial" w:eastAsia="Arial" w:hAnsi="Arial"/>
          <w:sz w:val="17"/>
          <w:szCs w:val="17"/>
          <w:b w:val="1"/>
          <w:bCs w:val="1"/>
          <w:color w:val="auto"/>
        </w:rPr>
      </w:pPr>
    </w:p>
    <w:p>
      <w:pPr>
        <w:ind w:left="173" w:hanging="173"/>
        <w:spacing w:after="0"/>
        <w:tabs>
          <w:tab w:leader="none" w:pos="173"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 w:right="120" w:firstLine="444"/>
        <w:spacing w:after="0" w:line="297" w:lineRule="auto"/>
        <w:tabs>
          <w:tab w:leader="none" w:pos="681" w:val="left"/>
        </w:tabs>
        <w:numPr>
          <w:ilvl w:val="1"/>
          <w:numId w:val="338"/>
        </w:numPr>
        <w:rPr>
          <w:rFonts w:ascii="Arial" w:cs="Arial" w:eastAsia="Arial" w:hAnsi="Arial"/>
          <w:sz w:val="16"/>
          <w:szCs w:val="16"/>
          <w:b w:val="1"/>
          <w:bCs w:val="1"/>
          <w:color w:val="auto"/>
        </w:rPr>
      </w:pPr>
      <w:r>
        <w:rPr>
          <w:rFonts w:ascii="Arial" w:cs="Arial" w:eastAsia="Arial" w:hAnsi="Arial"/>
          <w:sz w:val="16"/>
          <w:szCs w:val="16"/>
          <w:color w:val="auto"/>
        </w:rPr>
        <w:t>Purchase Rights may be granted only to Employees of the Company or, as the Board may designate in accordance with Section 2(b), to Employees of a Related Corporation or an Affiliate. Except as provided in Section 5(b), an Employee will not be eligible to be granted Purchase Rights unless, on the Offering Date, the Employee has been in the employ of the Company, the Related Corporation or the Affiliate, as the case may be, for such continuous period preceding such Offering Date as the Board may require, but in no event will the required period of</w:t>
      </w:r>
    </w:p>
    <w:p>
      <w:pPr>
        <w:spacing w:after="0" w:line="92"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13"/>
          </w:cols>
          <w:pgMar w:left="487" w:top="272" w:right="499" w:bottom="1440" w:gutter="0" w:footer="0" w:header="0"/>
        </w:sectPr>
      </w:pPr>
    </w:p>
    <w:bookmarkStart w:id="390" w:name="page391"/>
    <w:bookmarkEnd w:id="390"/>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continuous employment be equal to or greater than two years. In addition, the Board may provide that no Employee will be eligible to be granted Purchase Rights under the Plan unless, on the Offering Date, such Employee’s customary employment with the Company, the Related Corporation or the Affiliate, as applicable, is more than 20 hours per week and more than five months per calendar year or such other criteria as the Board may determine consistent with Section 423 of the Code with respect to the 423 Component.</w:t>
      </w:r>
    </w:p>
    <w:p>
      <w:pPr>
        <w:spacing w:after="0" w:line="190" w:lineRule="exact"/>
        <w:rPr>
          <w:sz w:val="20"/>
          <w:szCs w:val="20"/>
          <w:color w:val="auto"/>
        </w:rPr>
      </w:pPr>
    </w:p>
    <w:p>
      <w:pPr>
        <w:ind w:right="200" w:firstLine="444"/>
        <w:spacing w:after="0" w:line="297" w:lineRule="auto"/>
        <w:tabs>
          <w:tab w:leader="none" w:pos="699" w:val="left"/>
        </w:tabs>
        <w:numPr>
          <w:ilvl w:val="0"/>
          <w:numId w:val="339"/>
        </w:numPr>
        <w:rPr>
          <w:rFonts w:ascii="Arial" w:cs="Arial" w:eastAsia="Arial" w:hAnsi="Arial"/>
          <w:sz w:val="16"/>
          <w:szCs w:val="16"/>
          <w:b w:val="1"/>
          <w:bCs w:val="1"/>
          <w:color w:val="auto"/>
        </w:rPr>
      </w:pPr>
      <w:r>
        <w:rPr>
          <w:rFonts w:ascii="Arial" w:cs="Arial" w:eastAsia="Arial" w:hAnsi="Arial"/>
          <w:sz w:val="16"/>
          <w:szCs w:val="16"/>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52" w:lineRule="exact"/>
        <w:rPr>
          <w:rFonts w:ascii="Arial" w:cs="Arial" w:eastAsia="Arial" w:hAnsi="Arial"/>
          <w:sz w:val="16"/>
          <w:szCs w:val="16"/>
          <w:b w:val="1"/>
          <w:bCs w:val="1"/>
          <w:color w:val="auto"/>
        </w:rPr>
      </w:pPr>
    </w:p>
    <w:p>
      <w:pPr>
        <w:ind w:right="540" w:firstLine="990"/>
        <w:spacing w:after="0" w:line="271" w:lineRule="auto"/>
        <w:tabs>
          <w:tab w:leader="none" w:pos="1195" w:val="left"/>
        </w:tabs>
        <w:numPr>
          <w:ilvl w:val="1"/>
          <w:numId w:val="339"/>
        </w:numPr>
        <w:rPr>
          <w:rFonts w:ascii="Arial" w:cs="Arial" w:eastAsia="Arial" w:hAnsi="Arial"/>
          <w:sz w:val="18"/>
          <w:szCs w:val="18"/>
          <w:b w:val="1"/>
          <w:bCs w:val="1"/>
          <w:color w:val="auto"/>
        </w:rPr>
      </w:pPr>
      <w:r>
        <w:rPr>
          <w:rFonts w:ascii="Arial" w:cs="Arial" w:eastAsia="Arial" w:hAnsi="Arial"/>
          <w:sz w:val="18"/>
          <w:szCs w:val="18"/>
          <w:color w:val="auto"/>
        </w:rPr>
        <w:t>the date on which such Purchase Right is granted will be the “Offering Date” of such Purchase Right for all purposes, including determination of the exercise price of such Purchase Right;</w:t>
      </w:r>
    </w:p>
    <w:p>
      <w:pPr>
        <w:spacing w:after="0" w:line="67" w:lineRule="exact"/>
        <w:rPr>
          <w:rFonts w:ascii="Arial" w:cs="Arial" w:eastAsia="Arial" w:hAnsi="Arial"/>
          <w:sz w:val="18"/>
          <w:szCs w:val="18"/>
          <w:b w:val="1"/>
          <w:bCs w:val="1"/>
          <w:color w:val="auto"/>
        </w:rPr>
      </w:pPr>
    </w:p>
    <w:p>
      <w:pPr>
        <w:ind w:left="1260" w:hanging="270"/>
        <w:spacing w:after="0"/>
        <w:tabs>
          <w:tab w:leader="none" w:pos="1260" w:val="left"/>
        </w:tabs>
        <w:numPr>
          <w:ilvl w:val="1"/>
          <w:numId w:val="339"/>
        </w:numPr>
        <w:rPr>
          <w:rFonts w:ascii="Arial" w:cs="Arial" w:eastAsia="Arial" w:hAnsi="Arial"/>
          <w:sz w:val="16"/>
          <w:szCs w:val="16"/>
          <w:b w:val="1"/>
          <w:bCs w:val="1"/>
          <w:color w:val="auto"/>
        </w:rPr>
      </w:pPr>
      <w:r>
        <w:rPr>
          <w:rFonts w:ascii="Arial" w:cs="Arial" w:eastAsia="Arial" w:hAnsi="Arial"/>
          <w:sz w:val="16"/>
          <w:szCs w:val="16"/>
          <w:color w:val="auto"/>
        </w:rPr>
        <w:t>the period of the Offering with respect to such Purchase Right will begin on its Offering Date and end coincident with the end of such</w:t>
      </w:r>
    </w:p>
    <w:p>
      <w:pPr>
        <w:spacing w:after="0" w:line="4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Offering; and</w:t>
      </w:r>
    </w:p>
    <w:p>
      <w:pPr>
        <w:spacing w:after="0" w:line="101" w:lineRule="exact"/>
        <w:rPr>
          <w:rFonts w:ascii="Arial" w:cs="Arial" w:eastAsia="Arial" w:hAnsi="Arial"/>
          <w:sz w:val="16"/>
          <w:szCs w:val="16"/>
          <w:b w:val="1"/>
          <w:bCs w:val="1"/>
          <w:color w:val="auto"/>
        </w:rPr>
      </w:pPr>
    </w:p>
    <w:p>
      <w:pPr>
        <w:ind w:right="60" w:firstLine="990"/>
        <w:spacing w:after="0" w:line="271" w:lineRule="auto"/>
        <w:tabs>
          <w:tab w:leader="none" w:pos="1294" w:val="left"/>
        </w:tabs>
        <w:numPr>
          <w:ilvl w:val="1"/>
          <w:numId w:val="339"/>
        </w:numPr>
        <w:rPr>
          <w:rFonts w:ascii="Arial" w:cs="Arial" w:eastAsia="Arial" w:hAnsi="Arial"/>
          <w:sz w:val="18"/>
          <w:szCs w:val="18"/>
          <w:b w:val="1"/>
          <w:bCs w:val="1"/>
          <w:color w:val="auto"/>
        </w:rPr>
      </w:pPr>
      <w:r>
        <w:rPr>
          <w:rFonts w:ascii="Arial" w:cs="Arial" w:eastAsia="Arial" w:hAnsi="Arial"/>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74" w:lineRule="exact"/>
        <w:rPr>
          <w:rFonts w:ascii="Arial" w:cs="Arial" w:eastAsia="Arial" w:hAnsi="Arial"/>
          <w:sz w:val="18"/>
          <w:szCs w:val="18"/>
          <w:b w:val="1"/>
          <w:bCs w:val="1"/>
          <w:color w:val="auto"/>
        </w:rPr>
      </w:pPr>
    </w:p>
    <w:p>
      <w:pPr>
        <w:ind w:right="120" w:firstLine="444"/>
        <w:spacing w:after="0" w:line="253" w:lineRule="auto"/>
        <w:tabs>
          <w:tab w:leader="none" w:pos="679"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92" w:lineRule="exact"/>
        <w:rPr>
          <w:rFonts w:ascii="Arial" w:cs="Arial" w:eastAsia="Arial" w:hAnsi="Arial"/>
          <w:sz w:val="18"/>
          <w:szCs w:val="18"/>
          <w:b w:val="1"/>
          <w:bCs w:val="1"/>
          <w:color w:val="auto"/>
        </w:rPr>
      </w:pPr>
    </w:p>
    <w:p>
      <w:pPr>
        <w:ind w:firstLine="444"/>
        <w:spacing w:after="0" w:line="293" w:lineRule="auto"/>
        <w:tabs>
          <w:tab w:leader="none" w:pos="699" w:val="left"/>
        </w:tabs>
        <w:numPr>
          <w:ilvl w:val="0"/>
          <w:numId w:val="339"/>
        </w:numPr>
        <w:rPr>
          <w:rFonts w:ascii="Arial" w:cs="Arial" w:eastAsia="Arial" w:hAnsi="Arial"/>
          <w:sz w:val="16"/>
          <w:szCs w:val="16"/>
          <w:b w:val="1"/>
          <w:bCs w:val="1"/>
          <w:color w:val="auto"/>
        </w:rPr>
      </w:pPr>
      <w:r>
        <w:rPr>
          <w:rFonts w:ascii="Arial" w:cs="Arial" w:eastAsia="Arial" w:hAnsi="Arial"/>
          <w:sz w:val="16"/>
          <w:szCs w:val="16"/>
          <w:color w:val="auto"/>
        </w:rPr>
        <w:t>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60" w:lineRule="exact"/>
        <w:rPr>
          <w:rFonts w:ascii="Arial" w:cs="Arial" w:eastAsia="Arial" w:hAnsi="Arial"/>
          <w:sz w:val="16"/>
          <w:szCs w:val="16"/>
          <w:b w:val="1"/>
          <w:bCs w:val="1"/>
          <w:color w:val="auto"/>
        </w:rPr>
      </w:pPr>
    </w:p>
    <w:p>
      <w:pPr>
        <w:jc w:val="both"/>
        <w:ind w:right="160" w:firstLine="444"/>
        <w:spacing w:after="0" w:line="259" w:lineRule="auto"/>
        <w:tabs>
          <w:tab w:leader="none" w:pos="679"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Officers of the Company and any Designated Company, if they are otherwise Eligible Employees, 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480" w:top="272" w:right="579" w:bottom="1440" w:gutter="0" w:footer="0" w:header="0"/>
        </w:sectPr>
      </w:pPr>
    </w:p>
    <w:bookmarkStart w:id="391" w:name="page392"/>
    <w:bookmarkEnd w:id="391"/>
    <w:p>
      <w:pPr>
        <w:ind w:left="-7" w:right="80" w:firstLine="444"/>
        <w:spacing w:after="0" w:line="259" w:lineRule="auto"/>
        <w:tabs>
          <w:tab w:leader="none" w:pos="652" w:val="left"/>
        </w:tabs>
        <w:numPr>
          <w:ilvl w:val="1"/>
          <w:numId w:val="34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288" w:lineRule="exact"/>
        <w:rPr>
          <w:rFonts w:ascii="Arial" w:cs="Arial" w:eastAsia="Arial" w:hAnsi="Arial"/>
          <w:sz w:val="18"/>
          <w:szCs w:val="18"/>
          <w:b w:val="1"/>
          <w:bCs w:val="1"/>
          <w:color w:val="auto"/>
        </w:rPr>
      </w:pPr>
    </w:p>
    <w:p>
      <w:pPr>
        <w:ind w:left="173" w:hanging="173"/>
        <w:spacing w:after="0"/>
        <w:tabs>
          <w:tab w:leader="none" w:pos="173"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 w:right="60" w:firstLine="444"/>
        <w:spacing w:after="0" w:line="255" w:lineRule="auto"/>
        <w:tabs>
          <w:tab w:leader="none" w:pos="681" w:val="left"/>
        </w:tabs>
        <w:numPr>
          <w:ilvl w:val="1"/>
          <w:numId w:val="341"/>
        </w:numPr>
        <w:rPr>
          <w:rFonts w:ascii="Arial" w:cs="Arial" w:eastAsia="Arial" w:hAnsi="Arial"/>
          <w:sz w:val="18"/>
          <w:szCs w:val="18"/>
          <w:b w:val="1"/>
          <w:bCs w:val="1"/>
          <w:color w:val="auto"/>
        </w:rPr>
      </w:pPr>
      <w:r>
        <w:rPr>
          <w:rFonts w:ascii="Arial" w:cs="Arial" w:eastAsia="Arial" w:hAnsi="Arial"/>
          <w:sz w:val="18"/>
          <w:szCs w:val="18"/>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during the period that begins on the Offering Date (or such later date as the Board determines for a particular Offering) and ends on the date stated in the Offering, which date will be no later than the end of the Offering.</w:t>
      </w:r>
    </w:p>
    <w:p>
      <w:pPr>
        <w:spacing w:after="0" w:line="190" w:lineRule="exact"/>
        <w:rPr>
          <w:rFonts w:ascii="Arial" w:cs="Arial" w:eastAsia="Arial" w:hAnsi="Arial"/>
          <w:sz w:val="18"/>
          <w:szCs w:val="18"/>
          <w:b w:val="1"/>
          <w:bCs w:val="1"/>
          <w:color w:val="auto"/>
        </w:rPr>
      </w:pPr>
    </w:p>
    <w:p>
      <w:pPr>
        <w:ind w:left="-7" w:right="100" w:firstLine="444"/>
        <w:spacing w:after="0" w:line="271" w:lineRule="auto"/>
        <w:tabs>
          <w:tab w:leader="none" w:pos="691" w:val="left"/>
        </w:tabs>
        <w:numPr>
          <w:ilvl w:val="1"/>
          <w:numId w:val="341"/>
        </w:numPr>
        <w:rPr>
          <w:rFonts w:ascii="Arial" w:cs="Arial" w:eastAsia="Arial" w:hAnsi="Arial"/>
          <w:sz w:val="18"/>
          <w:szCs w:val="18"/>
          <w:b w:val="1"/>
          <w:bCs w:val="1"/>
          <w:color w:val="auto"/>
        </w:rPr>
      </w:pPr>
      <w:r>
        <w:rPr>
          <w:rFonts w:ascii="Arial" w:cs="Arial" w:eastAsia="Arial" w:hAnsi="Arial"/>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74" w:lineRule="exact"/>
        <w:rPr>
          <w:rFonts w:ascii="Arial" w:cs="Arial" w:eastAsia="Arial" w:hAnsi="Arial"/>
          <w:sz w:val="18"/>
          <w:szCs w:val="18"/>
          <w:b w:val="1"/>
          <w:bCs w:val="1"/>
          <w:color w:val="auto"/>
        </w:rPr>
      </w:pPr>
    </w:p>
    <w:p>
      <w:pPr>
        <w:ind w:left="-7" w:firstLine="444"/>
        <w:spacing w:after="0" w:line="269" w:lineRule="auto"/>
        <w:tabs>
          <w:tab w:leader="none" w:pos="671" w:val="left"/>
        </w:tabs>
        <w:numPr>
          <w:ilvl w:val="1"/>
          <w:numId w:val="341"/>
        </w:numPr>
        <w:rPr>
          <w:rFonts w:ascii="Arial" w:cs="Arial" w:eastAsia="Arial" w:hAnsi="Arial"/>
          <w:sz w:val="17"/>
          <w:szCs w:val="17"/>
          <w:b w:val="1"/>
          <w:bCs w:val="1"/>
          <w:color w:val="auto"/>
        </w:rPr>
      </w:pPr>
      <w:r>
        <w:rPr>
          <w:rFonts w:ascii="Arial" w:cs="Arial" w:eastAsia="Arial" w:hAnsi="Arial"/>
          <w:sz w:val="17"/>
          <w:szCs w:val="17"/>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178" w:lineRule="exact"/>
        <w:rPr>
          <w:rFonts w:ascii="Arial" w:cs="Arial" w:eastAsia="Arial" w:hAnsi="Arial"/>
          <w:sz w:val="17"/>
          <w:szCs w:val="17"/>
          <w:b w:val="1"/>
          <w:bCs w:val="1"/>
          <w:color w:val="auto"/>
        </w:rPr>
      </w:pPr>
    </w:p>
    <w:p>
      <w:pPr>
        <w:ind w:left="693" w:hanging="256"/>
        <w:spacing w:after="0"/>
        <w:tabs>
          <w:tab w:leader="none" w:pos="693" w:val="left"/>
        </w:tabs>
        <w:numPr>
          <w:ilvl w:val="1"/>
          <w:numId w:val="341"/>
        </w:numPr>
        <w:rPr>
          <w:rFonts w:ascii="Arial" w:cs="Arial" w:eastAsia="Arial" w:hAnsi="Arial"/>
          <w:sz w:val="18"/>
          <w:szCs w:val="18"/>
          <w:b w:val="1"/>
          <w:bCs w:val="1"/>
          <w:color w:val="auto"/>
        </w:rPr>
      </w:pPr>
      <w:r>
        <w:rPr>
          <w:rFonts w:ascii="Arial" w:cs="Arial" w:eastAsia="Arial" w:hAnsi="Arial"/>
          <w:sz w:val="18"/>
          <w:szCs w:val="18"/>
          <w:color w:val="auto"/>
        </w:rPr>
        <w:t>The purchase price of shares of Common Stock acquired pursuant to Purchase Rights will be not less than the lesser of:</w:t>
      </w:r>
    </w:p>
    <w:p>
      <w:pPr>
        <w:spacing w:after="0" w:line="113" w:lineRule="exact"/>
        <w:rPr>
          <w:rFonts w:ascii="Arial" w:cs="Arial" w:eastAsia="Arial" w:hAnsi="Arial"/>
          <w:sz w:val="18"/>
          <w:szCs w:val="18"/>
          <w:b w:val="1"/>
          <w:bCs w:val="1"/>
          <w:color w:val="auto"/>
        </w:rPr>
      </w:pPr>
    </w:p>
    <w:p>
      <w:pPr>
        <w:ind w:left="1193" w:hanging="210"/>
        <w:spacing w:after="0"/>
        <w:tabs>
          <w:tab w:leader="none" w:pos="1193" w:val="left"/>
        </w:tabs>
        <w:numPr>
          <w:ilvl w:val="2"/>
          <w:numId w:val="341"/>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Offering Date; or</w:t>
      </w:r>
    </w:p>
    <w:p>
      <w:pPr>
        <w:spacing w:after="0" w:line="113" w:lineRule="exact"/>
        <w:rPr>
          <w:rFonts w:ascii="Arial" w:cs="Arial" w:eastAsia="Arial" w:hAnsi="Arial"/>
          <w:sz w:val="18"/>
          <w:szCs w:val="18"/>
          <w:b w:val="1"/>
          <w:bCs w:val="1"/>
          <w:color w:val="auto"/>
        </w:rPr>
      </w:pPr>
    </w:p>
    <w:p>
      <w:pPr>
        <w:ind w:left="1253" w:hanging="270"/>
        <w:spacing w:after="0"/>
        <w:tabs>
          <w:tab w:leader="none" w:pos="1253" w:val="left"/>
        </w:tabs>
        <w:numPr>
          <w:ilvl w:val="2"/>
          <w:numId w:val="341"/>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applicable Purchase Date.</w:t>
      </w:r>
    </w:p>
    <w:p>
      <w:pPr>
        <w:spacing w:after="0" w:line="323" w:lineRule="exact"/>
        <w:rPr>
          <w:rFonts w:ascii="Arial" w:cs="Arial" w:eastAsia="Arial" w:hAnsi="Arial"/>
          <w:sz w:val="18"/>
          <w:szCs w:val="18"/>
          <w:b w:val="1"/>
          <w:bCs w:val="1"/>
          <w:color w:val="auto"/>
        </w:rPr>
      </w:pPr>
    </w:p>
    <w:p>
      <w:pPr>
        <w:ind w:left="173" w:hanging="173"/>
        <w:spacing w:after="0"/>
        <w:tabs>
          <w:tab w:leader="none" w:pos="173"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ARTICIPATION</w:t>
      </w:r>
      <w:r>
        <w:rPr>
          <w:rFonts w:ascii="Arial" w:cs="Arial" w:eastAsia="Arial" w:hAnsi="Arial"/>
          <w:sz w:val="18"/>
          <w:szCs w:val="18"/>
          <w:b w:val="1"/>
          <w:bCs w:val="1"/>
          <w:color w:val="auto"/>
        </w:rPr>
        <w:t>; W</w:t>
      </w:r>
      <w:r>
        <w:rPr>
          <w:rFonts w:ascii="Arial" w:cs="Arial" w:eastAsia="Arial" w:hAnsi="Arial"/>
          <w:sz w:val="14"/>
          <w:szCs w:val="14"/>
          <w:b w:val="1"/>
          <w:bCs w:val="1"/>
          <w:color w:val="auto"/>
        </w:rPr>
        <w:t>ITHDRAWAL</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 w:right="380" w:firstLine="444"/>
        <w:spacing w:after="0" w:line="272" w:lineRule="auto"/>
        <w:tabs>
          <w:tab w:leader="none" w:pos="681" w:val="left"/>
        </w:tabs>
        <w:numPr>
          <w:ilvl w:val="1"/>
          <w:numId w:val="341"/>
        </w:numPr>
        <w:rPr>
          <w:rFonts w:ascii="Arial" w:cs="Arial" w:eastAsia="Arial" w:hAnsi="Arial"/>
          <w:sz w:val="17"/>
          <w:szCs w:val="17"/>
          <w:b w:val="1"/>
          <w:bCs w:val="1"/>
          <w:color w:val="auto"/>
        </w:rPr>
      </w:pPr>
      <w:r>
        <w:rPr>
          <w:rFonts w:ascii="Arial" w:cs="Arial" w:eastAsia="Arial" w:hAnsi="Arial"/>
          <w:sz w:val="17"/>
          <w:szCs w:val="17"/>
          <w:color w:val="auto"/>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w:t>
      </w:r>
    </w:p>
    <w:p>
      <w:pPr>
        <w:spacing w:after="0" w:line="109"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13"/>
          </w:cols>
          <w:pgMar w:left="487" w:top="272" w:right="499" w:bottom="1440" w:gutter="0" w:footer="0" w:header="0"/>
        </w:sectPr>
      </w:pPr>
    </w:p>
    <w:bookmarkStart w:id="392" w:name="page393"/>
    <w:bookmarkEnd w:id="392"/>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specifically provided in the Offering, in addition to or instead of making Contributions by payroll deductions, a Participant may make Contributions through the payment by cash or check prior to a Purchase Date.</w:t>
      </w:r>
    </w:p>
    <w:p>
      <w:pPr>
        <w:spacing w:after="0" w:line="176" w:lineRule="exact"/>
        <w:rPr>
          <w:sz w:val="20"/>
          <w:szCs w:val="20"/>
          <w:color w:val="auto"/>
        </w:rPr>
      </w:pPr>
    </w:p>
    <w:p>
      <w:pPr>
        <w:ind w:firstLine="444"/>
        <w:spacing w:after="0" w:line="270" w:lineRule="auto"/>
        <w:tabs>
          <w:tab w:leader="none" w:pos="699" w:val="left"/>
        </w:tabs>
        <w:numPr>
          <w:ilvl w:val="0"/>
          <w:numId w:val="342"/>
        </w:numPr>
        <w:rPr>
          <w:rFonts w:ascii="Arial" w:cs="Arial" w:eastAsia="Arial" w:hAnsi="Arial"/>
          <w:sz w:val="17"/>
          <w:szCs w:val="17"/>
          <w:b w:val="1"/>
          <w:bCs w:val="1"/>
          <w:color w:val="auto"/>
        </w:rPr>
      </w:pPr>
      <w:r>
        <w:rPr>
          <w:rFonts w:ascii="Arial" w:cs="Arial" w:eastAsia="Arial" w:hAnsi="Arial"/>
          <w:sz w:val="17"/>
          <w:szCs w:val="17"/>
          <w:color w:val="auto"/>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78" w:lineRule="exact"/>
        <w:rPr>
          <w:rFonts w:ascii="Arial" w:cs="Arial" w:eastAsia="Arial" w:hAnsi="Arial"/>
          <w:sz w:val="17"/>
          <w:szCs w:val="17"/>
          <w:b w:val="1"/>
          <w:bCs w:val="1"/>
          <w:color w:val="auto"/>
        </w:rPr>
      </w:pPr>
    </w:p>
    <w:p>
      <w:pPr>
        <w:ind w:right="40" w:firstLine="444"/>
        <w:spacing w:after="0" w:line="255" w:lineRule="auto"/>
        <w:tabs>
          <w:tab w:leader="none" w:pos="679" w:val="left"/>
        </w:tabs>
        <w:numPr>
          <w:ilvl w:val="0"/>
          <w:numId w:val="342"/>
        </w:numPr>
        <w:rPr>
          <w:rFonts w:ascii="Arial" w:cs="Arial" w:eastAsia="Arial" w:hAnsi="Arial"/>
          <w:sz w:val="18"/>
          <w:szCs w:val="18"/>
          <w:b w:val="1"/>
          <w:bCs w:val="1"/>
          <w:color w:val="auto"/>
        </w:rPr>
      </w:pPr>
      <w:r>
        <w:rPr>
          <w:rFonts w:ascii="Arial" w:cs="Arial" w:eastAsia="Arial" w:hAnsi="Arial"/>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to such individual as soon as practicable all of his or her accumulated but unused Contributions.</w:t>
      </w:r>
    </w:p>
    <w:p>
      <w:pPr>
        <w:spacing w:after="0" w:line="190" w:lineRule="exact"/>
        <w:rPr>
          <w:rFonts w:ascii="Arial" w:cs="Arial" w:eastAsia="Arial" w:hAnsi="Arial"/>
          <w:sz w:val="18"/>
          <w:szCs w:val="18"/>
          <w:b w:val="1"/>
          <w:bCs w:val="1"/>
          <w:color w:val="auto"/>
        </w:rPr>
      </w:pPr>
    </w:p>
    <w:p>
      <w:pPr>
        <w:ind w:right="80" w:firstLine="444"/>
        <w:spacing w:after="0" w:line="268" w:lineRule="auto"/>
        <w:tabs>
          <w:tab w:leader="none" w:pos="699" w:val="left"/>
        </w:tabs>
        <w:numPr>
          <w:ilvl w:val="0"/>
          <w:numId w:val="342"/>
        </w:numPr>
        <w:rPr>
          <w:rFonts w:ascii="Arial" w:cs="Arial" w:eastAsia="Arial" w:hAnsi="Arial"/>
          <w:sz w:val="17"/>
          <w:szCs w:val="17"/>
          <w:b w:val="1"/>
          <w:bCs w:val="1"/>
          <w:color w:val="auto"/>
        </w:rPr>
      </w:pPr>
      <w:r>
        <w:rPr>
          <w:rFonts w:ascii="Arial" w:cs="Arial" w:eastAsia="Arial" w:hAnsi="Arial"/>
          <w:sz w:val="17"/>
          <w:szCs w:val="17"/>
          <w:color w:val="auto"/>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179" w:lineRule="exact"/>
        <w:rPr>
          <w:rFonts w:ascii="Arial" w:cs="Arial" w:eastAsia="Arial" w:hAnsi="Arial"/>
          <w:sz w:val="17"/>
          <w:szCs w:val="17"/>
          <w:b w:val="1"/>
          <w:bCs w:val="1"/>
          <w:color w:val="auto"/>
        </w:rPr>
      </w:pPr>
    </w:p>
    <w:p>
      <w:pPr>
        <w:jc w:val="both"/>
        <w:ind w:right="600" w:firstLine="444"/>
        <w:spacing w:after="0" w:line="259" w:lineRule="auto"/>
        <w:tabs>
          <w:tab w:leader="none" w:pos="679" w:val="left"/>
        </w:tabs>
        <w:numPr>
          <w:ilvl w:val="0"/>
          <w:numId w:val="342"/>
        </w:numPr>
        <w:rPr>
          <w:rFonts w:ascii="Arial" w:cs="Arial" w:eastAsia="Arial" w:hAnsi="Arial"/>
          <w:sz w:val="18"/>
          <w:szCs w:val="18"/>
          <w:b w:val="1"/>
          <w:bCs w:val="1"/>
          <w:color w:val="auto"/>
        </w:rPr>
      </w:pPr>
      <w:r>
        <w:rPr>
          <w:rFonts w:ascii="Arial" w:cs="Arial" w:eastAsia="Arial" w:hAnsi="Arial"/>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85" w:lineRule="exact"/>
        <w:rPr>
          <w:rFonts w:ascii="Arial" w:cs="Arial" w:eastAsia="Arial" w:hAnsi="Arial"/>
          <w:sz w:val="18"/>
          <w:szCs w:val="18"/>
          <w:b w:val="1"/>
          <w:bCs w:val="1"/>
          <w:color w:val="auto"/>
        </w:rPr>
      </w:pPr>
    </w:p>
    <w:p>
      <w:pPr>
        <w:ind w:left="5420" w:right="20" w:hanging="4976"/>
        <w:spacing w:after="0" w:line="441" w:lineRule="auto"/>
        <w:tabs>
          <w:tab w:leader="none" w:pos="667" w:val="left"/>
        </w:tabs>
        <w:numPr>
          <w:ilvl w:val="0"/>
          <w:numId w:val="342"/>
        </w:numPr>
        <w:rPr>
          <w:rFonts w:ascii="Arial" w:cs="Arial" w:eastAsia="Arial" w:hAnsi="Arial"/>
          <w:sz w:val="18"/>
          <w:szCs w:val="18"/>
          <w:b w:val="1"/>
          <w:bCs w:val="1"/>
          <w:color w:val="auto"/>
        </w:rPr>
      </w:pPr>
      <w:r>
        <w:rPr>
          <w:rFonts w:ascii="Arial" w:cs="Arial" w:eastAsia="Arial" w:hAnsi="Arial"/>
          <w:sz w:val="18"/>
          <w:szCs w:val="18"/>
          <w:color w:val="auto"/>
        </w:rPr>
        <w:t>Unless otherwise specified in the Offering or required by applicable law, the Company will have no obligation to pay interest on Contributions. 6</w:t>
      </w:r>
    </w:p>
    <w:p>
      <w:pPr>
        <w:sectPr>
          <w:pgSz w:w="11900" w:h="16838" w:orient="portrait"/>
          <w:cols w:equalWidth="0" w:num="1">
            <w:col w:w="10900"/>
          </w:cols>
          <w:pgMar w:left="480" w:top="272" w:right="519" w:bottom="1440" w:gutter="0" w:footer="0" w:header="0"/>
        </w:sectPr>
      </w:pPr>
    </w:p>
    <w:bookmarkStart w:id="393" w:name="page394"/>
    <w:bookmarkEnd w:id="393"/>
    <w:p>
      <w:pPr>
        <w:ind w:left="180" w:hanging="173"/>
        <w:spacing w:after="0"/>
        <w:tabs>
          <w:tab w:leader="none" w:pos="18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w:t>
      </w:r>
      <w:r>
        <w:rPr>
          <w:rFonts w:ascii="Arial" w:cs="Arial" w:eastAsia="Arial" w:hAnsi="Arial"/>
          <w:sz w:val="14"/>
          <w:szCs w:val="14"/>
          <w:b w:val="1"/>
          <w:bCs w:val="1"/>
          <w:color w:val="auto"/>
        </w:rPr>
        <w:t>XERCISE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240" w:firstLine="444"/>
        <w:spacing w:after="0" w:line="259" w:lineRule="auto"/>
        <w:tabs>
          <w:tab w:leader="none" w:pos="689" w:val="left"/>
        </w:tabs>
        <w:numPr>
          <w:ilvl w:val="1"/>
          <w:numId w:val="343"/>
        </w:numPr>
        <w:rPr>
          <w:rFonts w:ascii="Arial" w:cs="Arial" w:eastAsia="Arial" w:hAnsi="Arial"/>
          <w:sz w:val="18"/>
          <w:szCs w:val="18"/>
          <w:b w:val="1"/>
          <w:bCs w:val="1"/>
          <w:color w:val="auto"/>
        </w:rPr>
      </w:pPr>
      <w:r>
        <w:rPr>
          <w:rFonts w:ascii="Arial" w:cs="Arial" w:eastAsia="Arial" w:hAnsi="Arial"/>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85" w:lineRule="exact"/>
        <w:rPr>
          <w:rFonts w:ascii="Arial" w:cs="Arial" w:eastAsia="Arial" w:hAnsi="Arial"/>
          <w:sz w:val="18"/>
          <w:szCs w:val="18"/>
          <w:b w:val="1"/>
          <w:bCs w:val="1"/>
          <w:color w:val="auto"/>
        </w:rPr>
      </w:pPr>
    </w:p>
    <w:p>
      <w:pPr>
        <w:ind w:firstLine="444"/>
        <w:spacing w:after="0" w:line="268" w:lineRule="auto"/>
        <w:tabs>
          <w:tab w:leader="none" w:pos="699" w:val="left"/>
        </w:tabs>
        <w:numPr>
          <w:ilvl w:val="1"/>
          <w:numId w:val="343"/>
        </w:numPr>
        <w:rPr>
          <w:rFonts w:ascii="Arial" w:cs="Arial" w:eastAsia="Arial" w:hAnsi="Arial"/>
          <w:sz w:val="17"/>
          <w:szCs w:val="17"/>
          <w:b w:val="1"/>
          <w:bCs w:val="1"/>
          <w:color w:val="auto"/>
        </w:rPr>
      </w:pPr>
      <w:r>
        <w:rPr>
          <w:rFonts w:ascii="Arial" w:cs="Arial" w:eastAsia="Arial" w:hAnsi="Arial"/>
          <w:sz w:val="17"/>
          <w:szCs w:val="17"/>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w:t>
      </w:r>
    </w:p>
    <w:p>
      <w:pPr>
        <w:spacing w:after="0" w:line="179" w:lineRule="exact"/>
        <w:rPr>
          <w:rFonts w:ascii="Arial" w:cs="Arial" w:eastAsia="Arial" w:hAnsi="Arial"/>
          <w:sz w:val="17"/>
          <w:szCs w:val="17"/>
          <w:b w:val="1"/>
          <w:bCs w:val="1"/>
          <w:color w:val="auto"/>
        </w:rPr>
      </w:pPr>
    </w:p>
    <w:p>
      <w:pPr>
        <w:ind w:right="20" w:firstLine="444"/>
        <w:spacing w:after="0" w:line="268" w:lineRule="auto"/>
        <w:tabs>
          <w:tab w:leader="none" w:pos="679" w:val="left"/>
        </w:tabs>
        <w:numPr>
          <w:ilvl w:val="1"/>
          <w:numId w:val="343"/>
        </w:numPr>
        <w:rPr>
          <w:rFonts w:ascii="Arial" w:cs="Arial" w:eastAsia="Arial" w:hAnsi="Arial"/>
          <w:sz w:val="17"/>
          <w:szCs w:val="17"/>
          <w:b w:val="1"/>
          <w:bCs w:val="1"/>
          <w:color w:val="auto"/>
        </w:rPr>
      </w:pPr>
      <w:r>
        <w:rPr>
          <w:rFonts w:ascii="Arial" w:cs="Arial" w:eastAsia="Arial" w:hAnsi="Arial"/>
          <w:sz w:val="17"/>
          <w:szCs w:val="17"/>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and the Plan is not in material compliance with all applicable laws, no Purchase Rights will be exercised and all accumulated but unused Contributions will be distributed to the Participants without interest.</w:t>
      </w:r>
    </w:p>
    <w:p>
      <w:pPr>
        <w:spacing w:after="0" w:line="282" w:lineRule="exact"/>
        <w:rPr>
          <w:rFonts w:ascii="Arial" w:cs="Arial" w:eastAsia="Arial" w:hAnsi="Arial"/>
          <w:sz w:val="17"/>
          <w:szCs w:val="17"/>
          <w:b w:val="1"/>
          <w:bCs w:val="1"/>
          <w:color w:val="auto"/>
        </w:rPr>
      </w:pPr>
    </w:p>
    <w:p>
      <w:pPr>
        <w:ind w:left="180" w:hanging="173"/>
        <w:spacing w:after="0"/>
        <w:tabs>
          <w:tab w:leader="none" w:pos="18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8" w:lineRule="exact"/>
        <w:rPr>
          <w:sz w:val="20"/>
          <w:szCs w:val="20"/>
          <w:color w:val="auto"/>
        </w:rPr>
      </w:pPr>
    </w:p>
    <w:p>
      <w:pPr>
        <w:ind w:right="20" w:firstLine="436"/>
        <w:spacing w:after="0" w:line="270" w:lineRule="auto"/>
        <w:rPr>
          <w:sz w:val="20"/>
          <w:szCs w:val="20"/>
          <w:color w:val="auto"/>
        </w:rPr>
      </w:pPr>
      <w:r>
        <w:rPr>
          <w:rFonts w:ascii="Arial" w:cs="Arial" w:eastAsia="Arial" w:hAnsi="Arial"/>
          <w:sz w:val="17"/>
          <w:szCs w:val="17"/>
          <w:color w:val="auto"/>
        </w:rPr>
        <w:t>The Company will seek to obtain from each U.S. federal or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80" w:top="268" w:right="519" w:bottom="1440" w:gutter="0" w:footer="0" w:header="0"/>
        </w:sectPr>
      </w:pPr>
    </w:p>
    <w:bookmarkStart w:id="394" w:name="page395"/>
    <w:bookmarkEnd w:id="394"/>
    <w:p>
      <w:pPr>
        <w:ind w:left="280" w:hanging="273"/>
        <w:spacing w:after="0"/>
        <w:tabs>
          <w:tab w:leader="none" w:pos="28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w:t>
      </w:r>
      <w:r>
        <w:rPr>
          <w:rFonts w:ascii="Arial" w:cs="Arial" w:eastAsia="Arial" w:hAnsi="Arial"/>
          <w:sz w:val="14"/>
          <w:szCs w:val="14"/>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ENEFICIARY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260" w:firstLine="444"/>
        <w:spacing w:after="0" w:line="255" w:lineRule="auto"/>
        <w:tabs>
          <w:tab w:leader="none" w:pos="689" w:val="left"/>
        </w:tabs>
        <w:numPr>
          <w:ilvl w:val="1"/>
          <w:numId w:val="344"/>
        </w:numPr>
        <w:rPr>
          <w:rFonts w:ascii="Arial" w:cs="Arial" w:eastAsia="Arial" w:hAnsi="Arial"/>
          <w:sz w:val="18"/>
          <w:szCs w:val="18"/>
          <w:b w:val="1"/>
          <w:bCs w:val="1"/>
          <w:color w:val="auto"/>
        </w:rPr>
      </w:pPr>
      <w:r>
        <w:rPr>
          <w:rFonts w:ascii="Arial" w:cs="Arial" w:eastAsia="Arial" w:hAnsi="Arial"/>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90" w:lineRule="exact"/>
        <w:rPr>
          <w:rFonts w:ascii="Arial" w:cs="Arial" w:eastAsia="Arial" w:hAnsi="Arial"/>
          <w:sz w:val="18"/>
          <w:szCs w:val="18"/>
          <w:b w:val="1"/>
          <w:bCs w:val="1"/>
          <w:color w:val="auto"/>
        </w:rPr>
      </w:pPr>
    </w:p>
    <w:p>
      <w:pPr>
        <w:ind w:firstLine="444"/>
        <w:spacing w:after="0" w:line="272" w:lineRule="auto"/>
        <w:tabs>
          <w:tab w:leader="none" w:pos="699" w:val="left"/>
        </w:tabs>
        <w:numPr>
          <w:ilvl w:val="1"/>
          <w:numId w:val="344"/>
        </w:numPr>
        <w:rPr>
          <w:rFonts w:ascii="Arial" w:cs="Arial" w:eastAsia="Arial" w:hAnsi="Arial"/>
          <w:sz w:val="17"/>
          <w:szCs w:val="17"/>
          <w:b w:val="1"/>
          <w:bCs w:val="1"/>
          <w:color w:val="auto"/>
        </w:rPr>
      </w:pPr>
      <w:r>
        <w:rPr>
          <w:rFonts w:ascii="Arial" w:cs="Arial" w:eastAsia="Arial" w:hAnsi="Arial"/>
          <w:sz w:val="17"/>
          <w:szCs w:val="17"/>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279" w:lineRule="exact"/>
        <w:rPr>
          <w:rFonts w:ascii="Arial" w:cs="Arial" w:eastAsia="Arial" w:hAnsi="Arial"/>
          <w:sz w:val="17"/>
          <w:szCs w:val="17"/>
          <w:b w:val="1"/>
          <w:bCs w:val="1"/>
          <w:color w:val="auto"/>
        </w:rPr>
      </w:pPr>
    </w:p>
    <w:p>
      <w:pPr>
        <w:ind w:left="260" w:hanging="253"/>
        <w:spacing w:after="0"/>
        <w:tabs>
          <w:tab w:leader="none" w:pos="26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60" w:firstLine="444"/>
        <w:spacing w:after="0" w:line="272" w:lineRule="auto"/>
        <w:tabs>
          <w:tab w:leader="none" w:pos="689" w:val="left"/>
        </w:tabs>
        <w:numPr>
          <w:ilvl w:val="1"/>
          <w:numId w:val="344"/>
        </w:numPr>
        <w:rPr>
          <w:rFonts w:ascii="Arial" w:cs="Arial" w:eastAsia="Arial" w:hAnsi="Arial"/>
          <w:sz w:val="17"/>
          <w:szCs w:val="17"/>
          <w:b w:val="1"/>
          <w:bCs w:val="1"/>
          <w:color w:val="auto"/>
        </w:rPr>
      </w:pPr>
      <w:r>
        <w:rPr>
          <w:rFonts w:ascii="Arial" w:cs="Arial" w:eastAsia="Arial" w:hAnsi="Arial"/>
          <w:sz w:val="17"/>
          <w:szCs w:val="17"/>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76" w:lineRule="exact"/>
        <w:rPr>
          <w:rFonts w:ascii="Arial" w:cs="Arial" w:eastAsia="Arial" w:hAnsi="Arial"/>
          <w:sz w:val="17"/>
          <w:szCs w:val="17"/>
          <w:b w:val="1"/>
          <w:bCs w:val="1"/>
          <w:color w:val="auto"/>
        </w:rPr>
      </w:pPr>
    </w:p>
    <w:p>
      <w:pPr>
        <w:ind w:right="280" w:firstLine="444"/>
        <w:spacing w:after="0" w:line="290" w:lineRule="auto"/>
        <w:tabs>
          <w:tab w:leader="none" w:pos="699" w:val="left"/>
        </w:tabs>
        <w:numPr>
          <w:ilvl w:val="1"/>
          <w:numId w:val="344"/>
        </w:numPr>
        <w:rPr>
          <w:rFonts w:ascii="Arial" w:cs="Arial" w:eastAsia="Arial" w:hAnsi="Arial"/>
          <w:sz w:val="16"/>
          <w:szCs w:val="16"/>
          <w:b w:val="1"/>
          <w:bCs w:val="1"/>
          <w:color w:val="auto"/>
        </w:rPr>
      </w:pPr>
      <w:r>
        <w:rPr>
          <w:rFonts w:ascii="Arial" w:cs="Arial" w:eastAsia="Arial" w:hAnsi="Arial"/>
          <w:sz w:val="16"/>
          <w:szCs w:val="16"/>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within ten business days prior to the Corporate Transaction under the outstanding Purchase Rights, and the Purchase Rights will terminate immediately after such purchase.</w:t>
      </w:r>
    </w:p>
    <w:p>
      <w:pPr>
        <w:spacing w:after="0" w:line="266" w:lineRule="exact"/>
        <w:rPr>
          <w:rFonts w:ascii="Arial" w:cs="Arial" w:eastAsia="Arial" w:hAnsi="Arial"/>
          <w:sz w:val="16"/>
          <w:szCs w:val="16"/>
          <w:b w:val="1"/>
          <w:bCs w:val="1"/>
          <w:color w:val="auto"/>
        </w:rPr>
      </w:pPr>
    </w:p>
    <w:p>
      <w:pPr>
        <w:ind w:left="280" w:hanging="273"/>
        <w:spacing w:after="0"/>
        <w:tabs>
          <w:tab w:leader="none" w:pos="28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00" w:hanging="256"/>
        <w:spacing w:after="0"/>
        <w:tabs>
          <w:tab w:leader="none" w:pos="700" w:val="left"/>
        </w:tabs>
        <w:numPr>
          <w:ilvl w:val="1"/>
          <w:numId w:val="344"/>
        </w:numPr>
        <w:rPr>
          <w:rFonts w:ascii="Arial" w:cs="Arial" w:eastAsia="Arial" w:hAnsi="Arial"/>
          <w:sz w:val="17"/>
          <w:szCs w:val="17"/>
          <w:b w:val="1"/>
          <w:bCs w:val="1"/>
          <w:color w:val="auto"/>
        </w:rPr>
      </w:pPr>
      <w:r>
        <w:rPr>
          <w:rFonts w:ascii="Arial" w:cs="Arial" w:eastAsia="Arial" w:hAnsi="Arial"/>
          <w:sz w:val="17"/>
          <w:szCs w:val="17"/>
          <w:color w:val="auto"/>
        </w:rPr>
        <w:t>The Board may amend the Plan at any time in any respect the Board deems necessary or advisable. However, except as provided in</w:t>
      </w:r>
    </w:p>
    <w:p>
      <w:pPr>
        <w:spacing w:after="0" w:line="31"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Section 11(a) relating to Capitalization Adjustments, stockholder approval will be required for any amendment of the Plan for which stockholder approval is required by applicable law or listing requirements.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480" w:top="268" w:right="539" w:bottom="1440" w:gutter="0" w:footer="0" w:header="0"/>
        </w:sectPr>
      </w:pPr>
    </w:p>
    <w:bookmarkStart w:id="395" w:name="page396"/>
    <w:bookmarkEnd w:id="395"/>
    <w:p>
      <w:pPr>
        <w:ind w:right="140" w:firstLine="444"/>
        <w:spacing w:after="0" w:line="271" w:lineRule="auto"/>
        <w:tabs>
          <w:tab w:leader="none" w:pos="699" w:val="left"/>
        </w:tabs>
        <w:numPr>
          <w:ilvl w:val="0"/>
          <w:numId w:val="34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Board may suspend or terminate the Plan at any time. No Purchase Rights may be granted under the Plan while the Plan is suspended or after it is terminated.</w:t>
      </w:r>
    </w:p>
    <w:p>
      <w:pPr>
        <w:spacing w:after="0" w:line="174" w:lineRule="exact"/>
        <w:rPr>
          <w:rFonts w:ascii="Arial" w:cs="Arial" w:eastAsia="Arial" w:hAnsi="Arial"/>
          <w:sz w:val="18"/>
          <w:szCs w:val="18"/>
          <w:b w:val="1"/>
          <w:bCs w:val="1"/>
          <w:color w:val="auto"/>
        </w:rPr>
      </w:pPr>
    </w:p>
    <w:p>
      <w:pPr>
        <w:ind w:right="40" w:firstLine="444"/>
        <w:spacing w:after="0" w:line="287" w:lineRule="auto"/>
        <w:tabs>
          <w:tab w:leader="none" w:pos="679" w:val="left"/>
        </w:tabs>
        <w:numPr>
          <w:ilvl w:val="0"/>
          <w:numId w:val="345"/>
        </w:numPr>
        <w:rPr>
          <w:rFonts w:ascii="Arial" w:cs="Arial" w:eastAsia="Arial" w:hAnsi="Arial"/>
          <w:sz w:val="16"/>
          <w:szCs w:val="16"/>
          <w:b w:val="1"/>
          <w:bCs w:val="1"/>
          <w:color w:val="auto"/>
        </w:rPr>
      </w:pPr>
      <w:r>
        <w:rPr>
          <w:rFonts w:ascii="Arial" w:cs="Arial" w:eastAsia="Arial" w:hAnsi="Arial"/>
          <w:sz w:val="16"/>
          <w:szCs w:val="16"/>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w:t>
      </w:r>
    </w:p>
    <w:p>
      <w:pPr>
        <w:spacing w:after="0" w:line="166"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179" w:lineRule="exact"/>
        <w:rPr>
          <w:sz w:val="20"/>
          <w:szCs w:val="20"/>
          <w:color w:val="auto"/>
        </w:rPr>
      </w:pPr>
    </w:p>
    <w:p>
      <w:pPr>
        <w:ind w:left="280" w:hanging="273"/>
        <w:spacing w:after="0"/>
        <w:tabs>
          <w:tab w:leader="none" w:pos="28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Q</w:t>
      </w:r>
      <w:r>
        <w:rPr>
          <w:rFonts w:ascii="Arial" w:cs="Arial" w:eastAsia="Arial" w:hAnsi="Arial"/>
          <w:sz w:val="14"/>
          <w:szCs w:val="14"/>
          <w:b w:val="1"/>
          <w:bCs w:val="1"/>
          <w:color w:val="auto"/>
        </w:rPr>
        <w:t>UALIFICATION</w:t>
      </w:r>
      <w:r>
        <w:rPr>
          <w:rFonts w:ascii="Arial" w:cs="Arial" w:eastAsia="Arial" w:hAnsi="Arial"/>
          <w:sz w:val="18"/>
          <w:szCs w:val="18"/>
          <w:b w:val="1"/>
          <w:bCs w:val="1"/>
          <w:color w:val="auto"/>
        </w:rPr>
        <w:t>; 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right="140" w:firstLine="444"/>
        <w:spacing w:after="0" w:line="255" w:lineRule="auto"/>
        <w:tabs>
          <w:tab w:leader="none" w:pos="689" w:val="left"/>
        </w:tabs>
        <w:numPr>
          <w:ilvl w:val="1"/>
          <w:numId w:val="346"/>
        </w:numPr>
        <w:rPr>
          <w:rFonts w:ascii="Arial" w:cs="Arial" w:eastAsia="Arial" w:hAnsi="Arial"/>
          <w:sz w:val="18"/>
          <w:szCs w:val="18"/>
          <w:b w:val="1"/>
          <w:bCs w:val="1"/>
          <w:color w:val="auto"/>
        </w:rPr>
      </w:pPr>
      <w:r>
        <w:rPr>
          <w:rFonts w:ascii="Arial" w:cs="Arial" w:eastAsia="Arial" w:hAnsi="Arial"/>
          <w:sz w:val="18"/>
          <w:szCs w:val="18"/>
          <w:color w:val="auto"/>
        </w:rPr>
        <w:t>Rights granted under the 423 Component are intended to be exempt from the application of Section 409A of the Code under U.S. Treasury Regulation Section 1.409A-1(b)(5)(ii). Purchase Rights granted under the Non-423 Component to U.S. taxpayers are intended to be exempt from the application of Section 409A of the Code under the short-term deferral exception or compliant with Section 409A of the Code and any ambiguities will be construed and interpreted in accordance with such intent.</w:t>
      </w:r>
    </w:p>
    <w:p>
      <w:pPr>
        <w:spacing w:after="0" w:line="190" w:lineRule="exact"/>
        <w:rPr>
          <w:rFonts w:ascii="Arial" w:cs="Arial" w:eastAsia="Arial" w:hAnsi="Arial"/>
          <w:sz w:val="18"/>
          <w:szCs w:val="18"/>
          <w:b w:val="1"/>
          <w:bCs w:val="1"/>
          <w:color w:val="auto"/>
        </w:rPr>
      </w:pPr>
    </w:p>
    <w:p>
      <w:pPr>
        <w:ind w:left="700" w:hanging="256"/>
        <w:spacing w:after="0"/>
        <w:tabs>
          <w:tab w:leader="none" w:pos="700" w:val="left"/>
        </w:tabs>
        <w:numPr>
          <w:ilvl w:val="1"/>
          <w:numId w:val="346"/>
        </w:numPr>
        <w:rPr>
          <w:rFonts w:ascii="Arial" w:cs="Arial" w:eastAsia="Arial" w:hAnsi="Arial"/>
          <w:sz w:val="17"/>
          <w:szCs w:val="17"/>
          <w:b w:val="1"/>
          <w:bCs w:val="1"/>
          <w:color w:val="auto"/>
        </w:rPr>
      </w:pPr>
      <w:r>
        <w:rPr>
          <w:rFonts w:ascii="Arial" w:cs="Arial" w:eastAsia="Arial" w:hAnsi="Arial"/>
          <w:sz w:val="17"/>
          <w:szCs w:val="17"/>
          <w:color w:val="auto"/>
        </w:rPr>
        <w:t>Although the Company may endeavor to (i) qualify a Purchase Right for special tax treatment under the laws of the United States or</w:t>
      </w:r>
    </w:p>
    <w:p>
      <w:pPr>
        <w:spacing w:after="0" w:line="31" w:lineRule="exact"/>
        <w:rPr>
          <w:rFonts w:ascii="Arial" w:cs="Arial" w:eastAsia="Arial" w:hAnsi="Arial"/>
          <w:sz w:val="17"/>
          <w:szCs w:val="17"/>
          <w:b w:val="1"/>
          <w:bCs w:val="1"/>
          <w:color w:val="auto"/>
        </w:rPr>
      </w:pPr>
    </w:p>
    <w:p>
      <w:pPr>
        <w:ind w:right="20"/>
        <w:spacing w:after="0" w:line="274" w:lineRule="auto"/>
        <w:rPr>
          <w:rFonts w:ascii="Arial" w:cs="Arial" w:eastAsia="Arial" w:hAnsi="Arial"/>
          <w:sz w:val="17"/>
          <w:szCs w:val="17"/>
          <w:b w:val="1"/>
          <w:bCs w:val="1"/>
          <w:color w:val="auto"/>
        </w:rPr>
      </w:pPr>
      <w:r>
        <w:rPr>
          <w:rFonts w:ascii="Arial" w:cs="Arial" w:eastAsia="Arial" w:hAnsi="Arial"/>
          <w:sz w:val="17"/>
          <w:szCs w:val="17"/>
          <w:color w:val="auto"/>
        </w:rPr>
        <w:t>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480" w:top="272" w:right="539" w:bottom="1440" w:gutter="0" w:footer="0" w:header="0"/>
        </w:sectPr>
      </w:pPr>
    </w:p>
    <w:bookmarkStart w:id="396" w:name="page397"/>
    <w:bookmarkEnd w:id="396"/>
    <w:p>
      <w:pPr>
        <w:ind w:firstLine="444"/>
        <w:spacing w:after="0" w:line="286" w:lineRule="auto"/>
        <w:tabs>
          <w:tab w:leader="none" w:pos="679" w:val="left"/>
        </w:tabs>
        <w:numPr>
          <w:ilvl w:val="1"/>
          <w:numId w:val="34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Participant will make adequate provision to satisfy the Tax-Related Items withholding obligations, if any, of the Company and/or the applicable Designated Company which arise with respect to Participant’s participation in the Plan or upon the disposition of the shares of the Common Stock. The Company and/or the Designated Company may, but will not be obligated to, withhold from the Participant’s compensation or any other payments due the Participant the amount necessary to meet such withholding obligations, withholding a sufficient whole number of shares of Common Stock issued following exercise having an aggregate value sufficient to pay the Tax-Related Items or withhold from the proceeds of the sale of shares of Common Stock, either through a voluntary sale or a mandatory sale arranged by the Company or any other method of withholding that the Company and/or the Designated Company deems appropriate. The Company and/or the Designated Company will have the right to take such other action as may be necessary in the opinion of the Company or a Designated Company to satisfy withholding and/or reporting obligations for such Tax-Related Items. The Company shall not be required to issue any shares of Common Stock under the Plan until such obligations are satisfied.</w:t>
      </w:r>
    </w:p>
    <w:p>
      <w:pPr>
        <w:spacing w:after="0" w:line="269" w:lineRule="exact"/>
        <w:rPr>
          <w:rFonts w:ascii="Arial" w:cs="Arial" w:eastAsia="Arial" w:hAnsi="Arial"/>
          <w:sz w:val="16"/>
          <w:szCs w:val="16"/>
          <w:b w:val="1"/>
          <w:bCs w:val="1"/>
          <w:color w:val="auto"/>
        </w:rPr>
      </w:pPr>
    </w:p>
    <w:p>
      <w:pPr>
        <w:ind w:left="280" w:hanging="273"/>
        <w:spacing w:after="0"/>
        <w:tabs>
          <w:tab w:leader="none" w:pos="28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8"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289" w:lineRule="exact"/>
        <w:rPr>
          <w:sz w:val="20"/>
          <w:szCs w:val="20"/>
          <w:color w:val="auto"/>
        </w:rPr>
      </w:pPr>
    </w:p>
    <w:p>
      <w:pPr>
        <w:ind w:left="280" w:hanging="273"/>
        <w:spacing w:after="0"/>
        <w:tabs>
          <w:tab w:leader="none" w:pos="28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00" w:hanging="256"/>
        <w:spacing w:after="0"/>
        <w:tabs>
          <w:tab w:leader="none" w:pos="700" w:val="left"/>
        </w:tabs>
        <w:numPr>
          <w:ilvl w:val="1"/>
          <w:numId w:val="349"/>
        </w:numPr>
        <w:rPr>
          <w:rFonts w:ascii="Arial" w:cs="Arial" w:eastAsia="Arial" w:hAnsi="Arial"/>
          <w:sz w:val="18"/>
          <w:szCs w:val="18"/>
          <w:b w:val="1"/>
          <w:bCs w:val="1"/>
          <w:color w:val="auto"/>
        </w:rPr>
      </w:pPr>
      <w:r>
        <w:rPr>
          <w:rFonts w:ascii="Arial" w:cs="Arial" w:eastAsia="Arial" w:hAnsi="Arial"/>
          <w:sz w:val="18"/>
          <w:szCs w:val="18"/>
          <w:color w:val="auto"/>
        </w:rPr>
        <w:t>Proceeds from the sale of shares of Common Stock pursuant to Purchase Rights will constitute general funds of the Company.</w:t>
      </w:r>
    </w:p>
    <w:p>
      <w:pPr>
        <w:spacing w:after="0" w:line="220" w:lineRule="exact"/>
        <w:rPr>
          <w:rFonts w:ascii="Arial" w:cs="Arial" w:eastAsia="Arial" w:hAnsi="Arial"/>
          <w:sz w:val="18"/>
          <w:szCs w:val="18"/>
          <w:b w:val="1"/>
          <w:bCs w:val="1"/>
          <w:color w:val="auto"/>
        </w:rPr>
      </w:pPr>
    </w:p>
    <w:p>
      <w:pPr>
        <w:ind w:right="100" w:firstLine="444"/>
        <w:spacing w:after="0" w:line="259" w:lineRule="auto"/>
        <w:tabs>
          <w:tab w:leader="none" w:pos="699" w:val="left"/>
        </w:tabs>
        <w:numPr>
          <w:ilvl w:val="1"/>
          <w:numId w:val="349"/>
        </w:numPr>
        <w:rPr>
          <w:rFonts w:ascii="Arial" w:cs="Arial" w:eastAsia="Arial" w:hAnsi="Arial"/>
          <w:sz w:val="18"/>
          <w:szCs w:val="18"/>
          <w:b w:val="1"/>
          <w:bCs w:val="1"/>
          <w:color w:val="auto"/>
        </w:rPr>
      </w:pPr>
      <w:r>
        <w:rPr>
          <w:rFonts w:ascii="Arial" w:cs="Arial" w:eastAsia="Arial" w:hAnsi="Arial"/>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85" w:lineRule="exact"/>
        <w:rPr>
          <w:rFonts w:ascii="Arial" w:cs="Arial" w:eastAsia="Arial" w:hAnsi="Arial"/>
          <w:sz w:val="18"/>
          <w:szCs w:val="18"/>
          <w:b w:val="1"/>
          <w:bCs w:val="1"/>
          <w:color w:val="auto"/>
        </w:rPr>
      </w:pPr>
    </w:p>
    <w:p>
      <w:pPr>
        <w:ind w:right="20" w:firstLine="444"/>
        <w:spacing w:after="0" w:line="255" w:lineRule="auto"/>
        <w:tabs>
          <w:tab w:leader="none" w:pos="679" w:val="left"/>
        </w:tabs>
        <w:numPr>
          <w:ilvl w:val="1"/>
          <w:numId w:val="349"/>
        </w:numPr>
        <w:rPr>
          <w:rFonts w:ascii="Arial" w:cs="Arial" w:eastAsia="Arial" w:hAnsi="Arial"/>
          <w:sz w:val="18"/>
          <w:szCs w:val="18"/>
          <w:b w:val="1"/>
          <w:bCs w:val="1"/>
          <w:color w:val="auto"/>
        </w:rPr>
      </w:pPr>
      <w:r>
        <w:rPr>
          <w:rFonts w:ascii="Arial" w:cs="Arial" w:eastAsia="Arial" w:hAnsi="Arial"/>
          <w:sz w:val="18"/>
          <w:szCs w:val="18"/>
          <w:color w:val="auto"/>
        </w:rPr>
        <w:t>The Plan and Offering do not constitute an employment contract. Nothing in the Plan or in the Offering will in any way alter the at will nature of a Participant’s employment or be deemed to create in any way whatsoever any obligation on the part of any Participant to continue in the employ of the Company, a Related Corporation or an Affiliate, or on the part of the Company, a Related Corporation or an Affiliate to continue the employment of a Participant.</w:t>
      </w:r>
    </w:p>
    <w:p>
      <w:pPr>
        <w:spacing w:after="0" w:line="190" w:lineRule="exact"/>
        <w:rPr>
          <w:rFonts w:ascii="Arial" w:cs="Arial" w:eastAsia="Arial" w:hAnsi="Arial"/>
          <w:sz w:val="18"/>
          <w:szCs w:val="18"/>
          <w:b w:val="1"/>
          <w:bCs w:val="1"/>
          <w:color w:val="auto"/>
        </w:rPr>
      </w:pPr>
    </w:p>
    <w:p>
      <w:pPr>
        <w:ind w:left="700" w:hanging="256"/>
        <w:spacing w:after="0"/>
        <w:tabs>
          <w:tab w:leader="none" w:pos="700" w:val="left"/>
        </w:tabs>
        <w:numPr>
          <w:ilvl w:val="1"/>
          <w:numId w:val="349"/>
        </w:numPr>
        <w:rPr>
          <w:rFonts w:ascii="Arial" w:cs="Arial" w:eastAsia="Arial" w:hAnsi="Arial"/>
          <w:sz w:val="17"/>
          <w:szCs w:val="17"/>
          <w:b w:val="1"/>
          <w:bCs w:val="1"/>
          <w:color w:val="auto"/>
        </w:rPr>
      </w:pPr>
      <w:r>
        <w:rPr>
          <w:rFonts w:ascii="Arial" w:cs="Arial" w:eastAsia="Arial" w:hAnsi="Arial"/>
          <w:sz w:val="17"/>
          <w:szCs w:val="17"/>
          <w:color w:val="auto"/>
        </w:rPr>
        <w:t>The provisions of the Plan will be governed by the laws of the State of Delaware without resort to that state’s conflict of laws rules.</w:t>
      </w:r>
    </w:p>
    <w:p>
      <w:pPr>
        <w:spacing w:after="0" w:line="335" w:lineRule="exact"/>
        <w:rPr>
          <w:rFonts w:ascii="Arial" w:cs="Arial" w:eastAsia="Arial" w:hAnsi="Arial"/>
          <w:sz w:val="17"/>
          <w:szCs w:val="17"/>
          <w:b w:val="1"/>
          <w:bCs w:val="1"/>
          <w:color w:val="auto"/>
        </w:rPr>
      </w:pPr>
    </w:p>
    <w:p>
      <w:pPr>
        <w:ind w:left="280" w:hanging="273"/>
        <w:spacing w:after="0"/>
        <w:tabs>
          <w:tab w:leader="none" w:pos="28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the Plan, the following definitions will apply to the capitalized terms indicated below:</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480" w:top="272" w:right="559" w:bottom="1440" w:gutter="0" w:footer="0" w:header="0"/>
        </w:sectPr>
      </w:pPr>
    </w:p>
    <w:bookmarkStart w:id="397" w:name="page398"/>
    <w:bookmarkEnd w:id="397"/>
    <w:p>
      <w:pPr>
        <w:ind w:left="-60" w:right="300" w:firstLine="444"/>
        <w:spacing w:after="0" w:line="271" w:lineRule="auto"/>
        <w:tabs>
          <w:tab w:leader="none" w:pos="629" w:val="left"/>
        </w:tabs>
        <w:numPr>
          <w:ilvl w:val="0"/>
          <w:numId w:val="35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423 Component</w:t>
      </w:r>
      <w:r>
        <w:rPr>
          <w:rFonts w:ascii="Arial" w:cs="Arial" w:eastAsia="Arial" w:hAnsi="Arial"/>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174" w:lineRule="exact"/>
        <w:rPr>
          <w:rFonts w:ascii="Arial" w:cs="Arial" w:eastAsia="Arial" w:hAnsi="Arial"/>
          <w:sz w:val="18"/>
          <w:szCs w:val="18"/>
          <w:b w:val="1"/>
          <w:bCs w:val="1"/>
          <w:color w:val="auto"/>
        </w:rPr>
      </w:pPr>
    </w:p>
    <w:p>
      <w:pPr>
        <w:ind w:left="-60" w:right="220" w:firstLine="444"/>
        <w:spacing w:after="0" w:line="259" w:lineRule="auto"/>
        <w:tabs>
          <w:tab w:leader="none" w:pos="639" w:val="left"/>
        </w:tabs>
        <w:numPr>
          <w:ilvl w:val="0"/>
          <w:numId w:val="3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other than a Related Corporation, in which the Company has an equity or other ownership interest or that is directly or indirectly controlled by, controls, or is under common control with the Company, in all cases, as determined by the Board, whether now or hereafter existing.</w:t>
      </w:r>
    </w:p>
    <w:p>
      <w:pPr>
        <w:spacing w:after="0" w:line="185" w:lineRule="exact"/>
        <w:rPr>
          <w:rFonts w:ascii="Arial" w:cs="Arial" w:eastAsia="Arial" w:hAnsi="Arial"/>
          <w:sz w:val="18"/>
          <w:szCs w:val="18"/>
          <w:b w:val="1"/>
          <w:bCs w:val="1"/>
          <w:color w:val="auto"/>
        </w:rPr>
      </w:pPr>
    </w:p>
    <w:p>
      <w:pPr>
        <w:ind w:left="620" w:hanging="236"/>
        <w:spacing w:after="0"/>
        <w:tabs>
          <w:tab w:leader="none" w:pos="620" w:val="left"/>
        </w:tabs>
        <w:numPr>
          <w:ilvl w:val="0"/>
          <w:numId w:val="3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0" w:lineRule="exact"/>
        <w:rPr>
          <w:rFonts w:ascii="Arial" w:cs="Arial" w:eastAsia="Arial" w:hAnsi="Arial"/>
          <w:sz w:val="18"/>
          <w:szCs w:val="18"/>
          <w:b w:val="1"/>
          <w:bCs w:val="1"/>
          <w:color w:val="auto"/>
        </w:rPr>
      </w:pPr>
    </w:p>
    <w:p>
      <w:pPr>
        <w:ind w:left="-60" w:right="40" w:firstLine="444"/>
        <w:spacing w:after="0" w:line="290" w:lineRule="auto"/>
        <w:tabs>
          <w:tab w:leader="none" w:pos="639" w:val="left"/>
        </w:tabs>
        <w:numPr>
          <w:ilvl w:val="0"/>
          <w:numId w:val="35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3" w:lineRule="exact"/>
        <w:rPr>
          <w:rFonts w:ascii="Arial" w:cs="Arial" w:eastAsia="Arial" w:hAnsi="Arial"/>
          <w:sz w:val="16"/>
          <w:szCs w:val="16"/>
          <w:b w:val="1"/>
          <w:bCs w:val="1"/>
          <w:color w:val="auto"/>
        </w:rPr>
      </w:pPr>
    </w:p>
    <w:p>
      <w:pPr>
        <w:ind w:left="620" w:hanging="236"/>
        <w:spacing w:after="0"/>
        <w:tabs>
          <w:tab w:leader="none" w:pos="620" w:val="left"/>
        </w:tabs>
        <w:numPr>
          <w:ilvl w:val="0"/>
          <w:numId w:val="3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r>
        <w:rPr>
          <w:rFonts w:ascii="Arial" w:cs="Arial" w:eastAsia="Arial" w:hAnsi="Arial"/>
          <w:sz w:val="18"/>
          <w:szCs w:val="18"/>
          <w:i w:val="1"/>
          <w:iCs w:val="1"/>
          <w:color w:val="auto"/>
        </w:rPr>
        <w:t>.</w:t>
      </w:r>
    </w:p>
    <w:p>
      <w:pPr>
        <w:spacing w:after="0" w:line="220" w:lineRule="exact"/>
        <w:rPr>
          <w:rFonts w:ascii="Arial" w:cs="Arial" w:eastAsia="Arial" w:hAnsi="Arial"/>
          <w:sz w:val="18"/>
          <w:szCs w:val="18"/>
          <w:b w:val="1"/>
          <w:bCs w:val="1"/>
          <w:color w:val="auto"/>
        </w:rPr>
      </w:pPr>
    </w:p>
    <w:p>
      <w:pPr>
        <w:ind w:left="-60" w:firstLine="444"/>
        <w:spacing w:after="0" w:line="271" w:lineRule="auto"/>
        <w:tabs>
          <w:tab w:leader="none" w:pos="599" w:val="left"/>
        </w:tabs>
        <w:numPr>
          <w:ilvl w:val="0"/>
          <w:numId w:val="3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members of the Board to whom authority has been delegated by the Board in accordance with Section 2(c).</w:t>
      </w:r>
    </w:p>
    <w:p>
      <w:pPr>
        <w:spacing w:after="0" w:line="174" w:lineRule="exact"/>
        <w:rPr>
          <w:rFonts w:ascii="Arial" w:cs="Arial" w:eastAsia="Arial" w:hAnsi="Arial"/>
          <w:sz w:val="18"/>
          <w:szCs w:val="18"/>
          <w:b w:val="1"/>
          <w:bCs w:val="1"/>
          <w:color w:val="auto"/>
        </w:rPr>
      </w:pPr>
    </w:p>
    <w:p>
      <w:pPr>
        <w:ind w:left="640" w:hanging="256"/>
        <w:spacing w:after="0"/>
        <w:tabs>
          <w:tab w:leader="none" w:pos="640" w:val="left"/>
        </w:tabs>
        <w:numPr>
          <w:ilvl w:val="0"/>
          <w:numId w:val="3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as of the IPO Date, the Class A Common Stock of the Company.</w:t>
      </w:r>
    </w:p>
    <w:p>
      <w:pPr>
        <w:spacing w:after="0" w:line="220" w:lineRule="exact"/>
        <w:rPr>
          <w:rFonts w:ascii="Arial" w:cs="Arial" w:eastAsia="Arial" w:hAnsi="Arial"/>
          <w:sz w:val="18"/>
          <w:szCs w:val="18"/>
          <w:b w:val="1"/>
          <w:bCs w:val="1"/>
          <w:color w:val="auto"/>
        </w:rPr>
      </w:pPr>
    </w:p>
    <w:p>
      <w:pPr>
        <w:ind w:left="640" w:hanging="256"/>
        <w:spacing w:after="0"/>
        <w:tabs>
          <w:tab w:leader="none" w:pos="640" w:val="left"/>
        </w:tabs>
        <w:numPr>
          <w:ilvl w:val="0"/>
          <w:numId w:val="3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Vera Therapeutics, Inc., a Delaware corporation.</w:t>
      </w:r>
    </w:p>
    <w:p>
      <w:pPr>
        <w:spacing w:after="0" w:line="220" w:lineRule="exact"/>
        <w:rPr>
          <w:rFonts w:ascii="Arial" w:cs="Arial" w:eastAsia="Arial" w:hAnsi="Arial"/>
          <w:sz w:val="18"/>
          <w:szCs w:val="18"/>
          <w:b w:val="1"/>
          <w:bCs w:val="1"/>
          <w:color w:val="auto"/>
        </w:rPr>
      </w:pPr>
    </w:p>
    <w:p>
      <w:pPr>
        <w:ind w:left="-60" w:right="120" w:firstLine="444"/>
        <w:spacing w:after="0" w:line="255" w:lineRule="auto"/>
        <w:tabs>
          <w:tab w:leader="none" w:pos="589"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the payroll deductions and other additional payments specifically provided for in the Offering that a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90" w:lineRule="exact"/>
        <w:rPr>
          <w:rFonts w:ascii="Arial" w:cs="Arial" w:eastAsia="Arial" w:hAnsi="Arial"/>
          <w:sz w:val="18"/>
          <w:szCs w:val="18"/>
          <w:b w:val="1"/>
          <w:bCs w:val="1"/>
          <w:color w:val="auto"/>
        </w:rPr>
      </w:pPr>
    </w:p>
    <w:p>
      <w:pPr>
        <w:ind w:left="-60" w:right="400" w:firstLine="444"/>
        <w:spacing w:after="0" w:line="271" w:lineRule="auto"/>
        <w:tabs>
          <w:tab w:leader="none" w:pos="599" w:val="left"/>
        </w:tabs>
        <w:numPr>
          <w:ilvl w:val="0"/>
          <w:numId w:val="3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74" w:lineRule="exact"/>
        <w:rPr>
          <w:rFonts w:ascii="Arial" w:cs="Arial" w:eastAsia="Arial" w:hAnsi="Arial"/>
          <w:sz w:val="18"/>
          <w:szCs w:val="18"/>
          <w:b w:val="1"/>
          <w:bCs w:val="1"/>
          <w:color w:val="auto"/>
        </w:rPr>
      </w:pPr>
    </w:p>
    <w:p>
      <w:pPr>
        <w:ind w:left="-60" w:right="180" w:firstLine="990"/>
        <w:spacing w:after="0" w:line="271" w:lineRule="auto"/>
        <w:tabs>
          <w:tab w:leader="none" w:pos="1135" w:val="left"/>
        </w:tabs>
        <w:numPr>
          <w:ilvl w:val="1"/>
          <w:numId w:val="350"/>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4" w:lineRule="exact"/>
        <w:rPr>
          <w:rFonts w:ascii="Arial" w:cs="Arial" w:eastAsia="Arial" w:hAnsi="Arial"/>
          <w:sz w:val="18"/>
          <w:szCs w:val="18"/>
          <w:b w:val="1"/>
          <w:bCs w:val="1"/>
          <w:color w:val="auto"/>
        </w:rPr>
      </w:pPr>
    </w:p>
    <w:p>
      <w:pPr>
        <w:ind w:left="1200" w:hanging="270"/>
        <w:spacing w:after="0"/>
        <w:tabs>
          <w:tab w:leader="none" w:pos="1200" w:val="left"/>
        </w:tabs>
        <w:numPr>
          <w:ilvl w:val="1"/>
          <w:numId w:val="350"/>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20"/>
          </w:cols>
          <w:pgMar w:left="540" w:top="272" w:right="539" w:bottom="1440" w:gutter="0" w:footer="0" w:header="0"/>
        </w:sectPr>
      </w:pPr>
    </w:p>
    <w:bookmarkStart w:id="398" w:name="page399"/>
    <w:bookmarkEnd w:id="398"/>
    <w:p>
      <w:pPr>
        <w:ind w:left="1280" w:hanging="310"/>
        <w:spacing w:after="0"/>
        <w:tabs>
          <w:tab w:leader="none" w:pos="1280" w:val="left"/>
        </w:tabs>
        <w:numPr>
          <w:ilvl w:val="1"/>
          <w:numId w:val="35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 merger, consolidation or similar transaction following which the Company is not the surviving corporation; or</w:t>
      </w:r>
    </w:p>
    <w:p>
      <w:pPr>
        <w:spacing w:after="0" w:line="220" w:lineRule="exact"/>
        <w:rPr>
          <w:rFonts w:ascii="Arial" w:cs="Arial" w:eastAsia="Arial" w:hAnsi="Arial"/>
          <w:sz w:val="18"/>
          <w:szCs w:val="18"/>
          <w:b w:val="1"/>
          <w:bCs w:val="1"/>
          <w:color w:val="auto"/>
        </w:rPr>
      </w:pPr>
    </w:p>
    <w:p>
      <w:pPr>
        <w:ind w:left="-20" w:right="240" w:firstLine="990"/>
        <w:spacing w:after="0" w:line="259" w:lineRule="auto"/>
        <w:tabs>
          <w:tab w:leader="none" w:pos="1264" w:val="left"/>
        </w:tabs>
        <w:numPr>
          <w:ilvl w:val="1"/>
          <w:numId w:val="351"/>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5" w:lineRule="exact"/>
        <w:rPr>
          <w:rFonts w:ascii="Arial" w:cs="Arial" w:eastAsia="Arial" w:hAnsi="Arial"/>
          <w:sz w:val="18"/>
          <w:szCs w:val="18"/>
          <w:b w:val="1"/>
          <w:bCs w:val="1"/>
          <w:color w:val="auto"/>
        </w:rPr>
      </w:pPr>
    </w:p>
    <w:p>
      <w:pPr>
        <w:ind w:left="680" w:hanging="256"/>
        <w:spacing w:after="0"/>
        <w:tabs>
          <w:tab w:leader="none" w:pos="680"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423 Company</w:t>
      </w:r>
      <w:r>
        <w:rPr>
          <w:rFonts w:ascii="Arial" w:cs="Arial" w:eastAsia="Arial" w:hAnsi="Arial"/>
          <w:sz w:val="18"/>
          <w:szCs w:val="18"/>
          <w:color w:val="auto"/>
        </w:rPr>
        <w:t>” means any Related Corporation selected by the Board as participating in the 423 Component.</w:t>
      </w:r>
    </w:p>
    <w:p>
      <w:pPr>
        <w:spacing w:after="0" w:line="220" w:lineRule="exact"/>
        <w:rPr>
          <w:rFonts w:ascii="Arial" w:cs="Arial" w:eastAsia="Arial" w:hAnsi="Arial"/>
          <w:sz w:val="18"/>
          <w:szCs w:val="18"/>
          <w:b w:val="1"/>
          <w:bCs w:val="1"/>
          <w:color w:val="auto"/>
        </w:rPr>
      </w:pPr>
    </w:p>
    <w:p>
      <w:pPr>
        <w:ind w:left="-20" w:firstLine="444"/>
        <w:spacing w:after="0" w:line="335" w:lineRule="auto"/>
        <w:tabs>
          <w:tab w:leader="none" w:pos="629" w:val="left"/>
        </w:tabs>
        <w:numPr>
          <w:ilvl w:val="0"/>
          <w:numId w:val="35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Designated Company</w:t>
      </w:r>
      <w:r>
        <w:rPr>
          <w:rFonts w:ascii="Arial" w:cs="Arial" w:eastAsia="Arial" w:hAnsi="Arial"/>
          <w:sz w:val="16"/>
          <w:szCs w:val="16"/>
          <w:color w:val="auto"/>
        </w:rPr>
        <w:t>” means any Designated Non-423 Corporation or Designated 423 Company, provided, however, that at any given time, a Related Corporation participating in the 423 Component shall not be a Related Corporation participating in the Non-423 Component.</w:t>
      </w:r>
    </w:p>
    <w:p>
      <w:pPr>
        <w:spacing w:after="0" w:line="128" w:lineRule="exact"/>
        <w:rPr>
          <w:rFonts w:ascii="Arial" w:cs="Arial" w:eastAsia="Arial" w:hAnsi="Arial"/>
          <w:sz w:val="16"/>
          <w:szCs w:val="16"/>
          <w:b w:val="1"/>
          <w:bCs w:val="1"/>
          <w:color w:val="auto"/>
        </w:rPr>
      </w:pPr>
    </w:p>
    <w:p>
      <w:pPr>
        <w:ind w:left="-20" w:right="760" w:firstLine="444"/>
        <w:spacing w:after="0" w:line="271" w:lineRule="auto"/>
        <w:tabs>
          <w:tab w:leader="none" w:pos="728"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Non-423 Company</w:t>
      </w:r>
      <w:r>
        <w:rPr>
          <w:rFonts w:ascii="Arial" w:cs="Arial" w:eastAsia="Arial" w:hAnsi="Arial"/>
          <w:sz w:val="18"/>
          <w:szCs w:val="18"/>
          <w:color w:val="auto"/>
        </w:rPr>
        <w:t>” means any Related Corporation or Affiliate selected by the Board as participating in the Non-423 Component.</w:t>
      </w:r>
    </w:p>
    <w:p>
      <w:pPr>
        <w:spacing w:after="0" w:line="174" w:lineRule="exact"/>
        <w:rPr>
          <w:rFonts w:ascii="Arial" w:cs="Arial" w:eastAsia="Arial" w:hAnsi="Arial"/>
          <w:sz w:val="18"/>
          <w:szCs w:val="18"/>
          <w:b w:val="1"/>
          <w:bCs w:val="1"/>
          <w:color w:val="auto"/>
        </w:rPr>
      </w:pPr>
    </w:p>
    <w:p>
      <w:pPr>
        <w:ind w:left="680" w:hanging="256"/>
        <w:spacing w:after="0"/>
        <w:tabs>
          <w:tab w:leader="none" w:pos="680"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0" w:lineRule="exact"/>
        <w:rPr>
          <w:rFonts w:ascii="Arial" w:cs="Arial" w:eastAsia="Arial" w:hAnsi="Arial"/>
          <w:sz w:val="18"/>
          <w:szCs w:val="18"/>
          <w:b w:val="1"/>
          <w:bCs w:val="1"/>
          <w:color w:val="auto"/>
        </w:rPr>
      </w:pPr>
    </w:p>
    <w:p>
      <w:pPr>
        <w:ind w:left="-20" w:right="320" w:firstLine="444"/>
        <w:spacing w:after="0" w:line="335" w:lineRule="auto"/>
        <w:tabs>
          <w:tab w:leader="none" w:pos="669" w:val="left"/>
        </w:tabs>
        <w:numPr>
          <w:ilvl w:val="0"/>
          <w:numId w:val="35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28" w:lineRule="exact"/>
        <w:rPr>
          <w:rFonts w:ascii="Arial" w:cs="Arial" w:eastAsia="Arial" w:hAnsi="Arial"/>
          <w:sz w:val="16"/>
          <w:szCs w:val="16"/>
          <w:b w:val="1"/>
          <w:bCs w:val="1"/>
          <w:color w:val="auto"/>
        </w:rPr>
      </w:pPr>
    </w:p>
    <w:p>
      <w:pPr>
        <w:ind w:left="-20" w:right="100" w:firstLine="444"/>
        <w:spacing w:after="0" w:line="259" w:lineRule="auto"/>
        <w:tabs>
          <w:tab w:leader="none" w:pos="679"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185" w:lineRule="exact"/>
        <w:rPr>
          <w:rFonts w:ascii="Arial" w:cs="Arial" w:eastAsia="Arial" w:hAnsi="Arial"/>
          <w:sz w:val="18"/>
          <w:szCs w:val="18"/>
          <w:b w:val="1"/>
          <w:bCs w:val="1"/>
          <w:color w:val="auto"/>
        </w:rPr>
      </w:pPr>
    </w:p>
    <w:p>
      <w:pPr>
        <w:ind w:left="-20" w:right="100" w:firstLine="444"/>
        <w:spacing w:after="0" w:line="271" w:lineRule="auto"/>
        <w:tabs>
          <w:tab w:leader="none" w:pos="679"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 means a plan that grants Purchase Rights intended to be options issued under an “employee stock purchase plan,” as that term is defined in Section 423(b) of the Code.</w:t>
      </w:r>
    </w:p>
    <w:p>
      <w:pPr>
        <w:spacing w:after="0" w:line="174" w:lineRule="exact"/>
        <w:rPr>
          <w:rFonts w:ascii="Arial" w:cs="Arial" w:eastAsia="Arial" w:hAnsi="Arial"/>
          <w:sz w:val="18"/>
          <w:szCs w:val="18"/>
          <w:b w:val="1"/>
          <w:bCs w:val="1"/>
          <w:color w:val="auto"/>
        </w:rPr>
      </w:pPr>
    </w:p>
    <w:p>
      <w:pPr>
        <w:ind w:left="660" w:hanging="236"/>
        <w:spacing w:after="0"/>
        <w:tabs>
          <w:tab w:leader="none" w:pos="660" w:val="left"/>
        </w:tabs>
        <w:numPr>
          <w:ilvl w:val="0"/>
          <w:numId w:val="35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2" w:lineRule="exact"/>
        <w:rPr>
          <w:rFonts w:ascii="Arial" w:cs="Arial" w:eastAsia="Arial" w:hAnsi="Arial"/>
          <w:sz w:val="17"/>
          <w:szCs w:val="17"/>
          <w:b w:val="1"/>
          <w:bCs w:val="1"/>
          <w:color w:val="auto"/>
        </w:rPr>
      </w:pPr>
    </w:p>
    <w:p>
      <w:pPr>
        <w:ind w:left="660" w:hanging="236"/>
        <w:spacing w:after="0"/>
        <w:tabs>
          <w:tab w:leader="none" w:pos="660"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220" w:lineRule="exact"/>
        <w:rPr>
          <w:rFonts w:ascii="Arial" w:cs="Arial" w:eastAsia="Arial" w:hAnsi="Arial"/>
          <w:sz w:val="18"/>
          <w:szCs w:val="18"/>
          <w:b w:val="1"/>
          <w:bCs w:val="1"/>
          <w:color w:val="auto"/>
        </w:rPr>
      </w:pPr>
    </w:p>
    <w:p>
      <w:pPr>
        <w:ind w:left="-20" w:right="120" w:firstLine="990"/>
        <w:spacing w:after="0" w:line="293" w:lineRule="auto"/>
        <w:tabs>
          <w:tab w:leader="none" w:pos="1175" w:val="left"/>
        </w:tabs>
        <w:numPr>
          <w:ilvl w:val="1"/>
          <w:numId w:val="352"/>
        </w:numPr>
        <w:rPr>
          <w:rFonts w:ascii="Arial" w:cs="Arial" w:eastAsia="Arial" w:hAnsi="Arial"/>
          <w:sz w:val="16"/>
          <w:szCs w:val="16"/>
          <w:b w:val="1"/>
          <w:bCs w:val="1"/>
          <w:color w:val="auto"/>
        </w:rPr>
      </w:pPr>
      <w:r>
        <w:rPr>
          <w:rFonts w:ascii="Arial" w:cs="Arial" w:eastAsia="Arial" w:hAnsi="Arial"/>
          <w:sz w:val="16"/>
          <w:szCs w:val="16"/>
          <w:color w:val="auto"/>
        </w:rPr>
        <w:t xml:space="preserve">If the Common Stock is listed on any established stock exchange or traded on any established market, the Fair Market Value of a share of Common Stock will be, unless otherwise determined by the Board, the </w:t>
      </w:r>
      <w:r>
        <w:rPr>
          <w:rFonts w:ascii="Arial" w:cs="Arial" w:eastAsia="Arial" w:hAnsi="Arial"/>
          <w:sz w:val="16"/>
          <w:szCs w:val="16"/>
          <w:b w:val="1"/>
          <w:bCs w:val="1"/>
          <w:u w:val="single" w:color="auto"/>
          <w:color w:val="auto"/>
        </w:rPr>
        <w:t>closing sales price</w:t>
      </w:r>
      <w:r>
        <w:rPr>
          <w:rFonts w:ascii="Arial" w:cs="Arial" w:eastAsia="Arial" w:hAnsi="Arial"/>
          <w:sz w:val="16"/>
          <w:szCs w:val="16"/>
          <w:color w:val="auto"/>
        </w:rPr>
        <w:t xml:space="preserve"> for such stock as quoted on such exchange or market (or the exchange or market with the greatest volume of trading in the Common Stock) </w:t>
      </w:r>
      <w:r>
        <w:rPr>
          <w:rFonts w:ascii="Arial" w:cs="Arial" w:eastAsia="Arial" w:hAnsi="Arial"/>
          <w:sz w:val="16"/>
          <w:szCs w:val="16"/>
          <w:b w:val="1"/>
          <w:bCs w:val="1"/>
          <w:u w:val="single" w:color="auto"/>
          <w:color w:val="auto"/>
        </w:rPr>
        <w:t>on the date of determination</w:t>
      </w:r>
      <w:r>
        <w:rPr>
          <w:rFonts w:ascii="Arial" w:cs="Arial" w:eastAsia="Arial" w:hAnsi="Arial"/>
          <w:sz w:val="16"/>
          <w:szCs w:val="16"/>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500" w:top="272" w:right="499" w:bottom="1440" w:gutter="0" w:footer="0" w:header="0"/>
        </w:sectPr>
      </w:pPr>
    </w:p>
    <w:bookmarkStart w:id="399" w:name="page400"/>
    <w:bookmarkEnd w:id="399"/>
    <w:p>
      <w:pPr>
        <w:ind w:left="-20" w:right="640" w:firstLine="990"/>
        <w:spacing w:after="0" w:line="271" w:lineRule="auto"/>
        <w:tabs>
          <w:tab w:leader="none" w:pos="1225" w:val="left"/>
        </w:tabs>
        <w:numPr>
          <w:ilvl w:val="1"/>
          <w:numId w:val="35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absence of such markets for the Common Stock, the Fair Market Value will be determined by the Board in good faith in compliance with applicable laws and in a manner that complies with Sections 409A of the Code.</w:t>
      </w:r>
    </w:p>
    <w:p>
      <w:pPr>
        <w:spacing w:after="0" w:line="174" w:lineRule="exact"/>
        <w:rPr>
          <w:rFonts w:ascii="Arial" w:cs="Arial" w:eastAsia="Arial" w:hAnsi="Arial"/>
          <w:sz w:val="18"/>
          <w:szCs w:val="18"/>
          <w:b w:val="1"/>
          <w:bCs w:val="1"/>
          <w:color w:val="auto"/>
        </w:rPr>
      </w:pPr>
    </w:p>
    <w:p>
      <w:pPr>
        <w:ind w:left="-20" w:right="120" w:firstLine="990"/>
        <w:spacing w:after="0" w:line="259" w:lineRule="auto"/>
        <w:tabs>
          <w:tab w:leader="none" w:pos="1274" w:val="left"/>
        </w:tabs>
        <w:numPr>
          <w:ilvl w:val="1"/>
          <w:numId w:val="353"/>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185" w:lineRule="exact"/>
        <w:rPr>
          <w:rFonts w:ascii="Arial" w:cs="Arial" w:eastAsia="Arial" w:hAnsi="Arial"/>
          <w:sz w:val="18"/>
          <w:szCs w:val="18"/>
          <w:b w:val="1"/>
          <w:bCs w:val="1"/>
          <w:color w:val="auto"/>
        </w:rPr>
      </w:pPr>
    </w:p>
    <w:p>
      <w:pPr>
        <w:ind w:left="-20" w:right="40" w:firstLine="444"/>
        <w:spacing w:after="0" w:line="271" w:lineRule="auto"/>
        <w:tabs>
          <w:tab w:leader="none" w:pos="639"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74" w:lineRule="exact"/>
        <w:rPr>
          <w:rFonts w:ascii="Arial" w:cs="Arial" w:eastAsia="Arial" w:hAnsi="Arial"/>
          <w:sz w:val="18"/>
          <w:szCs w:val="18"/>
          <w:b w:val="1"/>
          <w:bCs w:val="1"/>
          <w:color w:val="auto"/>
        </w:rPr>
      </w:pPr>
    </w:p>
    <w:p>
      <w:pPr>
        <w:ind w:left="-20" w:right="580" w:firstLine="444"/>
        <w:spacing w:after="0" w:line="301" w:lineRule="auto"/>
        <w:tabs>
          <w:tab w:leader="none" w:pos="679" w:val="left"/>
        </w:tabs>
        <w:numPr>
          <w:ilvl w:val="0"/>
          <w:numId w:val="354"/>
        </w:numPr>
        <w:rPr>
          <w:rFonts w:ascii="Arial" w:cs="Arial" w:eastAsia="Arial" w:hAnsi="Arial"/>
          <w:sz w:val="17"/>
          <w:szCs w:val="17"/>
          <w:b w:val="1"/>
          <w:bCs w:val="1"/>
          <w:color w:val="auto"/>
        </w:rPr>
      </w:pPr>
      <w:r>
        <w:rPr>
          <w:rFonts w:ascii="Arial" w:cs="Arial" w:eastAsia="Arial" w:hAnsi="Arial"/>
          <w:sz w:val="17"/>
          <w:szCs w:val="17"/>
          <w:color w:val="auto"/>
        </w:rPr>
        <w:t>“Non-423 Component” means the part of the Plan, which excludes the 423 Component, pursuant to which Purchase Rights that are not intended to satisfy the requirements for an Employee Stock Purchase Plan may be granted to Eligible Employees.</w:t>
      </w:r>
    </w:p>
    <w:p>
      <w:pPr>
        <w:spacing w:after="0" w:line="151" w:lineRule="exact"/>
        <w:rPr>
          <w:rFonts w:ascii="Arial" w:cs="Arial" w:eastAsia="Arial" w:hAnsi="Arial"/>
          <w:sz w:val="17"/>
          <w:szCs w:val="17"/>
          <w:b w:val="1"/>
          <w:bCs w:val="1"/>
          <w:color w:val="auto"/>
        </w:rPr>
      </w:pPr>
    </w:p>
    <w:p>
      <w:pPr>
        <w:jc w:val="both"/>
        <w:ind w:left="-20" w:right="160" w:firstLine="444"/>
        <w:spacing w:after="0" w:line="259" w:lineRule="auto"/>
        <w:tabs>
          <w:tab w:leader="none" w:pos="669"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approved by the Board for that Offering.</w:t>
      </w:r>
    </w:p>
    <w:p>
      <w:pPr>
        <w:spacing w:after="0" w:line="185" w:lineRule="exact"/>
        <w:rPr>
          <w:rFonts w:ascii="Arial" w:cs="Arial" w:eastAsia="Arial" w:hAnsi="Arial"/>
          <w:sz w:val="18"/>
          <w:szCs w:val="18"/>
          <w:b w:val="1"/>
          <w:bCs w:val="1"/>
          <w:color w:val="auto"/>
        </w:rPr>
      </w:pPr>
    </w:p>
    <w:p>
      <w:pPr>
        <w:ind w:left="720" w:hanging="296"/>
        <w:spacing w:after="0"/>
        <w:tabs>
          <w:tab w:leader="none" w:pos="720"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means a date selected by the Board for an Offering to commence.</w:t>
      </w:r>
    </w:p>
    <w:p>
      <w:pPr>
        <w:spacing w:after="0" w:line="220" w:lineRule="exact"/>
        <w:rPr>
          <w:rFonts w:ascii="Arial" w:cs="Arial" w:eastAsia="Arial" w:hAnsi="Arial"/>
          <w:sz w:val="18"/>
          <w:szCs w:val="18"/>
          <w:b w:val="1"/>
          <w:bCs w:val="1"/>
          <w:color w:val="auto"/>
        </w:rPr>
      </w:pPr>
    </w:p>
    <w:p>
      <w:pPr>
        <w:ind w:left="680" w:hanging="256"/>
        <w:spacing w:after="0"/>
        <w:tabs>
          <w:tab w:leader="none" w:pos="680" w:val="left"/>
        </w:tabs>
        <w:numPr>
          <w:ilvl w:val="0"/>
          <w:numId w:val="35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 person who is an officer of the Company or a Related Corporation within the meaning of Section 16 of the Exchange Act.</w:t>
      </w:r>
    </w:p>
    <w:p>
      <w:pPr>
        <w:spacing w:after="0" w:line="243" w:lineRule="exact"/>
        <w:rPr>
          <w:rFonts w:ascii="Arial" w:cs="Arial" w:eastAsia="Arial" w:hAnsi="Arial"/>
          <w:sz w:val="16"/>
          <w:szCs w:val="16"/>
          <w:b w:val="1"/>
          <w:bCs w:val="1"/>
          <w:color w:val="auto"/>
        </w:rPr>
      </w:pPr>
    </w:p>
    <w:p>
      <w:pPr>
        <w:ind w:left="680" w:hanging="256"/>
        <w:spacing w:after="0"/>
        <w:tabs>
          <w:tab w:leader="none" w:pos="680"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holds an outstanding Purchase Right.</w:t>
      </w:r>
    </w:p>
    <w:p>
      <w:pPr>
        <w:spacing w:after="0" w:line="220" w:lineRule="exact"/>
        <w:rPr>
          <w:rFonts w:ascii="Arial" w:cs="Arial" w:eastAsia="Arial" w:hAnsi="Arial"/>
          <w:sz w:val="18"/>
          <w:szCs w:val="18"/>
          <w:b w:val="1"/>
          <w:bCs w:val="1"/>
          <w:color w:val="auto"/>
        </w:rPr>
      </w:pPr>
    </w:p>
    <w:p>
      <w:pPr>
        <w:ind w:left="-20" w:right="540" w:firstLine="444"/>
        <w:spacing w:after="0" w:line="271" w:lineRule="auto"/>
        <w:tabs>
          <w:tab w:leader="none" w:pos="659"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Vera Thereapeutics, Inc. 2021 Employee Stock Purchase Plan, as amended from time to time, including both the 423 Component and the Non-423 Component.</w:t>
      </w:r>
    </w:p>
    <w:p>
      <w:pPr>
        <w:spacing w:after="0" w:line="175" w:lineRule="exact"/>
        <w:rPr>
          <w:sz w:val="20"/>
          <w:szCs w:val="20"/>
          <w:color w:val="auto"/>
        </w:rPr>
      </w:pPr>
    </w:p>
    <w:p>
      <w:pPr>
        <w:ind w:left="-20" w:right="420" w:firstLine="444"/>
        <w:spacing w:after="0" w:line="271" w:lineRule="auto"/>
        <w:tabs>
          <w:tab w:leader="none" w:pos="758"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74" w:lineRule="exact"/>
        <w:rPr>
          <w:rFonts w:ascii="Arial" w:cs="Arial" w:eastAsia="Arial" w:hAnsi="Arial"/>
          <w:sz w:val="18"/>
          <w:szCs w:val="18"/>
          <w:b w:val="1"/>
          <w:bCs w:val="1"/>
          <w:color w:val="auto"/>
        </w:rPr>
      </w:pPr>
    </w:p>
    <w:p>
      <w:pPr>
        <w:ind w:left="-20" w:firstLine="444"/>
        <w:spacing w:after="0" w:line="271" w:lineRule="auto"/>
        <w:tabs>
          <w:tab w:leader="none" w:pos="778"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74" w:lineRule="exact"/>
        <w:rPr>
          <w:rFonts w:ascii="Arial" w:cs="Arial" w:eastAsia="Arial" w:hAnsi="Arial"/>
          <w:sz w:val="18"/>
          <w:szCs w:val="18"/>
          <w:b w:val="1"/>
          <w:bCs w:val="1"/>
          <w:color w:val="auto"/>
        </w:rPr>
      </w:pPr>
    </w:p>
    <w:p>
      <w:pPr>
        <w:ind w:left="740" w:hanging="316"/>
        <w:spacing w:after="0"/>
        <w:tabs>
          <w:tab w:leader="none" w:pos="740" w:val="left"/>
        </w:tabs>
        <w:numPr>
          <w:ilvl w:val="0"/>
          <w:numId w:val="35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Right</w:t>
      </w:r>
      <w:r>
        <w:rPr>
          <w:rFonts w:ascii="Arial" w:cs="Arial" w:eastAsia="Arial" w:hAnsi="Arial"/>
          <w:sz w:val="17"/>
          <w:szCs w:val="17"/>
          <w:color w:val="auto"/>
        </w:rPr>
        <w:t>” means an option to purchase shares of Common Stock granted pursuant to the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500" w:top="272" w:right="519" w:bottom="1440" w:gutter="0" w:footer="0" w:header="0"/>
        </w:sectPr>
      </w:pPr>
    </w:p>
    <w:bookmarkStart w:id="400" w:name="page401"/>
    <w:bookmarkEnd w:id="400"/>
    <w:p>
      <w:pPr>
        <w:ind w:left="-60" w:right="760" w:firstLine="444"/>
        <w:spacing w:after="0" w:line="271" w:lineRule="auto"/>
        <w:tabs>
          <w:tab w:leader="none" w:pos="738"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8"/>
          <w:szCs w:val="18"/>
          <w:b w:val="1"/>
          <w:bCs w:val="1"/>
          <w:i w:val="1"/>
          <w:iCs w:val="1"/>
          <w:color w:val="auto"/>
        </w:rPr>
        <w:t>Related Corporation</w:t>
      </w:r>
      <w:r>
        <w:rPr>
          <w:rFonts w:ascii="Arial" w:cs="Arial" w:eastAsia="Arial" w:hAnsi="Arial"/>
          <w:sz w:val="18"/>
          <w:szCs w:val="18"/>
          <w:color w:val="auto"/>
        </w:rPr>
        <w:t>” means any “parent corporation” or “subsidiary corporation” of the Company whether now or subsequently established, as those terms are defined in Sections 424(e) and (f), respectively, of the Code.</w:t>
      </w:r>
    </w:p>
    <w:p>
      <w:pPr>
        <w:spacing w:after="0" w:line="174" w:lineRule="exact"/>
        <w:rPr>
          <w:rFonts w:ascii="Arial" w:cs="Arial" w:eastAsia="Arial" w:hAnsi="Arial"/>
          <w:sz w:val="18"/>
          <w:szCs w:val="18"/>
          <w:b w:val="1"/>
          <w:bCs w:val="1"/>
          <w:color w:val="auto"/>
        </w:rPr>
      </w:pPr>
    </w:p>
    <w:p>
      <w:pPr>
        <w:ind w:left="700" w:hanging="316"/>
        <w:spacing w:after="0"/>
        <w:tabs>
          <w:tab w:leader="none" w:pos="700" w:val="left"/>
        </w:tabs>
        <w:numPr>
          <w:ilvl w:val="0"/>
          <w:numId w:val="35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w:t>
      </w:r>
    </w:p>
    <w:p>
      <w:pPr>
        <w:spacing w:after="0" w:line="232" w:lineRule="exact"/>
        <w:rPr>
          <w:rFonts w:ascii="Arial" w:cs="Arial" w:eastAsia="Arial" w:hAnsi="Arial"/>
          <w:sz w:val="17"/>
          <w:szCs w:val="17"/>
          <w:b w:val="1"/>
          <w:bCs w:val="1"/>
          <w:color w:val="auto"/>
        </w:rPr>
      </w:pPr>
    </w:p>
    <w:p>
      <w:pPr>
        <w:jc w:val="both"/>
        <w:ind w:left="-60" w:right="180" w:firstLine="444"/>
        <w:spacing w:after="0" w:line="281" w:lineRule="auto"/>
        <w:tabs>
          <w:tab w:leader="none" w:pos="658" w:val="left"/>
        </w:tabs>
        <w:numPr>
          <w:ilvl w:val="0"/>
          <w:numId w:val="35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169" w:lineRule="exact"/>
        <w:rPr>
          <w:rFonts w:ascii="Arial" w:cs="Arial" w:eastAsia="Arial" w:hAnsi="Arial"/>
          <w:sz w:val="17"/>
          <w:szCs w:val="17"/>
          <w:b w:val="1"/>
          <w:bCs w:val="1"/>
          <w:color w:val="auto"/>
        </w:rPr>
      </w:pPr>
    </w:p>
    <w:p>
      <w:pPr>
        <w:ind w:left="-60" w:firstLine="444"/>
        <w:spacing w:after="0" w:line="335" w:lineRule="auto"/>
        <w:tabs>
          <w:tab w:leader="none" w:pos="718" w:val="left"/>
        </w:tabs>
        <w:numPr>
          <w:ilvl w:val="0"/>
          <w:numId w:val="35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any day on which the exchange(s) or market(s) on which shares of Common Stock are listed, including but not limited to the NYSE, Nasdaq Global Select Market, the Nasdaq Global Market, the Nasdaq Capital Market or any successors thereto, is open for trading.</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00"/>
          </w:cols>
          <w:pgMar w:left="540" w:top="272" w:right="559" w:bottom="1440" w:gutter="0" w:footer="0" w:header="0"/>
        </w:sectPr>
      </w:pPr>
    </w:p>
    <w:bookmarkStart w:id="401" w:name="page402"/>
    <w:bookmarkEnd w:id="401"/>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ERA</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177165</wp:posOffset>
            </wp:positionV>
            <wp:extent cx="69297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right="40" w:firstLine="436"/>
        <w:spacing w:after="0" w:line="252" w:lineRule="auto"/>
        <w:rPr>
          <w:sz w:val="20"/>
          <w:szCs w:val="20"/>
          <w:color w:val="auto"/>
        </w:rPr>
      </w:pPr>
      <w:r>
        <w:rPr>
          <w:rFonts w:ascii="Arial" w:cs="Arial" w:eastAsia="Arial" w:hAnsi="Arial"/>
          <w:sz w:val="18"/>
          <w:szCs w:val="18"/>
          <w:color w:val="auto"/>
        </w:rPr>
        <w:t>Each member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Vera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who is not also serving as an employee of the Company or any of its subsidiaries (each such member, an “</w:t>
      </w:r>
      <w:r>
        <w:rPr>
          <w:rFonts w:ascii="Arial" w:cs="Arial" w:eastAsia="Arial" w:hAnsi="Arial"/>
          <w:sz w:val="18"/>
          <w:szCs w:val="18"/>
          <w:b w:val="1"/>
          <w:bCs w:val="1"/>
          <w:i w:val="1"/>
          <w:iCs w:val="1"/>
          <w:color w:val="auto"/>
        </w:rPr>
        <w:t>Eligible Director</w:t>
      </w:r>
      <w:r>
        <w:rPr>
          <w:rFonts w:ascii="Arial" w:cs="Arial" w:eastAsia="Arial" w:hAnsi="Arial"/>
          <w:sz w:val="18"/>
          <w:szCs w:val="18"/>
          <w:color w:val="auto"/>
        </w:rPr>
        <w:t>”) will receive the compensation described in this Non-Employee Director Compensation Policy (this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An Eligible Director may decline all or any portion of his or her compensation by giving notice to the Company prior to the date cash is to be paid or equity awards are to be granted, as the case may be. This Policy shall be effective as of the date the registration statement for the Company’s initial public offering of common stock is declared effective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may be amended at any time by the Board or the Compensation Committee of the Board.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Compensation</w:t>
      </w:r>
    </w:p>
    <w:p>
      <w:pPr>
        <w:spacing w:after="0" w:line="118"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The annual cash compensation amount set forth below is payable to Eligible Directors in equal quarterly installments, payable in arrears on the last day of each fiscal quarter in which the service occurred. The first quarterly installment payable after the Effective Date to Eligible Directors in office as of the Effective Date will be pro-rated for the partial quarter measured from the Effective Date to the last day of the quarter. Further, if an Eligible Director joins the Board or a committee of the Board at a time other than effective as of the first day of a fiscal quarter, his or her first quarterly installment will be pro-rated based on days served in the applicable quarter. All annual cash fees are vested upon payment.</w:t>
      </w:r>
    </w:p>
    <w:p>
      <w:pPr>
        <w:spacing w:after="0" w:line="83" w:lineRule="exact"/>
        <w:rPr>
          <w:sz w:val="20"/>
          <w:szCs w:val="20"/>
          <w:color w:val="auto"/>
        </w:rPr>
      </w:pPr>
    </w:p>
    <w:p>
      <w:pPr>
        <w:ind w:left="980" w:hanging="545"/>
        <w:spacing w:after="0"/>
        <w:tabs>
          <w:tab w:leader="none" w:pos="98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Annual Board Service Retainer</w:t>
      </w: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1420" w:hanging="436"/>
        <w:spacing w:after="0"/>
        <w:tabs>
          <w:tab w:leader="none" w:pos="142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All Eligible Directors: $35,000</w:t>
      </w:r>
    </w:p>
    <w:p>
      <w:pPr>
        <w:spacing w:after="0" w:line="127" w:lineRule="exact"/>
        <w:rPr>
          <w:rFonts w:ascii="Arial" w:cs="Arial" w:eastAsia="Arial" w:hAnsi="Arial"/>
          <w:sz w:val="18"/>
          <w:szCs w:val="18"/>
          <w:color w:val="auto"/>
        </w:rPr>
      </w:pPr>
    </w:p>
    <w:p>
      <w:pPr>
        <w:ind w:left="1420" w:hanging="436"/>
        <w:spacing w:after="0"/>
        <w:tabs>
          <w:tab w:leader="none" w:pos="142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Non-executive chairperson of the Board: $65,000 (inclusive of Annual Board Service Retainer)</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Annual Committee Member (non-Chair) Service Retainer</w:t>
      </w: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1420" w:hanging="436"/>
        <w:spacing w:after="0"/>
        <w:tabs>
          <w:tab w:leader="none" w:pos="142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Member of the Audit Committee: $7,500</w:t>
      </w:r>
    </w:p>
    <w:p>
      <w:pPr>
        <w:spacing w:after="0" w:line="127" w:lineRule="exact"/>
        <w:rPr>
          <w:rFonts w:ascii="Arial" w:cs="Arial" w:eastAsia="Arial" w:hAnsi="Arial"/>
          <w:sz w:val="18"/>
          <w:szCs w:val="18"/>
          <w:color w:val="auto"/>
        </w:rPr>
      </w:pPr>
    </w:p>
    <w:p>
      <w:pPr>
        <w:ind w:left="1420" w:hanging="436"/>
        <w:spacing w:after="0"/>
        <w:tabs>
          <w:tab w:leader="none" w:pos="142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Member of the Compensation Committee: $5,000</w:t>
      </w:r>
    </w:p>
    <w:p>
      <w:pPr>
        <w:spacing w:after="0" w:line="127" w:lineRule="exact"/>
        <w:rPr>
          <w:rFonts w:ascii="Arial" w:cs="Arial" w:eastAsia="Arial" w:hAnsi="Arial"/>
          <w:sz w:val="18"/>
          <w:szCs w:val="18"/>
          <w:color w:val="auto"/>
        </w:rPr>
      </w:pPr>
    </w:p>
    <w:p>
      <w:pPr>
        <w:ind w:left="1420" w:hanging="436"/>
        <w:spacing w:after="0"/>
        <w:tabs>
          <w:tab w:leader="none" w:pos="142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$4,000</w:t>
      </w:r>
    </w:p>
    <w:p>
      <w:pPr>
        <w:spacing w:after="0" w:line="127" w:lineRule="exact"/>
        <w:rPr>
          <w:rFonts w:ascii="Arial" w:cs="Arial" w:eastAsia="Arial" w:hAnsi="Arial"/>
          <w:sz w:val="18"/>
          <w:szCs w:val="18"/>
          <w:color w:val="auto"/>
        </w:rPr>
      </w:pPr>
    </w:p>
    <w:p>
      <w:pPr>
        <w:ind w:left="980" w:hanging="545"/>
        <w:spacing w:after="0"/>
        <w:tabs>
          <w:tab w:leader="none" w:pos="98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Annual Committee Chair Service Retainer (inclusive of Committee Member Service Retainer)</w:t>
      </w: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1420" w:hanging="436"/>
        <w:spacing w:after="0"/>
        <w:tabs>
          <w:tab w:leader="none" w:pos="142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Chairperson of the Audit Committee: $15,000</w:t>
      </w:r>
    </w:p>
    <w:p>
      <w:pPr>
        <w:spacing w:after="0" w:line="127" w:lineRule="exact"/>
        <w:rPr>
          <w:rFonts w:ascii="Arial" w:cs="Arial" w:eastAsia="Arial" w:hAnsi="Arial"/>
          <w:sz w:val="18"/>
          <w:szCs w:val="18"/>
          <w:color w:val="auto"/>
        </w:rPr>
      </w:pPr>
    </w:p>
    <w:p>
      <w:pPr>
        <w:ind w:left="1420" w:hanging="436"/>
        <w:spacing w:after="0"/>
        <w:tabs>
          <w:tab w:leader="none" w:pos="142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Chairperson of the Compensation Committee: $10,000</w:t>
      </w:r>
    </w:p>
    <w:p>
      <w:pPr>
        <w:spacing w:after="0" w:line="127" w:lineRule="exact"/>
        <w:rPr>
          <w:rFonts w:ascii="Arial" w:cs="Arial" w:eastAsia="Arial" w:hAnsi="Arial"/>
          <w:sz w:val="18"/>
          <w:szCs w:val="18"/>
          <w:color w:val="auto"/>
        </w:rPr>
      </w:pPr>
    </w:p>
    <w:p>
      <w:pPr>
        <w:ind w:left="1420" w:hanging="436"/>
        <w:spacing w:after="0"/>
        <w:tabs>
          <w:tab w:leader="none" w:pos="142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Chairperson of the Nominating and Corporate Governance Committee: $8,000</w:t>
      </w:r>
    </w:p>
    <w:p>
      <w:pPr>
        <w:spacing w:after="0" w:line="221"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The Company will also reimburse each of the Eligible Directors for his or her travel expenses incurred in connection with his or her attendance at Board and committee meetings. Such reimbursements shall be paid on the same date as the annual cash fees are paid.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118" w:lineRule="exact"/>
        <w:rPr>
          <w:sz w:val="20"/>
          <w:szCs w:val="20"/>
          <w:color w:val="auto"/>
        </w:rPr>
      </w:pPr>
    </w:p>
    <w:p>
      <w:pPr>
        <w:ind w:right="140" w:firstLine="436"/>
        <w:spacing w:after="0" w:line="281" w:lineRule="auto"/>
        <w:rPr>
          <w:sz w:val="20"/>
          <w:szCs w:val="20"/>
          <w:color w:val="auto"/>
        </w:rPr>
      </w:pPr>
      <w:r>
        <w:rPr>
          <w:rFonts w:ascii="Arial" w:cs="Arial" w:eastAsia="Arial" w:hAnsi="Arial"/>
          <w:sz w:val="17"/>
          <w:szCs w:val="17"/>
          <w:color w:val="auto"/>
        </w:rPr>
        <w:t>The equity compensation set forth below will be granted under the Company’s 2021 Equity Incentive Plan, as the same may be amended or restated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Capitalized terms used below not otherwise defined in this Policy shall have the meanings given to them in the Plan All stock options granted under this Policy will be nonstatutory stock options, with an exercise price per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402" w:name="page403"/>
    <w:bookmarkEnd w:id="402"/>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 equal to 100% of the Fair Market Value (as defined in the Plan) of the underlying common stock on the date of grant, a term of 10 years from the date of grant (subject to earlier termination in connection with a termination of service as provided in the Plan), and subject to all the terms, conditions and limits set forth in the Plan and the applicable award agreement. For the avoidance of doubt, the share numbers in this Policy shall be subject to adjustment as provided in the Plan.</w:t>
      </w:r>
    </w:p>
    <w:p>
      <w:pPr>
        <w:spacing w:after="0" w:line="97" w:lineRule="exact"/>
        <w:rPr>
          <w:sz w:val="20"/>
          <w:szCs w:val="20"/>
          <w:color w:val="auto"/>
        </w:rPr>
      </w:pPr>
    </w:p>
    <w:p>
      <w:pPr>
        <w:ind w:left="980" w:hanging="545"/>
        <w:spacing w:after="0" w:line="251" w:lineRule="auto"/>
        <w:tabs>
          <w:tab w:leader="none" w:pos="98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Initial Grant</w:t>
      </w:r>
      <w:r>
        <w:rPr>
          <w:rFonts w:ascii="Arial" w:cs="Arial" w:eastAsia="Arial" w:hAnsi="Arial"/>
          <w:sz w:val="18"/>
          <w:szCs w:val="18"/>
          <w:color w:val="auto"/>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or Compensation Committee of the Board, granted a stock option to purchase 19,850 shares (as adjusted for stock splits, combinations and the like) of the Company’s common stock. The shares subject to each such stock option will vest monthly over a three-year period, subject to the Eligible Director’s Continuous Service on each vesting date, and will vest in full upon a Change in Control, subject to the Eligible Director’s Continuous Service through such date.</w:t>
      </w:r>
    </w:p>
    <w:p>
      <w:pPr>
        <w:spacing w:after="0" w:line="102" w:lineRule="exact"/>
        <w:rPr>
          <w:rFonts w:ascii="Arial" w:cs="Arial" w:eastAsia="Arial" w:hAnsi="Arial"/>
          <w:sz w:val="18"/>
          <w:szCs w:val="18"/>
          <w:color w:val="auto"/>
        </w:rPr>
      </w:pPr>
    </w:p>
    <w:p>
      <w:pPr>
        <w:ind w:left="980" w:right="40" w:hanging="545"/>
        <w:spacing w:after="0" w:line="268" w:lineRule="auto"/>
        <w:tabs>
          <w:tab w:leader="none" w:pos="980" w:val="left"/>
        </w:tabs>
        <w:numPr>
          <w:ilvl w:val="0"/>
          <w:numId w:val="358"/>
        </w:numPr>
        <w:rPr>
          <w:rFonts w:ascii="Arial" w:cs="Arial" w:eastAsia="Arial" w:hAnsi="Arial"/>
          <w:sz w:val="17"/>
          <w:szCs w:val="17"/>
          <w:color w:val="auto"/>
        </w:rPr>
      </w:pPr>
      <w:r>
        <w:rPr>
          <w:rFonts w:ascii="Arial" w:cs="Arial" w:eastAsia="Arial" w:hAnsi="Arial"/>
          <w:sz w:val="17"/>
          <w:szCs w:val="17"/>
          <w:u w:val="single" w:color="auto"/>
          <w:color w:val="auto"/>
        </w:rPr>
        <w:t>Annual Grant</w:t>
      </w:r>
      <w:r>
        <w:rPr>
          <w:rFonts w:ascii="Arial" w:cs="Arial" w:eastAsia="Arial" w:hAnsi="Arial"/>
          <w:sz w:val="17"/>
          <w:szCs w:val="17"/>
          <w:color w:val="auto"/>
        </w:rPr>
        <w:t>: On (a) the Effective Date, each Eligible Director then in office and (b) the date of each annual stockholders meeting of the Company, each Eligible Director who continues to serve as a member of the Board through and following such stockholders meeting (and who joined the Board no later than February 28 of the year in which the stockholders meeting is held) will be automatically, and without further action by the Board or Compensation Committee of the Board, granted a stock option to purchase 9,925 shares (as adjusted for stock splits, combinations and the like) of the Company’s common stock (the “</w:t>
      </w:r>
      <w:r>
        <w:rPr>
          <w:rFonts w:ascii="Arial" w:cs="Arial" w:eastAsia="Arial" w:hAnsi="Arial"/>
          <w:sz w:val="17"/>
          <w:szCs w:val="17"/>
          <w:b w:val="1"/>
          <w:bCs w:val="1"/>
          <w:i w:val="1"/>
          <w:iCs w:val="1"/>
          <w:color w:val="auto"/>
        </w:rPr>
        <w:t>Annual Grant</w:t>
      </w:r>
      <w:r>
        <w:rPr>
          <w:rFonts w:ascii="Arial" w:cs="Arial" w:eastAsia="Arial" w:hAnsi="Arial"/>
          <w:sz w:val="17"/>
          <w:szCs w:val="17"/>
          <w:color w:val="auto"/>
        </w:rPr>
        <w:t>”). The shares subject to each such stock option will vest on the earlier of (a) the first anniversary of the date of grant and (b) the date of the Company’s next annual stockholders meeting, subject to the Eligible Director’s Continuous Service through such date. Such option will vest in full upon a Change in Control, subject to the Eligible Director’s Continuous Service through such date.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Limits</w:t>
      </w:r>
    </w:p>
    <w:p>
      <w:pPr>
        <w:spacing w:after="0" w:line="118"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Notwithstanding anything to the contrary in this Policy, all compensation payable under this Policy will be subject to any limits on the maximum amount of Eligible Director compensation set forth in the Plan, as in effect from time to time.</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480" w:top="272" w:right="559" w:bottom="1440" w:gutter="0" w:footer="0" w:header="0"/>
        </w:sectPr>
      </w:pPr>
    </w:p>
    <w:bookmarkStart w:id="403" w:name="page404"/>
    <w:bookmarkEnd w:id="403"/>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INDEMNIFICATION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made and entered into as of _____________ between </w:t>
      </w:r>
      <w:r>
        <w:rPr>
          <w:rFonts w:ascii="Arial" w:cs="Arial" w:eastAsia="Arial" w:hAnsi="Arial"/>
          <w:sz w:val="17"/>
          <w:szCs w:val="17"/>
          <w:b w:val="1"/>
          <w:bCs w:val="1"/>
          <w:color w:val="auto"/>
        </w:rPr>
        <w:t>V</w:t>
      </w:r>
      <w:r>
        <w:rPr>
          <w:rFonts w:ascii="Arial" w:cs="Arial" w:eastAsia="Arial" w:hAnsi="Arial"/>
          <w:sz w:val="13"/>
          <w:szCs w:val="13"/>
          <w:b w:val="1"/>
          <w:bCs w:val="1"/>
          <w:color w:val="auto"/>
        </w:rPr>
        <w:t>ERA</w:t>
      </w:r>
      <w:r>
        <w:rPr>
          <w:rFonts w:ascii="Arial" w:cs="Arial" w:eastAsia="Arial" w:hAnsi="Arial"/>
          <w:sz w:val="17"/>
          <w:szCs w:val="17"/>
          <w:color w:val="auto"/>
        </w:rPr>
        <w:t xml:space="preserve"> </w:t>
      </w:r>
      <w:r>
        <w:rPr>
          <w:rFonts w:ascii="Arial" w:cs="Arial" w:eastAsia="Arial" w:hAnsi="Arial"/>
          <w:sz w:val="17"/>
          <w:szCs w:val="17"/>
          <w:b w:val="1"/>
          <w:bCs w:val="1"/>
          <w:color w:val="auto"/>
        </w:rPr>
        <w:t>T</w:t>
      </w:r>
      <w:r>
        <w:rPr>
          <w:rFonts w:ascii="Arial" w:cs="Arial" w:eastAsia="Arial" w:hAnsi="Arial"/>
          <w:sz w:val="13"/>
          <w:szCs w:val="13"/>
          <w:b w:val="1"/>
          <w:bCs w:val="1"/>
          <w:color w:val="auto"/>
        </w:rPr>
        <w:t>HERAPEUTICS</w:t>
      </w:r>
      <w:r>
        <w:rPr>
          <w:rFonts w:ascii="Arial" w:cs="Arial" w:eastAsia="Arial" w:hAnsi="Arial"/>
          <w:sz w:val="17"/>
          <w:szCs w:val="17"/>
          <w:b w:val="1"/>
          <w:bCs w:val="1"/>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r>
        <w:rPr>
          <w:rFonts w:ascii="Arial" w:cs="Arial" w:eastAsia="Arial" w:hAnsi="Arial"/>
          <w:sz w:val="18"/>
          <w:szCs w:val="18"/>
          <w:b w:val="1"/>
          <w:bCs w:val="1"/>
          <w:color w:val="auto"/>
        </w:rPr>
        <w:t xml:space="preserve"> [__] </w:t>
      </w: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204" w:lineRule="exact"/>
        <w:rPr>
          <w:sz w:val="20"/>
          <w:szCs w:val="20"/>
          <w:color w:val="auto"/>
        </w:rPr>
      </w:pPr>
    </w:p>
    <w:p>
      <w:pPr>
        <w:jc w:val="both"/>
        <w:ind w:right="280" w:firstLine="436"/>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corporations as directors and officers or in other capacities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they are provided with adequate protection through insurance or adequate indemnification against inordinate risks of claims and actions against them arising out of their service to and activities on behalf of the corporation;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has determined that, in order to attract and retain qualified individuals, the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Company will attempt to maintain on an ongoing basis, at its sole expense, liability insurance to protect persons serving the Company and its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subsidiaries from certain liabilities. Although the furnishing of such insurance has been a customary and widespread practice among United States-based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corporations and other business enterprises, the Company believes that, given current market conditions and trends, such insurance may be available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it in the future only at higher premiums and with more exclusions. At the same time, directors, officers, and other persons in service to corporations or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business enterprises are being increasingly subjected to expensive and time-consuming litigation relating to, among other things, matters that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traditionally would have been brought only against the Company or business enterprise itself. The bylaws of the Company (the “</w:t>
      </w:r>
      <w:r>
        <w:rPr>
          <w:rFonts w:ascii="Arial" w:cs="Arial" w:eastAsia="Arial" w:hAnsi="Arial"/>
          <w:sz w:val="16"/>
          <w:szCs w:val="16"/>
          <w:b w:val="1"/>
          <w:bCs w:val="1"/>
          <w:color w:val="auto"/>
        </w:rPr>
        <w:t>Bylaws</w:t>
      </w:r>
      <w:r>
        <w:rPr>
          <w:rFonts w:ascii="Arial" w:cs="Arial" w:eastAsia="Arial" w:hAnsi="Arial"/>
          <w:sz w:val="16"/>
          <w:szCs w:val="16"/>
          <w:color w:val="auto"/>
        </w:rPr>
        <w:t>”) and [__]</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Amended and Restated Certificate of Incorporation of the Company (the “</w:t>
      </w:r>
      <w:r>
        <w:rPr>
          <w:rFonts w:ascii="Arial" w:cs="Arial" w:eastAsia="Arial" w:hAnsi="Arial"/>
          <w:sz w:val="17"/>
          <w:szCs w:val="17"/>
          <w:b w:val="1"/>
          <w:bCs w:val="1"/>
          <w:color w:val="auto"/>
        </w:rPr>
        <w:t>Restated Certificate</w:t>
      </w:r>
      <w:r>
        <w:rPr>
          <w:rFonts w:ascii="Arial" w:cs="Arial" w:eastAsia="Arial" w:hAnsi="Arial"/>
          <w:sz w:val="17"/>
          <w:szCs w:val="17"/>
          <w:color w:val="auto"/>
        </w:rPr>
        <w:t>”) provide for indemnification of the officers and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directors of the Company. Indemnitee may also be entitled to indemnification pursuant to the General Corporation Law of the State of Delaware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DGCL</w:t>
      </w:r>
      <w:r>
        <w:rPr>
          <w:rFonts w:ascii="Arial" w:cs="Arial" w:eastAsia="Arial" w:hAnsi="Arial"/>
          <w:sz w:val="16"/>
          <w:szCs w:val="16"/>
          <w:color w:val="auto"/>
        </w:rPr>
        <w:t>”). The Bylaws, Restated Certificate and the DGCL expressly provide that the indemnification provisions set forth therein are not exclusive,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and thereby contemplate that contracts may be entered into between the Company and members of the Board, officers and other persons with respect 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w:t>
      </w:r>
    </w:p>
    <w:p>
      <w:pPr>
        <w:spacing w:after="0" w:line="204" w:lineRule="exact"/>
        <w:rPr>
          <w:sz w:val="20"/>
          <w:szCs w:val="20"/>
          <w:color w:val="auto"/>
        </w:rPr>
      </w:pPr>
    </w:p>
    <w:p>
      <w:pPr>
        <w:ind w:right="440" w:firstLine="43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uncertainties relating to such insurance and to indemnification have increased the difficulty of attracting and retaining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persons;</w:t>
      </w:r>
    </w:p>
    <w:p>
      <w:pPr>
        <w:spacing w:after="0" w:line="168" w:lineRule="exact"/>
        <w:rPr>
          <w:sz w:val="20"/>
          <w:szCs w:val="20"/>
          <w:color w:val="auto"/>
        </w:rPr>
      </w:pPr>
    </w:p>
    <w:p>
      <w:pPr>
        <w:ind w:right="180" w:firstLine="436"/>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determined that the increased difficulty in attracting and retaining such persons is detrimental to the best interests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stockholders and that the Company should act to assure such persons that there will be increased certainty of such protection in the future;</w:t>
      </w:r>
    </w:p>
    <w:p>
      <w:pPr>
        <w:spacing w:after="0" w:line="181" w:lineRule="exact"/>
        <w:rPr>
          <w:sz w:val="20"/>
          <w:szCs w:val="20"/>
          <w:color w:val="auto"/>
        </w:rPr>
      </w:pPr>
    </w:p>
    <w:p>
      <w:pPr>
        <w:ind w:right="280" w:firstLine="436"/>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and to advance expenses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such persons to the fullest extent permitted by applicable law so that they will serve or continue to serve the Company free from undue concern that they will not be so indemnified;</w:t>
      </w:r>
    </w:p>
    <w:p>
      <w:pPr>
        <w:spacing w:after="0" w:line="181" w:lineRule="exact"/>
        <w:rPr>
          <w:sz w:val="20"/>
          <w:szCs w:val="20"/>
          <w:color w:val="auto"/>
        </w:rPr>
      </w:pPr>
    </w:p>
    <w:p>
      <w:pPr>
        <w:ind w:right="220" w:firstLine="436"/>
        <w:spacing w:after="0" w:line="30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this Agreement is a supplement to and in furtherance of the Bylaws and Restated Certificate and any resolutions adopted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thereto, and shall not be deemed a substitute therefor, nor to diminish or abrogate any rights of Indemnitee thereunder; and</w:t>
      </w:r>
    </w:p>
    <w:p>
      <w:pPr>
        <w:spacing w:after="0" w:line="143" w:lineRule="exact"/>
        <w:rPr>
          <w:sz w:val="20"/>
          <w:szCs w:val="20"/>
          <w:color w:val="auto"/>
        </w:rPr>
      </w:pPr>
    </w:p>
    <w:p>
      <w:pPr>
        <w:ind w:right="160" w:firstLine="436"/>
        <w:spacing w:after="0" w:line="25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does not regard the protection available under the Bylaws and Restated Certificate and insurance as adequate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circumstances, and may not be willing to serve as a director without adequate protection, and the Company desires Indemnitee to serve in such capacity. Indemnitee is willing to serve, continue to serve and to take on additional service for or on behalf of the Company on the condition that he be so indemnified; and</w:t>
      </w:r>
    </w:p>
    <w:p>
      <w:pPr>
        <w:sectPr>
          <w:pgSz w:w="11900" w:h="16838" w:orient="portrait"/>
          <w:cols w:equalWidth="0" w:num="1">
            <w:col w:w="10920"/>
          </w:cols>
          <w:pgMar w:left="480" w:top="121" w:right="499" w:bottom="1440" w:gutter="0" w:footer="0" w:header="0"/>
        </w:sectPr>
      </w:pPr>
    </w:p>
    <w:bookmarkStart w:id="404" w:name="page405"/>
    <w:bookmarkEnd w:id="404"/>
    <w:p>
      <w:pPr>
        <w:ind w:right="40" w:firstLine="436"/>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Fund-affiliated directors only]WHEREAS</w:t>
      </w:r>
      <w:r>
        <w:rPr>
          <w:rFonts w:ascii="Arial" w:cs="Arial" w:eastAsia="Arial" w:hAnsi="Arial"/>
          <w:sz w:val="17"/>
          <w:szCs w:val="17"/>
          <w:color w:val="auto"/>
        </w:rPr>
        <w:t>, Indemnitee is a representative of or affiliated with [__] (together with any Affiliates, the “</w:t>
      </w:r>
      <w:r>
        <w:rPr>
          <w:rFonts w:ascii="Arial" w:cs="Arial" w:eastAsia="Arial" w:hAnsi="Arial"/>
          <w:sz w:val="17"/>
          <w:szCs w:val="17"/>
          <w:b w:val="1"/>
          <w:bCs w:val="1"/>
          <w:color w:val="auto"/>
        </w:rPr>
        <w:t>VC Funds</w:t>
      </w:r>
      <w:r>
        <w:rPr>
          <w:rFonts w:ascii="Arial" w:cs="Arial" w:eastAsia="Arial" w:hAnsi="Arial"/>
          <w:sz w:val="17"/>
          <w:szCs w:val="17"/>
          <w:color w:val="auto"/>
        </w:rPr>
        <w:t>,” and each, individually, a “</w:t>
      </w:r>
      <w:r>
        <w:rPr>
          <w:rFonts w:ascii="Arial" w:cs="Arial" w:eastAsia="Arial" w:hAnsi="Arial"/>
          <w:sz w:val="17"/>
          <w:szCs w:val="17"/>
          <w:b w:val="1"/>
          <w:bCs w:val="1"/>
          <w:color w:val="auto"/>
        </w:rPr>
        <w:t>VC Fund</w:t>
      </w:r>
      <w:r>
        <w:rPr>
          <w:rFonts w:ascii="Arial" w:cs="Arial" w:eastAsia="Arial" w:hAnsi="Arial"/>
          <w:sz w:val="17"/>
          <w:szCs w:val="17"/>
          <w:color w:val="auto"/>
        </w:rPr>
        <w:t>”), and has certain rights to indemnification and/or insurance provided by the VC Funds, which Indemnitee</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VC Fund intend to be secondary to the primary obligation of the Company to indemnify Indemnitee as provided herein, with the Company’s acknowledgement and agreement to the foregoing being a material condition to Indemnitee’s willingness to serve on the Board.]</w:t>
      </w:r>
    </w:p>
    <w:p>
      <w:pPr>
        <w:spacing w:after="0" w:line="167" w:lineRule="exact"/>
        <w:rPr>
          <w:sz w:val="20"/>
          <w:szCs w:val="20"/>
          <w:color w:val="auto"/>
        </w:rPr>
      </w:pPr>
    </w:p>
    <w:p>
      <w:pPr>
        <w:ind w:right="20" w:firstLine="43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Indemnitee’s agreement to serve as a director from and after the date hereof,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65" w:lineRule="exact"/>
        <w:rPr>
          <w:sz w:val="20"/>
          <w:szCs w:val="20"/>
          <w:color w:val="auto"/>
        </w:rPr>
      </w:pPr>
    </w:p>
    <w:p>
      <w:pPr>
        <w:ind w:right="340" w:firstLine="444"/>
        <w:spacing w:after="0" w:line="301" w:lineRule="auto"/>
        <w:tabs>
          <w:tab w:leader="none" w:pos="615" w:val="left"/>
        </w:tabs>
        <w:numPr>
          <w:ilvl w:val="0"/>
          <w:numId w:val="359"/>
        </w:numPr>
        <w:rPr>
          <w:rFonts w:ascii="Arial" w:cs="Arial" w:eastAsia="Arial" w:hAnsi="Arial"/>
          <w:sz w:val="17"/>
          <w:szCs w:val="17"/>
          <w:color w:val="auto"/>
        </w:rPr>
      </w:pPr>
      <w:r>
        <w:rPr>
          <w:rFonts w:ascii="Arial" w:cs="Arial" w:eastAsia="Arial" w:hAnsi="Arial"/>
          <w:sz w:val="17"/>
          <w:szCs w:val="17"/>
          <w:u w:val="single" w:color="auto"/>
          <w:color w:val="auto"/>
        </w:rPr>
        <w:t>Indemnity of Indemnitee</w:t>
      </w:r>
      <w:r>
        <w:rPr>
          <w:rFonts w:ascii="Arial" w:cs="Arial" w:eastAsia="Arial" w:hAnsi="Arial"/>
          <w:sz w:val="17"/>
          <w:szCs w:val="17"/>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44" w:lineRule="exact"/>
        <w:rPr>
          <w:rFonts w:ascii="Arial" w:cs="Arial" w:eastAsia="Arial" w:hAnsi="Arial"/>
          <w:sz w:val="17"/>
          <w:szCs w:val="17"/>
          <w:color w:val="auto"/>
        </w:rPr>
      </w:pPr>
    </w:p>
    <w:p>
      <w:pPr>
        <w:ind w:right="140" w:firstLine="990"/>
        <w:spacing w:after="0" w:line="288" w:lineRule="auto"/>
        <w:tabs>
          <w:tab w:leader="none" w:pos="1224" w:val="left"/>
        </w:tabs>
        <w:numPr>
          <w:ilvl w:val="1"/>
          <w:numId w:val="359"/>
        </w:numPr>
        <w:rPr>
          <w:rFonts w:ascii="Arial" w:cs="Arial" w:eastAsia="Arial" w:hAnsi="Arial"/>
          <w:sz w:val="16"/>
          <w:szCs w:val="16"/>
          <w:color w:val="auto"/>
        </w:rPr>
      </w:pPr>
      <w:r>
        <w:rPr>
          <w:rFonts w:ascii="Arial" w:cs="Arial" w:eastAsia="Arial" w:hAnsi="Arial"/>
          <w:sz w:val="16"/>
          <w:szCs w:val="16"/>
          <w:u w:val="single" w:color="auto"/>
          <w:color w:val="auto"/>
        </w:rPr>
        <w:t>Proceedings Other Than Proceedings by or in the Right of the Company</w:t>
      </w:r>
      <w:r>
        <w:rPr>
          <w:rFonts w:ascii="Arial" w:cs="Arial" w:eastAsia="Arial" w:hAnsi="Arial"/>
          <w:sz w:val="16"/>
          <w:szCs w:val="16"/>
          <w:color w:val="auto"/>
        </w:rPr>
        <w:t xml:space="preserve">. Indemnitee shall be entitled to the rights of indemnification provided in this </w:t>
      </w:r>
      <w:r>
        <w:rPr>
          <w:rFonts w:ascii="Arial" w:cs="Arial" w:eastAsia="Arial" w:hAnsi="Arial"/>
          <w:sz w:val="16"/>
          <w:szCs w:val="16"/>
          <w:u w:val="single" w:color="auto"/>
          <w:color w:val="auto"/>
        </w:rPr>
        <w:t>Section l(a)</w:t>
      </w:r>
      <w:r>
        <w:rPr>
          <w:rFonts w:ascii="Arial" w:cs="Arial" w:eastAsia="Arial" w:hAnsi="Arial"/>
          <w:sz w:val="16"/>
          <w:szCs w:val="16"/>
          <w:color w:val="auto"/>
        </w:rPr>
        <w:t xml:space="preserve"> if, by reason of his Corporate Status (as hereinafter defined), the Indemnitee is, or is threatened to be made, a party to or participant in any Proceeding (as hereinafter defined) other than a Proceeding by or in the right of the Company. Pursuant to this </w:t>
      </w:r>
      <w:r>
        <w:rPr>
          <w:rFonts w:ascii="Arial" w:cs="Arial" w:eastAsia="Arial" w:hAnsi="Arial"/>
          <w:sz w:val="16"/>
          <w:szCs w:val="16"/>
          <w:u w:val="single" w:color="auto"/>
          <w:color w:val="auto"/>
        </w:rPr>
        <w:t>Section 1(a)</w:t>
      </w:r>
      <w:r>
        <w:rPr>
          <w:rFonts w:ascii="Arial" w:cs="Arial" w:eastAsia="Arial" w:hAnsi="Arial"/>
          <w:sz w:val="16"/>
          <w:szCs w:val="16"/>
          <w:color w:val="auto"/>
        </w:rPr>
        <w:t>, Indemnitee shall be indemnified against all Expenses (as hereinafter defined), judgments, penalties, fines and amounts paid in settlement actually and reasonably incurred by him, or on his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59" w:lineRule="exact"/>
        <w:rPr>
          <w:rFonts w:ascii="Arial" w:cs="Arial" w:eastAsia="Arial" w:hAnsi="Arial"/>
          <w:sz w:val="16"/>
          <w:szCs w:val="16"/>
          <w:color w:val="auto"/>
        </w:rPr>
      </w:pPr>
    </w:p>
    <w:p>
      <w:pPr>
        <w:ind w:left="1240" w:hanging="250"/>
        <w:spacing w:after="0"/>
        <w:tabs>
          <w:tab w:leader="none" w:pos="1240" w:val="left"/>
        </w:tabs>
        <w:numPr>
          <w:ilvl w:val="1"/>
          <w:numId w:val="359"/>
        </w:numPr>
        <w:rPr>
          <w:rFonts w:ascii="Arial" w:cs="Arial" w:eastAsia="Arial" w:hAnsi="Arial"/>
          <w:sz w:val="17"/>
          <w:szCs w:val="17"/>
          <w:color w:val="auto"/>
        </w:rPr>
      </w:pPr>
      <w:r>
        <w:rPr>
          <w:rFonts w:ascii="Arial" w:cs="Arial" w:eastAsia="Arial" w:hAnsi="Arial"/>
          <w:sz w:val="17"/>
          <w:szCs w:val="17"/>
          <w:u w:val="single" w:color="auto"/>
          <w:color w:val="auto"/>
        </w:rPr>
        <w:t>Proceedings by or in the Right of the Company</w:t>
      </w:r>
      <w:r>
        <w:rPr>
          <w:rFonts w:ascii="Arial" w:cs="Arial" w:eastAsia="Arial" w:hAnsi="Arial"/>
          <w:sz w:val="17"/>
          <w:szCs w:val="17"/>
          <w:color w:val="auto"/>
        </w:rPr>
        <w:t>. Indemnitee shall be entitled to the rights of indemnification provided in this</w:t>
      </w:r>
    </w:p>
    <w:p>
      <w:pPr>
        <w:spacing w:after="0" w:line="31"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if, by reason of his Corporate Status, the Indemnitee is, or is threatened to be made, a party to or participant in any Proceeding brought by or in the right of the Company. Pursuant to this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89" w:lineRule="exact"/>
        <w:rPr>
          <w:sz w:val="20"/>
          <w:szCs w:val="20"/>
          <w:color w:val="auto"/>
        </w:rPr>
      </w:pPr>
    </w:p>
    <w:p>
      <w:pPr>
        <w:ind w:right="40" w:firstLine="990"/>
        <w:spacing w:after="0" w:line="268" w:lineRule="auto"/>
        <w:tabs>
          <w:tab w:leader="none" w:pos="1224" w:val="left"/>
        </w:tabs>
        <w:numPr>
          <w:ilvl w:val="1"/>
          <w:numId w:val="360"/>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 of this Agreement, to the extent that Indemnitee is, by reason of his Corporate Status, a party to and is successful, on the merits or otherwise, in any Proceeding, he shall be indemnified to the maximum extent permitted by law, as such may be amended from time to time,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79" w:lineRule="exact"/>
        <w:rPr>
          <w:rFonts w:ascii="Arial" w:cs="Arial" w:eastAsia="Arial" w:hAnsi="Arial"/>
          <w:sz w:val="17"/>
          <w:szCs w:val="17"/>
          <w:color w:val="auto"/>
        </w:rPr>
      </w:pPr>
    </w:p>
    <w:p>
      <w:pPr>
        <w:ind w:left="620" w:hanging="176"/>
        <w:spacing w:after="0"/>
        <w:tabs>
          <w:tab w:leader="none" w:pos="62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Additional Indemnity</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990"/>
        <w:spacing w:after="0" w:line="255" w:lineRule="auto"/>
        <w:tabs>
          <w:tab w:leader="none" w:pos="1224" w:val="left"/>
        </w:tabs>
        <w:numPr>
          <w:ilvl w:val="1"/>
          <w:numId w:val="361"/>
        </w:numPr>
        <w:rPr>
          <w:rFonts w:ascii="Arial" w:cs="Arial" w:eastAsia="Arial" w:hAnsi="Arial"/>
          <w:sz w:val="18"/>
          <w:szCs w:val="18"/>
          <w:color w:val="auto"/>
        </w:rPr>
      </w:pPr>
      <w:r>
        <w:rPr>
          <w:rFonts w:ascii="Arial" w:cs="Arial" w:eastAsia="Arial" w:hAnsi="Arial"/>
          <w:sz w:val="18"/>
          <w:szCs w:val="18"/>
          <w:u w:val="single" w:color="auto"/>
          <w:color w:val="auto"/>
        </w:rPr>
        <w:t>Indemnification of Indemnitee</w:t>
      </w:r>
      <w:r>
        <w:rPr>
          <w:rFonts w:ascii="Arial" w:cs="Arial" w:eastAsia="Arial" w:hAnsi="Arial"/>
          <w:sz w:val="18"/>
          <w:szCs w:val="18"/>
          <w:color w:val="auto"/>
        </w:rPr>
        <w:t xml:space="preserve">. In addition to, and without regard to any limitations on, the indemnification provided for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Agreement, the Company shall and hereby does indemnify and hold harmless Indemnitee against all Expenses, judgments, penalties, fines and amounts paid in settlement actually and reasonably incurred by him or on his behalf if, by reason of his Corporate Status, he is, or is threatened to be made, a party to or participant in any Proceeding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68" w:right="519" w:bottom="1440" w:gutter="0" w:footer="0" w:header="0"/>
        </w:sectPr>
      </w:pPr>
    </w:p>
    <w:bookmarkStart w:id="405" w:name="page406"/>
    <w:bookmarkEnd w:id="405"/>
    <w:p>
      <w:pPr>
        <w:jc w:val="both"/>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hereof) to be unlawful.</w:t>
      </w:r>
    </w:p>
    <w:p>
      <w:pPr>
        <w:spacing w:after="0" w:line="79" w:lineRule="exact"/>
        <w:rPr>
          <w:sz w:val="20"/>
          <w:szCs w:val="20"/>
          <w:color w:val="auto"/>
        </w:rPr>
      </w:pPr>
    </w:p>
    <w:p>
      <w:pPr>
        <w:ind w:right="200" w:firstLine="990"/>
        <w:spacing w:after="0" w:line="287" w:lineRule="auto"/>
        <w:tabs>
          <w:tab w:leader="none" w:pos="1234" w:val="left"/>
        </w:tabs>
        <w:numPr>
          <w:ilvl w:val="1"/>
          <w:numId w:val="362"/>
        </w:numPr>
        <w:rPr>
          <w:rFonts w:ascii="Arial" w:cs="Arial" w:eastAsia="Arial" w:hAnsi="Arial"/>
          <w:sz w:val="16"/>
          <w:szCs w:val="16"/>
          <w:color w:val="auto"/>
        </w:rPr>
      </w:pP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[For fund-affiliated directors only]</w:t>
      </w:r>
      <w:r>
        <w:rPr>
          <w:rFonts w:ascii="Arial" w:cs="Arial" w:eastAsia="Arial" w:hAnsi="Arial"/>
          <w:sz w:val="16"/>
          <w:szCs w:val="16"/>
          <w:u w:val="single" w:color="auto"/>
          <w:color w:val="auto"/>
        </w:rPr>
        <w:t>Indemnification of Venture Capital Funds</w:t>
      </w:r>
      <w:r>
        <w:rPr>
          <w:rFonts w:ascii="Arial" w:cs="Arial" w:eastAsia="Arial" w:hAnsi="Arial"/>
          <w:sz w:val="16"/>
          <w:szCs w:val="16"/>
          <w:color w:val="auto"/>
        </w:rPr>
        <w:t>. If (i) Indemnitee is or was a representative of, appointed by, or affiliated with one or more VC Funds that has invested in the Company, (ii) a VC Fund is, or is threatened to be made, a party to or a participant in any Fund Proceeding (as hereinafter defined), and (iii) the VC Fund’s involvement in the Fund Proceeding (A) arises out of facts or circumstances that are the same or substantially similar to the facts and circumstances that form the basis of claims that have been or could be brought against the Indemnitee in a Proceeding, regardless of whether the legal basis of the claims against the Indemnitee and the VC Fund are the same or similar, or (B) results from any claim based on the Indemnitee’s service to the Company as a director or other fiduciary of the Company, then the VC Fund shall be entitled to all of the indemnification rights and remedies under this Agreement pursuant to this Agreement as if the VC Fund were the Indemnitee. The Company and Indemnitee agree that the VC Funds are express third party beneficiaries of the terms of this Section 2(b).]</w:t>
      </w:r>
    </w:p>
    <w:p>
      <w:pPr>
        <w:spacing w:after="0" w:line="62" w:lineRule="exact"/>
        <w:rPr>
          <w:rFonts w:ascii="Arial" w:cs="Arial" w:eastAsia="Arial" w:hAnsi="Arial"/>
          <w:sz w:val="16"/>
          <w:szCs w:val="16"/>
          <w:color w:val="auto"/>
        </w:rPr>
      </w:pPr>
    </w:p>
    <w:p>
      <w:pPr>
        <w:ind w:left="620" w:hanging="176"/>
        <w:spacing w:after="0"/>
        <w:tabs>
          <w:tab w:leader="none" w:pos="62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990"/>
        <w:spacing w:after="0" w:line="290" w:lineRule="auto"/>
        <w:tabs>
          <w:tab w:leader="none" w:pos="1221" w:val="left"/>
        </w:tabs>
        <w:numPr>
          <w:ilvl w:val="1"/>
          <w:numId w:val="363"/>
        </w:numPr>
        <w:rPr>
          <w:rFonts w:ascii="Arial" w:cs="Arial" w:eastAsia="Arial" w:hAnsi="Arial"/>
          <w:sz w:val="16"/>
          <w:szCs w:val="16"/>
          <w:color w:val="auto"/>
        </w:rPr>
      </w:pPr>
      <w:r>
        <w:rPr>
          <w:rFonts w:ascii="Arial" w:cs="Arial" w:eastAsia="Arial" w:hAnsi="Arial"/>
          <w:sz w:val="16"/>
          <w:szCs w:val="16"/>
          <w:color w:val="auto"/>
        </w:rPr>
        <w:t xml:space="preserve">Whether or not the indemnification provided in </w:t>
      </w:r>
      <w:r>
        <w:rPr>
          <w:rFonts w:ascii="Arial" w:cs="Arial" w:eastAsia="Arial" w:hAnsi="Arial"/>
          <w:sz w:val="16"/>
          <w:szCs w:val="16"/>
          <w:u w:val="single" w:color="auto"/>
          <w:color w:val="auto"/>
        </w:rPr>
        <w:t>Sections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56" w:lineRule="exact"/>
        <w:rPr>
          <w:rFonts w:ascii="Arial" w:cs="Arial" w:eastAsia="Arial" w:hAnsi="Arial"/>
          <w:sz w:val="16"/>
          <w:szCs w:val="16"/>
          <w:color w:val="auto"/>
        </w:rPr>
      </w:pPr>
    </w:p>
    <w:p>
      <w:pPr>
        <w:ind w:right="100" w:firstLine="990"/>
        <w:spacing w:after="0" w:line="265" w:lineRule="auto"/>
        <w:tabs>
          <w:tab w:leader="none" w:pos="1235" w:val="left"/>
        </w:tabs>
        <w:numPr>
          <w:ilvl w:val="1"/>
          <w:numId w:val="363"/>
        </w:numPr>
        <w:rPr>
          <w:rFonts w:ascii="Arial" w:cs="Arial" w:eastAsia="Arial" w:hAnsi="Arial"/>
          <w:sz w:val="17"/>
          <w:szCs w:val="17"/>
          <w:color w:val="auto"/>
        </w:rPr>
      </w:pPr>
      <w:r>
        <w:rPr>
          <w:rFonts w:ascii="Arial" w:cs="Arial" w:eastAsia="Arial" w:hAnsi="Arial"/>
          <w:sz w:val="17"/>
          <w:szCs w:val="17"/>
          <w:color w:val="auto"/>
        </w:rPr>
        <w:t xml:space="preserve">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406" w:name="page407"/>
    <w:bookmarkEnd w:id="406"/>
    <w:p>
      <w:pPr>
        <w:ind w:left="-7" w:right="120" w:firstLine="990"/>
        <w:spacing w:after="0" w:line="271" w:lineRule="auto"/>
        <w:tabs>
          <w:tab w:leader="none" w:pos="1217" w:val="left"/>
        </w:tabs>
        <w:numPr>
          <w:ilvl w:val="2"/>
          <w:numId w:val="3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67" w:lineRule="exact"/>
        <w:rPr>
          <w:rFonts w:ascii="Arial" w:cs="Arial" w:eastAsia="Arial" w:hAnsi="Arial"/>
          <w:sz w:val="18"/>
          <w:szCs w:val="18"/>
          <w:color w:val="auto"/>
        </w:rPr>
      </w:pPr>
    </w:p>
    <w:p>
      <w:pPr>
        <w:ind w:left="-7" w:firstLine="990"/>
        <w:spacing w:after="0" w:line="282" w:lineRule="auto"/>
        <w:tabs>
          <w:tab w:leader="none" w:pos="1227" w:val="left"/>
        </w:tabs>
        <w:numPr>
          <w:ilvl w:val="2"/>
          <w:numId w:val="364"/>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and without diminishing or impairing the obligations of the Company set forth in the preceding subparagraphs of this Section 3,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w:t>
      </w:r>
    </w:p>
    <w:p>
      <w:pPr>
        <w:spacing w:after="0" w:line="1" w:lineRule="exact"/>
        <w:rPr>
          <w:rFonts w:ascii="Arial" w:cs="Arial" w:eastAsia="Arial" w:hAnsi="Arial"/>
          <w:sz w:val="16"/>
          <w:szCs w:val="16"/>
          <w:color w:val="auto"/>
        </w:rPr>
      </w:pPr>
    </w:p>
    <w:p>
      <w:pPr>
        <w:ind w:left="213" w:hanging="213"/>
        <w:spacing w:after="0"/>
        <w:tabs>
          <w:tab w:leader="none" w:pos="213"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relative benefits received by the Company and Indemnitee as a result of the event(s) and/or transaction(s) giving cause to such Proceeding and/or</w:t>
      </w:r>
    </w:p>
    <w:p>
      <w:pPr>
        <w:spacing w:after="0" w:line="29" w:lineRule="exact"/>
        <w:rPr>
          <w:rFonts w:ascii="Arial" w:cs="Arial" w:eastAsia="Arial" w:hAnsi="Arial"/>
          <w:sz w:val="16"/>
          <w:szCs w:val="16"/>
          <w:color w:val="auto"/>
        </w:rPr>
      </w:pPr>
    </w:p>
    <w:p>
      <w:pPr>
        <w:ind w:left="-7" w:right="660" w:firstLine="7"/>
        <w:spacing w:after="0" w:line="256" w:lineRule="auto"/>
        <w:tabs>
          <w:tab w:leader="none" w:pos="255"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relative fault of the Company (and its directors, officers, employees and agents) and Indemnitee in connection with such event(s) and/or transaction(s).</w:t>
      </w:r>
    </w:p>
    <w:p>
      <w:pPr>
        <w:spacing w:after="0" w:line="80" w:lineRule="exact"/>
        <w:rPr>
          <w:rFonts w:ascii="Arial" w:cs="Arial" w:eastAsia="Arial" w:hAnsi="Arial"/>
          <w:sz w:val="18"/>
          <w:szCs w:val="18"/>
          <w:color w:val="auto"/>
        </w:rPr>
      </w:pPr>
    </w:p>
    <w:p>
      <w:pPr>
        <w:jc w:val="both"/>
        <w:ind w:left="-7" w:right="60" w:firstLine="444"/>
        <w:spacing w:after="0" w:line="281" w:lineRule="auto"/>
        <w:tabs>
          <w:tab w:leader="none" w:pos="607" w:val="left"/>
        </w:tabs>
        <w:numPr>
          <w:ilvl w:val="1"/>
          <w:numId w:val="365"/>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Notwithstanding any other provision of this Agreement, to the extent that Indemnitee is, by reason of his Corporate Status, a witness, or is made (or asked) to respond to discovery requests, in any Proceeding to which Indemnitee is not a party, he shall be indemnified against all Expenses actually and reasonably incurred by him or on his behalf in connection therewith.</w:t>
      </w:r>
    </w:p>
    <w:p>
      <w:pPr>
        <w:spacing w:after="0" w:line="62" w:lineRule="exact"/>
        <w:rPr>
          <w:rFonts w:ascii="Arial" w:cs="Arial" w:eastAsia="Arial" w:hAnsi="Arial"/>
          <w:sz w:val="17"/>
          <w:szCs w:val="17"/>
          <w:color w:val="auto"/>
        </w:rPr>
      </w:pPr>
    </w:p>
    <w:p>
      <w:pPr>
        <w:ind w:left="-7" w:right="40" w:firstLine="444"/>
        <w:spacing w:after="0" w:line="269" w:lineRule="auto"/>
        <w:tabs>
          <w:tab w:leader="none" w:pos="607" w:val="left"/>
        </w:tabs>
        <w:numPr>
          <w:ilvl w:val="1"/>
          <w:numId w:val="365"/>
        </w:numPr>
        <w:rPr>
          <w:rFonts w:ascii="Arial" w:cs="Arial" w:eastAsia="Arial" w:hAnsi="Arial"/>
          <w:sz w:val="17"/>
          <w:szCs w:val="17"/>
          <w:color w:val="auto"/>
        </w:rPr>
      </w:pPr>
      <w:r>
        <w:rPr>
          <w:rFonts w:ascii="Arial" w:cs="Arial" w:eastAsia="Arial" w:hAnsi="Arial"/>
          <w:sz w:val="17"/>
          <w:szCs w:val="17"/>
          <w:u w:val="single" w:color="auto"/>
          <w:color w:val="auto"/>
        </w:rPr>
        <w:t>Advancement of Expenses</w:t>
      </w:r>
      <w:r>
        <w:rPr>
          <w:rFonts w:ascii="Arial" w:cs="Arial" w:eastAsia="Arial" w:hAnsi="Arial"/>
          <w:sz w:val="17"/>
          <w:szCs w:val="17"/>
          <w:color w:val="auto"/>
        </w:rPr>
        <w:t xml:space="preserve">. Notwithstanding any other provision of this Agreement, the Company shall advance all Expenses incurred by or on behalf of Indemnitee in connection with any Proceeding by reason of Indemnitee’s Corporate Status within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be unsecured and interest free and not conditioned on Indemnitee’s ability to repay such advances.</w:t>
      </w:r>
    </w:p>
    <w:p>
      <w:pPr>
        <w:spacing w:after="0" w:line="71" w:lineRule="exact"/>
        <w:rPr>
          <w:rFonts w:ascii="Arial" w:cs="Arial" w:eastAsia="Arial" w:hAnsi="Arial"/>
          <w:sz w:val="17"/>
          <w:szCs w:val="17"/>
          <w:color w:val="auto"/>
        </w:rPr>
      </w:pPr>
    </w:p>
    <w:p>
      <w:pPr>
        <w:ind w:left="-7" w:firstLine="444"/>
        <w:spacing w:after="0" w:line="255" w:lineRule="auto"/>
        <w:tabs>
          <w:tab w:leader="none" w:pos="607" w:val="left"/>
        </w:tabs>
        <w:numPr>
          <w:ilvl w:val="1"/>
          <w:numId w:val="365"/>
        </w:numPr>
        <w:rPr>
          <w:rFonts w:ascii="Arial" w:cs="Arial" w:eastAsia="Arial" w:hAnsi="Arial"/>
          <w:sz w:val="18"/>
          <w:szCs w:val="18"/>
          <w:color w:val="auto"/>
        </w:rPr>
      </w:pPr>
      <w:r>
        <w:rPr>
          <w:rFonts w:ascii="Arial" w:cs="Arial" w:eastAsia="Arial" w:hAnsi="Arial"/>
          <w:sz w:val="18"/>
          <w:szCs w:val="18"/>
          <w:u w:val="single" w:color="auto"/>
          <w:color w:val="auto"/>
        </w:rPr>
        <w:t>Procedures and Presumptions for Determination of Entitlement to Indemnification</w:t>
      </w:r>
      <w:r>
        <w:rPr>
          <w:rFonts w:ascii="Arial" w:cs="Arial" w:eastAsia="Arial" w:hAnsi="Arial"/>
          <w:sz w:val="18"/>
          <w:szCs w:val="18"/>
          <w:color w:val="auto"/>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83" w:lineRule="exact"/>
        <w:rPr>
          <w:rFonts w:ascii="Arial" w:cs="Arial" w:eastAsia="Arial" w:hAnsi="Arial"/>
          <w:sz w:val="18"/>
          <w:szCs w:val="18"/>
          <w:color w:val="auto"/>
        </w:rPr>
      </w:pPr>
    </w:p>
    <w:p>
      <w:pPr>
        <w:ind w:left="-7" w:right="160" w:firstLine="990"/>
        <w:spacing w:after="0" w:line="290" w:lineRule="auto"/>
        <w:tabs>
          <w:tab w:leader="none" w:pos="1217" w:val="left"/>
        </w:tabs>
        <w:numPr>
          <w:ilvl w:val="2"/>
          <w:numId w:val="365"/>
        </w:numPr>
        <w:rPr>
          <w:rFonts w:ascii="Arial" w:cs="Arial" w:eastAsia="Arial" w:hAnsi="Arial"/>
          <w:sz w:val="16"/>
          <w:szCs w:val="16"/>
          <w:color w:val="auto"/>
        </w:rPr>
      </w:pPr>
      <w:r>
        <w:rPr>
          <w:rFonts w:ascii="Arial" w:cs="Arial" w:eastAsia="Arial" w:hAnsi="Arial"/>
          <w:sz w:val="16"/>
          <w:szCs w:val="16"/>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56" w:lineRule="exact"/>
        <w:rPr>
          <w:rFonts w:ascii="Arial" w:cs="Arial" w:eastAsia="Arial" w:hAnsi="Arial"/>
          <w:sz w:val="16"/>
          <w:szCs w:val="16"/>
          <w:color w:val="auto"/>
        </w:rPr>
      </w:pPr>
    </w:p>
    <w:p>
      <w:pPr>
        <w:ind w:left="-7" w:right="80" w:firstLine="990"/>
        <w:spacing w:after="0" w:line="259" w:lineRule="auto"/>
        <w:tabs>
          <w:tab w:leader="none" w:pos="1227" w:val="left"/>
        </w:tabs>
        <w:numPr>
          <w:ilvl w:val="2"/>
          <w:numId w:val="365"/>
        </w:numPr>
        <w:rPr>
          <w:rFonts w:ascii="Arial" w:cs="Arial" w:eastAsia="Arial" w:hAnsi="Arial"/>
          <w:sz w:val="18"/>
          <w:szCs w:val="18"/>
          <w:color w:val="auto"/>
        </w:rPr>
      </w:pPr>
      <w:r>
        <w:rPr>
          <w:rFonts w:ascii="Arial" w:cs="Arial" w:eastAsia="Arial" w:hAnsi="Arial"/>
          <w:sz w:val="18"/>
          <w:szCs w:val="18"/>
          <w:color w:val="auto"/>
        </w:rPr>
        <w:t xml:space="preserve">Upon written request by Indemnitee for indemnification pursuant to the first sentence of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hereof, a determination with respect to Indemnitee’s entitlement thereto shall be made in the specific case by one of the following four methods, which shall be at the election of the Board (1) by a majority vote of the disinterested directors, even though less than a quorum, (2) by a</w:t>
      </w:r>
    </w:p>
    <w:p>
      <w:pPr>
        <w:spacing w:after="0" w:line="119"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73"/>
          </w:cols>
          <w:pgMar w:left="487" w:top="272" w:right="539" w:bottom="1440" w:gutter="0" w:footer="0" w:header="0"/>
        </w:sectPr>
      </w:pPr>
    </w:p>
    <w:bookmarkStart w:id="407" w:name="page408"/>
    <w:bookmarkEnd w:id="407"/>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committee of disinterested directors designated by a majority vote of the disinterested directors, even though less than a quorum, (3) if there are no disinterested directors or if the disinterested directors so direct, by independent legal counsel in a written opinion to the Board, a copy of which shall be delivered to the Indemnitee, or (4) if so directed by the Board, by the stockholders of the Company. For purposes hereof, disinterested directors are those members of the Board who are not parties to the action, suit or proceeding in respect of which indemnification is sought by Indemnitee.</w:t>
      </w:r>
    </w:p>
    <w:p>
      <w:pPr>
        <w:spacing w:after="0" w:line="52" w:lineRule="exact"/>
        <w:rPr>
          <w:sz w:val="20"/>
          <w:szCs w:val="20"/>
          <w:color w:val="auto"/>
        </w:rPr>
      </w:pPr>
    </w:p>
    <w:p>
      <w:pPr>
        <w:ind w:firstLine="990"/>
        <w:spacing w:after="0" w:line="265" w:lineRule="auto"/>
        <w:tabs>
          <w:tab w:leader="none" w:pos="1225" w:val="left"/>
        </w:tabs>
        <w:numPr>
          <w:ilvl w:val="0"/>
          <w:numId w:val="366"/>
        </w:numPr>
        <w:rPr>
          <w:rFonts w:ascii="Arial" w:cs="Arial" w:eastAsia="Arial" w:hAnsi="Arial"/>
          <w:sz w:val="17"/>
          <w:szCs w:val="17"/>
          <w:color w:val="auto"/>
        </w:rPr>
      </w:pPr>
      <w:r>
        <w:rPr>
          <w:rFonts w:ascii="Arial" w:cs="Arial" w:eastAsia="Arial" w:hAnsi="Arial"/>
          <w:sz w:val="17"/>
          <w:szCs w:val="17"/>
          <w:color w:val="auto"/>
        </w:rPr>
        <w:t xml:space="preserve">If the determination of entitlement to indemnification is to be made by Independent Counsel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hereof, the Independent Counsel shall be selected as provided in this </w:t>
      </w:r>
      <w:r>
        <w:rPr>
          <w:rFonts w:ascii="Arial" w:cs="Arial" w:eastAsia="Arial" w:hAnsi="Arial"/>
          <w:sz w:val="17"/>
          <w:szCs w:val="17"/>
          <w:u w:val="single" w:color="auto"/>
          <w:color w:val="auto"/>
        </w:rPr>
        <w:t>Section 6(c)</w:t>
      </w:r>
      <w:r>
        <w:rPr>
          <w:rFonts w:ascii="Arial" w:cs="Arial" w:eastAsia="Arial" w:hAnsi="Arial"/>
          <w:sz w:val="17"/>
          <w:szCs w:val="17"/>
          <w:color w:val="auto"/>
        </w:rPr>
        <w:t>. The Independent Counsel shall be selected by the Board and written notice of such selection shall be given to Indemnitee. Indemnitee may, within ten days after such written notice of selection shall have been given, deliver to the Company a written objection to such selection; provided, however, that such objection may be asserted only on the ground that the Independent Counsel so selected does not meet the requirements of “</w:t>
      </w:r>
      <w:r>
        <w:rPr>
          <w:rFonts w:ascii="Arial" w:cs="Arial" w:eastAsia="Arial" w:hAnsi="Arial"/>
          <w:sz w:val="17"/>
          <w:szCs w:val="17"/>
          <w:b w:val="1"/>
          <w:bCs w:val="1"/>
          <w:color w:val="auto"/>
        </w:rPr>
        <w:t>Independent Counsel</w:t>
      </w:r>
      <w:r>
        <w:rPr>
          <w:rFonts w:ascii="Arial" w:cs="Arial" w:eastAsia="Arial" w:hAnsi="Arial"/>
          <w:sz w:val="17"/>
          <w:szCs w:val="17"/>
          <w:color w:val="auto"/>
        </w:rPr>
        <w:t xml:space="preserve">” as defined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20 days after submission by Indemnitee of a written request for indemnification pursuant to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hereof, no Independent Counsel shall have been selected and not objected to, either the Company or Indemnitee may petition the Court of Chancery of the State of Delaware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hereof. The Company shall pay any and all reasonable fees and expenses of Independent Counsel incurred by such Independent Counsel in connection with acting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hereof, and the Company shall pay all reasonable fees and expenses incident to the procedures of this </w:t>
      </w:r>
      <w:r>
        <w:rPr>
          <w:rFonts w:ascii="Arial" w:cs="Arial" w:eastAsia="Arial" w:hAnsi="Arial"/>
          <w:sz w:val="17"/>
          <w:szCs w:val="17"/>
          <w:u w:val="single" w:color="auto"/>
          <w:color w:val="auto"/>
        </w:rPr>
        <w:t>Section 6(c)</w:t>
      </w:r>
      <w:r>
        <w:rPr>
          <w:rFonts w:ascii="Arial" w:cs="Arial" w:eastAsia="Arial" w:hAnsi="Arial"/>
          <w:sz w:val="17"/>
          <w:szCs w:val="17"/>
          <w:color w:val="auto"/>
        </w:rPr>
        <w:t>, regardless of the manner in which such Independent Counsel was selected or appointed.</w:t>
      </w:r>
    </w:p>
    <w:p>
      <w:pPr>
        <w:spacing w:after="0" w:line="77" w:lineRule="exact"/>
        <w:rPr>
          <w:rFonts w:ascii="Arial" w:cs="Arial" w:eastAsia="Arial" w:hAnsi="Arial"/>
          <w:sz w:val="17"/>
          <w:szCs w:val="17"/>
          <w:color w:val="auto"/>
        </w:rPr>
      </w:pPr>
    </w:p>
    <w:p>
      <w:pPr>
        <w:ind w:right="40" w:firstLine="990"/>
        <w:spacing w:after="0" w:line="269" w:lineRule="auto"/>
        <w:tabs>
          <w:tab w:leader="none" w:pos="1235" w:val="left"/>
        </w:tabs>
        <w:numPr>
          <w:ilvl w:val="0"/>
          <w:numId w:val="366"/>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spacing w:after="0" w:line="71" w:lineRule="exact"/>
        <w:rPr>
          <w:rFonts w:ascii="Arial" w:cs="Arial" w:eastAsia="Arial" w:hAnsi="Arial"/>
          <w:sz w:val="17"/>
          <w:szCs w:val="17"/>
          <w:color w:val="auto"/>
        </w:rPr>
      </w:pPr>
    </w:p>
    <w:p>
      <w:pPr>
        <w:ind w:right="140" w:firstLine="990"/>
        <w:spacing w:after="0" w:line="267" w:lineRule="auto"/>
        <w:tabs>
          <w:tab w:leader="none" w:pos="1225" w:val="left"/>
        </w:tabs>
        <w:numPr>
          <w:ilvl w:val="0"/>
          <w:numId w:val="366"/>
        </w:numPr>
        <w:rPr>
          <w:rFonts w:ascii="Arial" w:cs="Arial" w:eastAsia="Arial" w:hAnsi="Arial"/>
          <w:sz w:val="17"/>
          <w:szCs w:val="17"/>
          <w:color w:val="auto"/>
        </w:rPr>
      </w:pPr>
      <w:r>
        <w:rPr>
          <w:rFonts w:ascii="Arial" w:cs="Arial" w:eastAsia="Arial" w:hAnsi="Arial"/>
          <w:sz w:val="17"/>
          <w:szCs w:val="17"/>
          <w:color w:val="auto"/>
        </w:rPr>
        <w:t xml:space="preserve">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are satisfied, it shall in any event be presumed that Indemnitee has at all times acted in good faith and in a manner he reasonably believed to be in or not opposed to the best interests of the Company. Anyone seeking to overcome this presumption shall have the burden of proof and the burden of persuasion by clear and convincing evidence.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408" w:name="page409"/>
    <w:bookmarkEnd w:id="408"/>
    <w:p>
      <w:pPr>
        <w:ind w:left="-20" w:right="80" w:firstLine="990"/>
        <w:spacing w:after="0" w:line="283" w:lineRule="auto"/>
        <w:tabs>
          <w:tab w:leader="none" w:pos="1185" w:val="left"/>
        </w:tabs>
        <w:numPr>
          <w:ilvl w:val="1"/>
          <w:numId w:val="3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If the person, persons or entity empowered or selected under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to determine whether Indemnitee is entitled to indemnification shall not have made a determination within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60 day period may be extended for a reasonable time, not to exceed an additional 30 days, if the person, persons or entity making such determination with respect to entitlement to indemnification in good faith requires such additional time to obtain or evaluate documentation and/or information relating thereto;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foregoing provisions of this </w:t>
      </w:r>
      <w:r>
        <w:rPr>
          <w:rFonts w:ascii="Arial" w:cs="Arial" w:eastAsia="Arial" w:hAnsi="Arial"/>
          <w:sz w:val="16"/>
          <w:szCs w:val="16"/>
          <w:u w:val="single" w:color="auto"/>
          <w:color w:val="auto"/>
        </w:rPr>
        <w:t>Section 6(f)</w:t>
      </w:r>
      <w:r>
        <w:rPr>
          <w:rFonts w:ascii="Arial" w:cs="Arial" w:eastAsia="Arial" w:hAnsi="Arial"/>
          <w:sz w:val="16"/>
          <w:szCs w:val="16"/>
          <w:color w:val="auto"/>
        </w:rPr>
        <w:t xml:space="preserve"> shall not apply if the determination of entitlement to indemnification is to be made by the stockholders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of this Agreement and if (A) within 15 days after receipt by the Company of the request for such determination, the Board or the Disinterested Directors, if appropriate, resolve to submit such determination to the stockholders for their consideration at an annual meeting thereof to be held within 75 days after such receipt and such determination is made thereat, or (B) a special meeting of stockholders is called within 15 days after such receipt for the purpose of making such determination, such meeting is held for such purpose within 60 days after having been so called and such determination is made thereat.</w:t>
      </w:r>
    </w:p>
    <w:p>
      <w:pPr>
        <w:spacing w:after="0" w:line="68" w:lineRule="exact"/>
        <w:rPr>
          <w:rFonts w:ascii="Arial" w:cs="Arial" w:eastAsia="Arial" w:hAnsi="Arial"/>
          <w:sz w:val="16"/>
          <w:szCs w:val="16"/>
          <w:color w:val="auto"/>
        </w:rPr>
      </w:pPr>
    </w:p>
    <w:p>
      <w:pPr>
        <w:ind w:left="-20" w:right="20" w:firstLine="990"/>
        <w:spacing w:after="0" w:line="268" w:lineRule="auto"/>
        <w:tabs>
          <w:tab w:leader="none" w:pos="1215" w:val="left"/>
        </w:tabs>
        <w:numPr>
          <w:ilvl w:val="1"/>
          <w:numId w:val="367"/>
        </w:numPr>
        <w:rPr>
          <w:rFonts w:ascii="Arial" w:cs="Arial" w:eastAsia="Arial" w:hAnsi="Arial"/>
          <w:sz w:val="17"/>
          <w:szCs w:val="17"/>
          <w:color w:val="auto"/>
        </w:rPr>
      </w:pPr>
      <w:r>
        <w:rPr>
          <w:rFonts w:ascii="Arial" w:cs="Arial" w:eastAsia="Arial" w:hAnsi="Arial"/>
          <w:sz w:val="17"/>
          <w:szCs w:val="17"/>
          <w:color w:val="auto"/>
        </w:rPr>
        <w:t>Indemnitee shall reasonably and in good faith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72" w:lineRule="exact"/>
        <w:rPr>
          <w:rFonts w:ascii="Arial" w:cs="Arial" w:eastAsia="Arial" w:hAnsi="Arial"/>
          <w:sz w:val="17"/>
          <w:szCs w:val="17"/>
          <w:color w:val="auto"/>
        </w:rPr>
      </w:pPr>
    </w:p>
    <w:p>
      <w:pPr>
        <w:ind w:left="-20" w:right="160" w:firstLine="990"/>
        <w:spacing w:after="0" w:line="293" w:lineRule="auto"/>
        <w:tabs>
          <w:tab w:leader="none" w:pos="1215" w:val="left"/>
        </w:tabs>
        <w:numPr>
          <w:ilvl w:val="1"/>
          <w:numId w:val="367"/>
        </w:numPr>
        <w:rPr>
          <w:rFonts w:ascii="Arial" w:cs="Arial" w:eastAsia="Arial" w:hAnsi="Arial"/>
          <w:sz w:val="16"/>
          <w:szCs w:val="16"/>
          <w:color w:val="auto"/>
        </w:rPr>
      </w:pPr>
      <w:r>
        <w:rPr>
          <w:rFonts w:ascii="Arial" w:cs="Arial" w:eastAsia="Arial" w:hAnsi="Arial"/>
          <w:sz w:val="16"/>
          <w:szCs w:val="16"/>
          <w:color w:val="auto"/>
        </w:rPr>
        <w:t>The Company acknowledges that a settlement or other disposition short of final judgment may be successful if it permits a party to avoid expense, delay, distraction, disruption and uncertainty. In the event that any Proceeding to which Indemnitee is a party is resolved in any manner other than by adverse judgment against Indemnitee (including, without limitation, settlement of such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53" w:lineRule="exact"/>
        <w:rPr>
          <w:rFonts w:ascii="Arial" w:cs="Arial" w:eastAsia="Arial" w:hAnsi="Arial"/>
          <w:sz w:val="16"/>
          <w:szCs w:val="16"/>
          <w:color w:val="auto"/>
        </w:rPr>
      </w:pPr>
    </w:p>
    <w:p>
      <w:pPr>
        <w:ind w:left="-20" w:firstLine="990"/>
        <w:spacing w:after="0" w:line="253" w:lineRule="auto"/>
        <w:tabs>
          <w:tab w:leader="none" w:pos="1175"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85" w:lineRule="exact"/>
        <w:rPr>
          <w:rFonts w:ascii="Arial" w:cs="Arial" w:eastAsia="Arial" w:hAnsi="Arial"/>
          <w:sz w:val="18"/>
          <w:szCs w:val="18"/>
          <w:color w:val="auto"/>
        </w:rPr>
      </w:pPr>
    </w:p>
    <w:p>
      <w:pPr>
        <w:ind w:left="600" w:hanging="176"/>
        <w:spacing w:after="0"/>
        <w:tabs>
          <w:tab w:leader="none" w:pos="600"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20" w:right="160" w:firstLine="990"/>
        <w:spacing w:after="0" w:line="335" w:lineRule="auto"/>
        <w:tabs>
          <w:tab w:leader="none" w:pos="1205" w:val="left"/>
        </w:tabs>
        <w:numPr>
          <w:ilvl w:val="1"/>
          <w:numId w:val="368"/>
        </w:numPr>
        <w:rPr>
          <w:rFonts w:ascii="Arial" w:cs="Arial" w:eastAsia="Arial" w:hAnsi="Arial"/>
          <w:sz w:val="16"/>
          <w:szCs w:val="16"/>
          <w:color w:val="auto"/>
        </w:rPr>
      </w:pPr>
      <w:r>
        <w:rPr>
          <w:rFonts w:ascii="Arial" w:cs="Arial" w:eastAsia="Arial" w:hAnsi="Arial"/>
          <w:sz w:val="16"/>
          <w:szCs w:val="16"/>
          <w:color w:val="auto"/>
        </w:rPr>
        <w:t xml:space="preserve">In the event that (i) a determination is made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that Indemnitee is not entitled to indemnification under this Agreement, (ii) advancement of Expenses is not timely made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Agreement, (iii) no determination of entitlement</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500" w:top="272" w:right="499" w:bottom="1440" w:gutter="0" w:footer="0" w:header="0"/>
        </w:sectPr>
      </w:pPr>
    </w:p>
    <w:bookmarkStart w:id="409" w:name="page410"/>
    <w:bookmarkEnd w:id="40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to indemnification is made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of this Agreement within 90 days after receipt by the Company of the request for indemnification,</w:t>
      </w:r>
    </w:p>
    <w:p>
      <w:pPr>
        <w:spacing w:after="0" w:line="43" w:lineRule="exact"/>
        <w:rPr>
          <w:sz w:val="20"/>
          <w:szCs w:val="20"/>
          <w:color w:val="auto"/>
        </w:rPr>
      </w:pPr>
    </w:p>
    <w:p>
      <w:pPr>
        <w:ind w:left="300" w:hanging="293"/>
        <w:spacing w:after="0"/>
        <w:tabs>
          <w:tab w:leader="none" w:pos="30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payment of indemnification is not made pursuant to this Agreement within ten days after receipt by the Company of a written request therefor,</w:t>
      </w:r>
    </w:p>
    <w:p>
      <w:pPr>
        <w:spacing w:after="0" w:line="29" w:lineRule="exact"/>
        <w:rPr>
          <w:rFonts w:ascii="Arial" w:cs="Arial" w:eastAsia="Arial" w:hAnsi="Arial"/>
          <w:sz w:val="16"/>
          <w:szCs w:val="16"/>
          <w:color w:val="auto"/>
        </w:rPr>
      </w:pPr>
    </w:p>
    <w:p>
      <w:pPr>
        <w:ind w:firstLine="7"/>
        <w:spacing w:after="0" w:line="266" w:lineRule="auto"/>
        <w:tabs>
          <w:tab w:leader="none" w:pos="252" w:val="left"/>
        </w:tabs>
        <w:numPr>
          <w:ilvl w:val="0"/>
          <w:numId w:val="369"/>
        </w:numPr>
        <w:rPr>
          <w:rFonts w:ascii="Arial" w:cs="Arial" w:eastAsia="Arial" w:hAnsi="Arial"/>
          <w:sz w:val="17"/>
          <w:szCs w:val="17"/>
          <w:color w:val="auto"/>
        </w:rPr>
      </w:pPr>
      <w:r>
        <w:rPr>
          <w:rFonts w:ascii="Arial" w:cs="Arial" w:eastAsia="Arial" w:hAnsi="Arial"/>
          <w:sz w:val="17"/>
          <w:szCs w:val="17"/>
          <w:color w:val="auto"/>
        </w:rPr>
        <w:t xml:space="preserve">payment of indemnification is not made within ten days after a determination has been made that Indemnitee is entitled to indemnification or such determination is deemed to have been made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 or (vi) the Company or any other person takes any action to declare this Agreement void or unenforceable, or institutes any litigation or other action or Proceeding designed to deny, or to recover from, Indemnitee the benefits provided or intended to be provided hereunder, Indemnitee shall be entitled to an adjudication in an appropriate court of the State of Delaware, or in any other court of competent jurisdiction, of Indemnitee’s entitlement to such indemnification. Indemnitee shall commence such proceeding seeking an adjudication within 180 days following the date on which Indemnitee first has the right to commence such proceeding pursuant to this </w:t>
      </w:r>
      <w:r>
        <w:rPr>
          <w:rFonts w:ascii="Arial" w:cs="Arial" w:eastAsia="Arial" w:hAnsi="Arial"/>
          <w:sz w:val="17"/>
          <w:szCs w:val="17"/>
          <w:u w:val="single" w:color="auto"/>
          <w:color w:val="auto"/>
        </w:rPr>
        <w:t>Section 7(a)</w:t>
      </w:r>
      <w:r>
        <w:rPr>
          <w:rFonts w:ascii="Arial" w:cs="Arial" w:eastAsia="Arial" w:hAnsi="Arial"/>
          <w:sz w:val="17"/>
          <w:szCs w:val="17"/>
          <w:color w:val="auto"/>
        </w:rPr>
        <w:t>. The Company shall not oppose Indemnitee’s right to seek any such adjudication.</w:t>
      </w:r>
    </w:p>
    <w:p>
      <w:pPr>
        <w:spacing w:after="0" w:line="75" w:lineRule="exact"/>
        <w:rPr>
          <w:rFonts w:ascii="Arial" w:cs="Arial" w:eastAsia="Arial" w:hAnsi="Arial"/>
          <w:sz w:val="17"/>
          <w:szCs w:val="17"/>
          <w:color w:val="auto"/>
        </w:rPr>
      </w:pPr>
    </w:p>
    <w:p>
      <w:pPr>
        <w:ind w:right="260" w:firstLine="990"/>
        <w:spacing w:after="0" w:line="259" w:lineRule="auto"/>
        <w:tabs>
          <w:tab w:leader="none" w:pos="1235" w:val="left"/>
        </w:tabs>
        <w:numPr>
          <w:ilvl w:val="1"/>
          <w:numId w:val="369"/>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this Agreement that Indemnitee is not entitled to indemnification, any judicial proceeding commenced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be conducted in all respects as a de novo trial on the merits, and Indemnitee shall not be prejudiced by reason of the adverse determination under </w:t>
      </w:r>
      <w:r>
        <w:rPr>
          <w:rFonts w:ascii="Arial" w:cs="Arial" w:eastAsia="Arial" w:hAnsi="Arial"/>
          <w:sz w:val="18"/>
          <w:szCs w:val="18"/>
          <w:u w:val="single" w:color="auto"/>
          <w:color w:val="auto"/>
        </w:rPr>
        <w:t>Section 6(b)</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60" w:firstLine="990"/>
        <w:spacing w:after="0" w:line="275" w:lineRule="auto"/>
        <w:tabs>
          <w:tab w:leader="none" w:pos="1225" w:val="left"/>
        </w:tabs>
        <w:numPr>
          <w:ilvl w:val="1"/>
          <w:numId w:val="369"/>
        </w:numPr>
        <w:rPr>
          <w:rFonts w:ascii="Arial" w:cs="Arial" w:eastAsia="Arial" w:hAnsi="Arial"/>
          <w:sz w:val="17"/>
          <w:szCs w:val="17"/>
          <w:color w:val="auto"/>
        </w:rPr>
      </w:pPr>
      <w:r>
        <w:rPr>
          <w:rFonts w:ascii="Arial" w:cs="Arial" w:eastAsia="Arial" w:hAnsi="Arial"/>
          <w:sz w:val="17"/>
          <w:szCs w:val="17"/>
          <w:color w:val="auto"/>
        </w:rPr>
        <w:t xml:space="preserve">If a determination shall have been made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of this Agreement that Indemnitee is entitled to indemnification, the Company shall be bound by such determination in any judicial proceeding commenced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66" w:lineRule="exact"/>
        <w:rPr>
          <w:rFonts w:ascii="Arial" w:cs="Arial" w:eastAsia="Arial" w:hAnsi="Arial"/>
          <w:sz w:val="17"/>
          <w:szCs w:val="17"/>
          <w:color w:val="auto"/>
        </w:rPr>
      </w:pPr>
    </w:p>
    <w:p>
      <w:pPr>
        <w:ind w:right="220" w:firstLine="990"/>
        <w:spacing w:after="0" w:line="253" w:lineRule="auto"/>
        <w:tabs>
          <w:tab w:leader="none" w:pos="1235" w:val="left"/>
        </w:tabs>
        <w:numPr>
          <w:ilvl w:val="1"/>
          <w:numId w:val="369"/>
        </w:numPr>
        <w:rPr>
          <w:rFonts w:ascii="Arial" w:cs="Arial" w:eastAsia="Arial" w:hAnsi="Arial"/>
          <w:sz w:val="18"/>
          <w:szCs w:val="18"/>
          <w:color w:val="auto"/>
        </w:rPr>
      </w:pPr>
      <w:r>
        <w:rPr>
          <w:rFonts w:ascii="Arial" w:cs="Arial" w:eastAsia="Arial" w:hAnsi="Arial"/>
          <w:sz w:val="18"/>
          <w:szCs w:val="18"/>
          <w:color w:val="auto"/>
        </w:rPr>
        <w:t xml:space="preserve">In the event that Indemnitee,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seeks a judicial adjudication of his rights under, or to recover damages for breach of, this Agreement, or to recover under any directors’ and officers’ liability insurance policies maintained by the Company, the Company shall pay on his behalf, in advance, any and all expenses (of the types described in the definition of Expenses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this Agreement) actually and reasonably incurred by him in such judicial adjudication, regardless of whether Indemnitee ultimately is determined to be entitled to such indemnification, advancement of expenses or insurance recovery.</w:t>
      </w:r>
    </w:p>
    <w:p>
      <w:pPr>
        <w:spacing w:after="0" w:line="85" w:lineRule="exact"/>
        <w:rPr>
          <w:rFonts w:ascii="Arial" w:cs="Arial" w:eastAsia="Arial" w:hAnsi="Arial"/>
          <w:sz w:val="18"/>
          <w:szCs w:val="18"/>
          <w:color w:val="auto"/>
        </w:rPr>
      </w:pPr>
    </w:p>
    <w:p>
      <w:pPr>
        <w:ind w:right="80" w:firstLine="990"/>
        <w:spacing w:after="0" w:line="288" w:lineRule="auto"/>
        <w:tabs>
          <w:tab w:leader="none" w:pos="1225" w:val="left"/>
        </w:tabs>
        <w:numPr>
          <w:ilvl w:val="1"/>
          <w:numId w:val="369"/>
        </w:numPr>
        <w:rPr>
          <w:rFonts w:ascii="Arial" w:cs="Arial" w:eastAsia="Arial" w:hAnsi="Arial"/>
          <w:sz w:val="16"/>
          <w:szCs w:val="16"/>
          <w:color w:val="auto"/>
        </w:rPr>
      </w:pPr>
      <w:r>
        <w:rPr>
          <w:rFonts w:ascii="Arial" w:cs="Arial" w:eastAsia="Arial" w:hAnsi="Arial"/>
          <w:sz w:val="16"/>
          <w:szCs w:val="16"/>
          <w:color w:val="auto"/>
        </w:rPr>
        <w:t xml:space="preserve">The Company shall be precluded from asserting in any judicial proceeding commenced pursuant to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59" w:lineRule="exact"/>
        <w:rPr>
          <w:rFonts w:ascii="Arial" w:cs="Arial" w:eastAsia="Arial" w:hAnsi="Arial"/>
          <w:sz w:val="16"/>
          <w:szCs w:val="16"/>
          <w:color w:val="auto"/>
        </w:rPr>
      </w:pPr>
    </w:p>
    <w:p>
      <w:pPr>
        <w:ind w:right="800" w:firstLine="990"/>
        <w:spacing w:after="0" w:line="271" w:lineRule="auto"/>
        <w:tabs>
          <w:tab w:leader="none" w:pos="1205" w:val="left"/>
        </w:tabs>
        <w:numPr>
          <w:ilvl w:val="1"/>
          <w:numId w:val="369"/>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80" w:top="271" w:right="519" w:bottom="1440" w:gutter="0" w:footer="0" w:header="0"/>
        </w:sectPr>
      </w:pPr>
    </w:p>
    <w:bookmarkStart w:id="410" w:name="page411"/>
    <w:bookmarkEnd w:id="410"/>
    <w:p>
      <w:pPr>
        <w:ind w:left="620" w:hanging="176"/>
        <w:spacing w:after="0"/>
        <w:tabs>
          <w:tab w:leader="none" w:pos="62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Non-Exclusivity; Survival of Rights; Insurance; Primacy of Indemnification; Subrogation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990"/>
        <w:spacing w:after="0" w:line="267" w:lineRule="auto"/>
        <w:tabs>
          <w:tab w:leader="none" w:pos="1225" w:val="left"/>
        </w:tabs>
        <w:numPr>
          <w:ilvl w:val="1"/>
          <w:numId w:val="370"/>
        </w:numPr>
        <w:rPr>
          <w:rFonts w:ascii="Arial" w:cs="Arial" w:eastAsia="Arial" w:hAnsi="Arial"/>
          <w:sz w:val="17"/>
          <w:szCs w:val="17"/>
          <w:color w:val="auto"/>
        </w:rPr>
      </w:pPr>
      <w:r>
        <w:rPr>
          <w:rFonts w:ascii="Arial" w:cs="Arial" w:eastAsia="Arial" w:hAnsi="Arial"/>
          <w:sz w:val="17"/>
          <w:szCs w:val="17"/>
          <w:color w:val="auto"/>
        </w:rPr>
        <w:t>The rights of indemnification as provided by this Agreement shall not be deemed exclusive of any other rights to which Indemnitee may at any time be entitled under applicable law, the Restated Certificate, the Bylaws, any agreement, a vote of stockholders, a resolution of directors of the Company,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DGCL, whether by statute or judicial decision, permits greater indemnification than would be afforded currently under the Restated Certificate,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72" w:lineRule="exact"/>
        <w:rPr>
          <w:rFonts w:ascii="Arial" w:cs="Arial" w:eastAsia="Arial" w:hAnsi="Arial"/>
          <w:sz w:val="17"/>
          <w:szCs w:val="17"/>
          <w:color w:val="auto"/>
        </w:rPr>
      </w:pPr>
    </w:p>
    <w:p>
      <w:pPr>
        <w:ind w:firstLine="990"/>
        <w:spacing w:after="0" w:line="268" w:lineRule="auto"/>
        <w:tabs>
          <w:tab w:leader="none" w:pos="1235" w:val="left"/>
        </w:tabs>
        <w:numPr>
          <w:ilvl w:val="1"/>
          <w:numId w:val="370"/>
        </w:numPr>
        <w:rPr>
          <w:rFonts w:ascii="Arial" w:cs="Arial" w:eastAsia="Arial" w:hAnsi="Arial"/>
          <w:sz w:val="17"/>
          <w:szCs w:val="17"/>
          <w:color w:val="auto"/>
        </w:rPr>
      </w:pPr>
      <w:r>
        <w:rPr>
          <w:rFonts w:ascii="Arial" w:cs="Arial" w:eastAsia="Arial" w:hAnsi="Arial"/>
          <w:sz w:val="17"/>
          <w:szCs w:val="17"/>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68" w:lineRule="exact"/>
        <w:rPr>
          <w:rFonts w:ascii="Arial" w:cs="Arial" w:eastAsia="Arial" w:hAnsi="Arial"/>
          <w:sz w:val="17"/>
          <w:szCs w:val="17"/>
          <w:color w:val="auto"/>
        </w:rPr>
      </w:pPr>
    </w:p>
    <w:p>
      <w:pPr>
        <w:ind w:right="140" w:firstLine="990"/>
        <w:spacing w:after="0" w:line="283" w:lineRule="auto"/>
        <w:tabs>
          <w:tab w:leader="none" w:pos="1225" w:val="left"/>
        </w:tabs>
        <w:numPr>
          <w:ilvl w:val="1"/>
          <w:numId w:val="3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 fund-affiliated directors only]</w:t>
      </w:r>
      <w:r>
        <w:rPr>
          <w:rFonts w:ascii="Arial" w:cs="Arial" w:eastAsia="Arial" w:hAnsi="Arial"/>
          <w:sz w:val="16"/>
          <w:szCs w:val="16"/>
          <w:color w:val="auto"/>
        </w:rPr>
        <w:t>The Company hereby acknowledges that Indemnitee has certain rights to indemnification, advancement of expenses and/or insurance provided by one or more VC Funds and certain of its affiliates (collectively, the “</w:t>
      </w:r>
      <w:r>
        <w:rPr>
          <w:rFonts w:ascii="Arial" w:cs="Arial" w:eastAsia="Arial" w:hAnsi="Arial"/>
          <w:sz w:val="16"/>
          <w:szCs w:val="16"/>
          <w:b w:val="1"/>
          <w:bCs w:val="1"/>
          <w:color w:val="auto"/>
        </w:rPr>
        <w:t>Fund Indemnitors</w:t>
      </w:r>
      <w:r>
        <w:rPr>
          <w:rFonts w:ascii="Arial" w:cs="Arial" w:eastAsia="Arial" w:hAnsi="Arial"/>
          <w:sz w:val="16"/>
          <w:szCs w:val="16"/>
          <w:color w:val="auto"/>
        </w:rPr>
        <w:t>”). The Company hereby agrees (i) that it is the indemnitor of first resort (</w:t>
      </w:r>
      <w:r>
        <w:rPr>
          <w:rFonts w:ascii="Arial" w:cs="Arial" w:eastAsia="Arial" w:hAnsi="Arial"/>
          <w:sz w:val="16"/>
          <w:szCs w:val="16"/>
          <w:i w:val="1"/>
          <w:iCs w:val="1"/>
          <w:color w:val="auto"/>
        </w:rPr>
        <w:t>i.e.</w:t>
      </w:r>
      <w:r>
        <w:rPr>
          <w:rFonts w:ascii="Arial" w:cs="Arial" w:eastAsia="Arial" w:hAnsi="Arial"/>
          <w:sz w:val="16"/>
          <w:szCs w:val="16"/>
          <w:color w:val="auto"/>
        </w:rPr>
        <w:t>,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Restated Certificate or Bylaws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issue or matter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8(c) and shall have rights to enforce the terms of this Agreement that have been provided for the benefit of the Fund Indemnitors.]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1" w:right="499" w:bottom="1440" w:gutter="0" w:footer="0" w:header="0"/>
        </w:sectPr>
      </w:pPr>
    </w:p>
    <w:bookmarkStart w:id="411" w:name="page412"/>
    <w:bookmarkEnd w:id="411"/>
    <w:p>
      <w:pPr>
        <w:ind w:left="-60" w:right="40" w:firstLine="990"/>
        <w:spacing w:after="0" w:line="255" w:lineRule="auto"/>
        <w:tabs>
          <w:tab w:leader="none" w:pos="1175" w:val="left"/>
        </w:tabs>
        <w:numPr>
          <w:ilvl w:val="1"/>
          <w:numId w:val="3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Except as provided in paragraph (c) above, in the event of any payment under this Agreement, the Company shall be subrogated to the extent of such payment to all of the rights of recovery of Indemnitee[</w:t>
      </w:r>
      <w:r>
        <w:rPr>
          <w:rFonts w:ascii="Arial" w:cs="Arial" w:eastAsia="Arial" w:hAnsi="Arial"/>
          <w:sz w:val="18"/>
          <w:szCs w:val="18"/>
          <w:b w:val="1"/>
          <w:bCs w:val="1"/>
          <w:color w:val="auto"/>
        </w:rPr>
        <w:t>[for fund affiliated directors only]</w:t>
      </w:r>
      <w:r>
        <w:rPr>
          <w:rFonts w:ascii="Arial" w:cs="Arial" w:eastAsia="Arial" w:hAnsi="Arial"/>
          <w:sz w:val="18"/>
          <w:szCs w:val="18"/>
          <w:color w:val="auto"/>
        </w:rPr>
        <w:t xml:space="preserve"> (other than against the Fund Indemnitors)], who shall execute all papers required and take all action necessary to secure such rights, including execution of such documents as are necessary to enable the Company to bring suit to enforce such rights.</w:t>
      </w:r>
    </w:p>
    <w:p>
      <w:pPr>
        <w:spacing w:after="0" w:line="83" w:lineRule="exact"/>
        <w:rPr>
          <w:rFonts w:ascii="Arial" w:cs="Arial" w:eastAsia="Arial" w:hAnsi="Arial"/>
          <w:sz w:val="18"/>
          <w:szCs w:val="18"/>
          <w:color w:val="auto"/>
        </w:rPr>
      </w:pPr>
    </w:p>
    <w:p>
      <w:pPr>
        <w:ind w:left="-60" w:right="260" w:firstLine="990"/>
        <w:spacing w:after="0" w:line="259" w:lineRule="auto"/>
        <w:tabs>
          <w:tab w:leader="none" w:pos="1165" w:val="left"/>
        </w:tabs>
        <w:numPr>
          <w:ilvl w:val="1"/>
          <w:numId w:val="371"/>
        </w:numPr>
        <w:rPr>
          <w:rFonts w:ascii="Arial" w:cs="Arial" w:eastAsia="Arial" w:hAnsi="Arial"/>
          <w:sz w:val="18"/>
          <w:szCs w:val="18"/>
          <w:color w:val="auto"/>
        </w:rPr>
      </w:pPr>
      <w:r>
        <w:rPr>
          <w:rFonts w:ascii="Arial" w:cs="Arial" w:eastAsia="Arial" w:hAnsi="Arial"/>
          <w:sz w:val="18"/>
          <w:szCs w:val="18"/>
          <w:color w:val="auto"/>
        </w:rPr>
        <w:t>Except as provided in paragraph (c) above, 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78" w:lineRule="exact"/>
        <w:rPr>
          <w:rFonts w:ascii="Arial" w:cs="Arial" w:eastAsia="Arial" w:hAnsi="Arial"/>
          <w:sz w:val="18"/>
          <w:szCs w:val="18"/>
          <w:color w:val="auto"/>
        </w:rPr>
      </w:pPr>
    </w:p>
    <w:p>
      <w:pPr>
        <w:ind w:left="-60" w:right="60" w:firstLine="990"/>
        <w:spacing w:after="0" w:line="297" w:lineRule="auto"/>
        <w:tabs>
          <w:tab w:leader="none" w:pos="1145" w:val="left"/>
        </w:tabs>
        <w:numPr>
          <w:ilvl w:val="1"/>
          <w:numId w:val="371"/>
        </w:numPr>
        <w:rPr>
          <w:rFonts w:ascii="Arial" w:cs="Arial" w:eastAsia="Arial" w:hAnsi="Arial"/>
          <w:sz w:val="16"/>
          <w:szCs w:val="16"/>
          <w:color w:val="auto"/>
        </w:rPr>
      </w:pPr>
      <w:r>
        <w:rPr>
          <w:rFonts w:ascii="Arial" w:cs="Arial" w:eastAsia="Arial" w:hAnsi="Arial"/>
          <w:sz w:val="16"/>
          <w:szCs w:val="16"/>
          <w:color w:val="auto"/>
        </w:rPr>
        <w:t>Except as provided in paragraph (c) above, the Company’s obligation to indemnify or advance Expenses hereunder to Indemnitee who is or was serving at the request of the Company as a director, officer, employee, agent or fiduciary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52" w:lineRule="exact"/>
        <w:rPr>
          <w:rFonts w:ascii="Arial" w:cs="Arial" w:eastAsia="Arial" w:hAnsi="Arial"/>
          <w:sz w:val="16"/>
          <w:szCs w:val="16"/>
          <w:color w:val="auto"/>
        </w:rPr>
      </w:pPr>
    </w:p>
    <w:p>
      <w:pPr>
        <w:ind w:left="-60" w:right="520" w:firstLine="444"/>
        <w:spacing w:after="0" w:line="271" w:lineRule="auto"/>
        <w:tabs>
          <w:tab w:leader="none" w:pos="555"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Exception to Right of Indemnification</w:t>
      </w:r>
      <w:r>
        <w:rPr>
          <w:rFonts w:ascii="Arial" w:cs="Arial" w:eastAsia="Arial" w:hAnsi="Arial"/>
          <w:sz w:val="18"/>
          <w:szCs w:val="18"/>
          <w:color w:val="auto"/>
        </w:rPr>
        <w:t>. Notwithstanding any provision in this Agreement, the Company shall not be obligated under this Agreement to make any indemnity in connection with any claim made against Indemnitee:</w:t>
      </w:r>
    </w:p>
    <w:p>
      <w:pPr>
        <w:spacing w:after="0" w:line="67" w:lineRule="exact"/>
        <w:rPr>
          <w:rFonts w:ascii="Arial" w:cs="Arial" w:eastAsia="Arial" w:hAnsi="Arial"/>
          <w:sz w:val="18"/>
          <w:szCs w:val="18"/>
          <w:color w:val="auto"/>
        </w:rPr>
      </w:pPr>
    </w:p>
    <w:p>
      <w:pPr>
        <w:ind w:left="-60" w:right="200" w:firstLine="990"/>
        <w:spacing w:after="0" w:line="307" w:lineRule="auto"/>
        <w:tabs>
          <w:tab w:leader="none" w:pos="1165" w:val="left"/>
        </w:tabs>
        <w:numPr>
          <w:ilvl w:val="1"/>
          <w:numId w:val="372"/>
        </w:numPr>
        <w:rPr>
          <w:rFonts w:ascii="Arial" w:cs="Arial" w:eastAsia="Arial" w:hAnsi="Arial"/>
          <w:sz w:val="16"/>
          <w:szCs w:val="16"/>
          <w:color w:val="auto"/>
        </w:rPr>
      </w:pPr>
      <w:r>
        <w:rPr>
          <w:rFonts w:ascii="Arial" w:cs="Arial" w:eastAsia="Arial" w:hAnsi="Arial"/>
          <w:sz w:val="16"/>
          <w:szCs w:val="16"/>
          <w:color w:val="auto"/>
        </w:rPr>
        <w:t>for which payment has actually been made to or on behalf of Indemnitee under any insurance policy or other indemnity provision, except with respect to any excess beyond the amount paid under any insurance policy or other indemnity provision, provided, that the foregoing shall not affect the rights of Indemnitee [</w:t>
      </w:r>
      <w:r>
        <w:rPr>
          <w:rFonts w:ascii="Arial" w:cs="Arial" w:eastAsia="Arial" w:hAnsi="Arial"/>
          <w:sz w:val="16"/>
          <w:szCs w:val="16"/>
          <w:b w:val="1"/>
          <w:bCs w:val="1"/>
          <w:color w:val="auto"/>
        </w:rPr>
        <w:t>[for fund-affiliated directors only]</w:t>
      </w:r>
      <w:r>
        <w:rPr>
          <w:rFonts w:ascii="Arial" w:cs="Arial" w:eastAsia="Arial" w:hAnsi="Arial"/>
          <w:sz w:val="16"/>
          <w:szCs w:val="16"/>
          <w:color w:val="auto"/>
        </w:rPr>
        <w:t>or the Fund Indemnitors] set forth in Section 8(c) above; or</w:t>
      </w:r>
    </w:p>
    <w:p>
      <w:pPr>
        <w:spacing w:after="0" w:line="42" w:lineRule="exact"/>
        <w:rPr>
          <w:rFonts w:ascii="Arial" w:cs="Arial" w:eastAsia="Arial" w:hAnsi="Arial"/>
          <w:sz w:val="16"/>
          <w:szCs w:val="16"/>
          <w:color w:val="auto"/>
        </w:rPr>
      </w:pPr>
    </w:p>
    <w:p>
      <w:pPr>
        <w:ind w:left="-60" w:firstLine="990"/>
        <w:spacing w:after="0" w:line="335" w:lineRule="auto"/>
        <w:tabs>
          <w:tab w:leader="none" w:pos="1175" w:val="left"/>
        </w:tabs>
        <w:numPr>
          <w:ilvl w:val="1"/>
          <w:numId w:val="372"/>
        </w:numPr>
        <w:rPr>
          <w:rFonts w:ascii="Arial" w:cs="Arial" w:eastAsia="Arial" w:hAnsi="Arial"/>
          <w:sz w:val="16"/>
          <w:szCs w:val="16"/>
          <w:color w:val="auto"/>
        </w:rPr>
      </w:pPr>
      <w:r>
        <w:rPr>
          <w:rFonts w:ascii="Arial" w:cs="Arial" w:eastAsia="Arial" w:hAnsi="Arial"/>
          <w:sz w:val="16"/>
          <w:szCs w:val="16"/>
          <w:color w:val="auto"/>
        </w:rPr>
        <w:t xml:space="preserve">for an accounting of profits made from the purchase and sale (or sale and purchase) by Indemnitee of securities of the Company within the meaning of </w:t>
      </w:r>
      <w:r>
        <w:rPr>
          <w:rFonts w:ascii="Arial" w:cs="Arial" w:eastAsia="Arial" w:hAnsi="Arial"/>
          <w:sz w:val="16"/>
          <w:szCs w:val="16"/>
          <w:u w:val="single" w:color="auto"/>
          <w:color w:val="auto"/>
        </w:rPr>
        <w:t>Section 16(b)</w:t>
      </w:r>
      <w:r>
        <w:rPr>
          <w:rFonts w:ascii="Arial" w:cs="Arial" w:eastAsia="Arial" w:hAnsi="Arial"/>
          <w:sz w:val="16"/>
          <w:szCs w:val="16"/>
          <w:color w:val="auto"/>
        </w:rPr>
        <w:t xml:space="preserve"> of the Securities Exchange Act of 1934, as amended, or similar provisions of state statutory law or common law; or</w:t>
      </w:r>
    </w:p>
    <w:p>
      <w:pPr>
        <w:spacing w:after="0" w:line="21" w:lineRule="exact"/>
        <w:rPr>
          <w:rFonts w:ascii="Arial" w:cs="Arial" w:eastAsia="Arial" w:hAnsi="Arial"/>
          <w:sz w:val="16"/>
          <w:szCs w:val="16"/>
          <w:color w:val="auto"/>
        </w:rPr>
      </w:pPr>
    </w:p>
    <w:p>
      <w:pPr>
        <w:ind w:left="-60" w:right="60" w:firstLine="990"/>
        <w:spacing w:after="0" w:line="253" w:lineRule="auto"/>
        <w:tabs>
          <w:tab w:leader="none" w:pos="1165" w:val="left"/>
        </w:tabs>
        <w:numPr>
          <w:ilvl w:val="1"/>
          <w:numId w:val="372"/>
        </w:numPr>
        <w:rPr>
          <w:rFonts w:ascii="Arial" w:cs="Arial" w:eastAsia="Arial" w:hAnsi="Arial"/>
          <w:sz w:val="18"/>
          <w:szCs w:val="18"/>
          <w:color w:val="auto"/>
        </w:rPr>
      </w:pPr>
      <w:r>
        <w:rPr>
          <w:rFonts w:ascii="Arial" w:cs="Arial" w:eastAsia="Arial" w:hAnsi="Arial"/>
          <w:sz w:val="18"/>
          <w:szCs w:val="18"/>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the Proceeding is initiated by Indemnitee pursuant to Indemnitee’s rights under Section 7 of this Agreement, the Certificate or Bylaws, or (iii) the Company provides the indemnification, in its sole discretion, pursuant to the powers vested in the Company under applicable law.</w:t>
      </w:r>
    </w:p>
    <w:p>
      <w:pPr>
        <w:spacing w:after="0" w:line="85" w:lineRule="exact"/>
        <w:rPr>
          <w:rFonts w:ascii="Arial" w:cs="Arial" w:eastAsia="Arial" w:hAnsi="Arial"/>
          <w:sz w:val="18"/>
          <w:szCs w:val="18"/>
          <w:color w:val="auto"/>
        </w:rPr>
      </w:pPr>
    </w:p>
    <w:p>
      <w:pPr>
        <w:ind w:left="-60" w:right="20" w:firstLine="444"/>
        <w:spacing w:after="0" w:line="266" w:lineRule="auto"/>
        <w:tabs>
          <w:tab w:leader="none" w:pos="644" w:val="left"/>
        </w:tabs>
        <w:numPr>
          <w:ilvl w:val="0"/>
          <w:numId w:val="372"/>
        </w:numPr>
        <w:rPr>
          <w:rFonts w:ascii="Arial" w:cs="Arial" w:eastAsia="Arial" w:hAnsi="Arial"/>
          <w:sz w:val="17"/>
          <w:szCs w:val="17"/>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xml:space="preserve">. All agreements and obligations of the Company contained herein shall continue for a period of no less than seven years after the Indemnitee ceases to serve as an officer or director of the Company (or is or was serving at the request of the Company as a director, officer, employee, fiduciary or agent of another corporation, partnership, joint venture, trust or other enterprise) and shall continue thereafter so long as Indemnitee shall be subject to any Proceeding (or any proceeding commenced under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 by reason of his Corporate Status, whether or not he is acting or serving in any such capacity at the time any liability or expense is incurred for which indemnification can be provided under this Agreement[</w:t>
      </w:r>
      <w:r>
        <w:rPr>
          <w:rFonts w:ascii="Arial" w:cs="Arial" w:eastAsia="Arial" w:hAnsi="Arial"/>
          <w:sz w:val="17"/>
          <w:szCs w:val="17"/>
          <w:b w:val="1"/>
          <w:bCs w:val="1"/>
          <w:color w:val="auto"/>
        </w:rPr>
        <w:t>[for fund-affiliated directors only]</w:t>
      </w:r>
      <w:r>
        <w:rPr>
          <w:rFonts w:ascii="Arial" w:cs="Arial" w:eastAsia="Arial" w:hAnsi="Arial"/>
          <w:sz w:val="17"/>
          <w:szCs w:val="17"/>
          <w:color w:val="auto"/>
        </w:rPr>
        <w:t>, and the agreements and obligations contained herein as they relate to VC Funds shall continue during the period any VC Fund holds securities of the Company, and shall continue thereafter so long as a VC Fund shall be subject to any Fund Proceeding contemplated by Section 2(b) herein]. This Agreement shall be binding upon and inure to the benefit of and be enforceable by the parties hereto (and, where indicated in this Agreement, by the beneficiaries hereof)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00"/>
          </w:cols>
          <w:pgMar w:left="540" w:top="272" w:right="559" w:bottom="1440" w:gutter="0" w:footer="0" w:header="0"/>
        </w:sectPr>
      </w:pPr>
    </w:p>
    <w:bookmarkStart w:id="412" w:name="page413"/>
    <w:bookmarkEnd w:id="412"/>
    <w:p>
      <w:pPr>
        <w:ind w:left="-60" w:right="260" w:firstLine="444"/>
        <w:spacing w:after="0" w:line="307" w:lineRule="auto"/>
        <w:tabs>
          <w:tab w:leader="none" w:pos="637" w:val="left"/>
        </w:tabs>
        <w:numPr>
          <w:ilvl w:val="0"/>
          <w:numId w:val="37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Security</w:t>
      </w:r>
      <w:r>
        <w:rPr>
          <w:rFonts w:ascii="Arial" w:cs="Arial" w:eastAsia="Arial" w:hAnsi="Arial"/>
          <w:sz w:val="16"/>
          <w:szCs w:val="16"/>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42" w:lineRule="exact"/>
        <w:rPr>
          <w:rFonts w:ascii="Arial" w:cs="Arial" w:eastAsia="Arial" w:hAnsi="Arial"/>
          <w:sz w:val="16"/>
          <w:szCs w:val="16"/>
          <w:color w:val="auto"/>
        </w:rPr>
      </w:pPr>
    </w:p>
    <w:p>
      <w:pPr>
        <w:ind w:left="660" w:hanging="276"/>
        <w:spacing w:after="0"/>
        <w:tabs>
          <w:tab w:leader="none" w:pos="660"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60" w:right="60" w:firstLine="990"/>
        <w:spacing w:after="0" w:line="259" w:lineRule="auto"/>
        <w:tabs>
          <w:tab w:leader="none" w:pos="1165" w:val="left"/>
        </w:tabs>
        <w:numPr>
          <w:ilvl w:val="1"/>
          <w:numId w:val="373"/>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78" w:lineRule="exact"/>
        <w:rPr>
          <w:rFonts w:ascii="Arial" w:cs="Arial" w:eastAsia="Arial" w:hAnsi="Arial"/>
          <w:sz w:val="18"/>
          <w:szCs w:val="18"/>
          <w:color w:val="auto"/>
        </w:rPr>
      </w:pPr>
    </w:p>
    <w:p>
      <w:pPr>
        <w:jc w:val="both"/>
        <w:ind w:left="-60" w:firstLine="990"/>
        <w:spacing w:after="0" w:line="307" w:lineRule="auto"/>
        <w:tabs>
          <w:tab w:leader="none" w:pos="1175" w:val="left"/>
        </w:tabs>
        <w:numPr>
          <w:ilvl w:val="1"/>
          <w:numId w:val="373"/>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nothing in this Agreement shall affect any rights Indemnitee may have under the Certificate or Bylaws or under applicable laws.</w:t>
      </w:r>
    </w:p>
    <w:p>
      <w:pPr>
        <w:spacing w:after="0" w:line="42" w:lineRule="exact"/>
        <w:rPr>
          <w:rFonts w:ascii="Arial" w:cs="Arial" w:eastAsia="Arial" w:hAnsi="Arial"/>
          <w:sz w:val="16"/>
          <w:szCs w:val="16"/>
          <w:color w:val="auto"/>
        </w:rPr>
      </w:pPr>
    </w:p>
    <w:p>
      <w:pPr>
        <w:ind w:left="-60" w:right="640" w:firstLine="990"/>
        <w:spacing w:after="0" w:line="271" w:lineRule="auto"/>
        <w:tabs>
          <w:tab w:leader="none" w:pos="1165" w:val="left"/>
        </w:tabs>
        <w:numPr>
          <w:ilvl w:val="1"/>
          <w:numId w:val="373"/>
        </w:numPr>
        <w:rPr>
          <w:rFonts w:ascii="Arial" w:cs="Arial" w:eastAsia="Arial" w:hAnsi="Arial"/>
          <w:sz w:val="18"/>
          <w:szCs w:val="18"/>
          <w:color w:val="auto"/>
        </w:rPr>
      </w:pPr>
      <w:r>
        <w:rPr>
          <w:rFonts w:ascii="Arial" w:cs="Arial" w:eastAsia="Arial" w:hAnsi="Arial"/>
          <w:sz w:val="18"/>
          <w:szCs w:val="18"/>
          <w:color w:val="auto"/>
        </w:rPr>
        <w:t>The Company shall not seek from a court, or agree to, a “bar order” which would have the effect of prohibiting or limiting the Indemnitee’s rights to receive advancement of expenses under this Agreement.</w:t>
      </w:r>
    </w:p>
    <w:p>
      <w:pPr>
        <w:spacing w:after="0" w:line="67" w:lineRule="exact"/>
        <w:rPr>
          <w:rFonts w:ascii="Arial" w:cs="Arial" w:eastAsia="Arial" w:hAnsi="Arial"/>
          <w:sz w:val="18"/>
          <w:szCs w:val="18"/>
          <w:color w:val="auto"/>
        </w:rPr>
      </w:pPr>
    </w:p>
    <w:p>
      <w:pPr>
        <w:ind w:left="660" w:hanging="276"/>
        <w:spacing w:after="0"/>
        <w:tabs>
          <w:tab w:leader="none" w:pos="660"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09" w:lineRule="exact"/>
        <w:rPr>
          <w:rFonts w:ascii="Arial" w:cs="Arial" w:eastAsia="Arial" w:hAnsi="Arial"/>
          <w:sz w:val="18"/>
          <w:szCs w:val="18"/>
          <w:color w:val="auto"/>
        </w:rPr>
      </w:pPr>
    </w:p>
    <w:p>
      <w:pPr>
        <w:ind w:left="-60" w:firstLine="990"/>
        <w:spacing w:after="0" w:line="255" w:lineRule="auto"/>
        <w:tabs>
          <w:tab w:leader="none" w:pos="1165" w:val="left"/>
        </w:tabs>
        <w:numPr>
          <w:ilvl w:val="1"/>
          <w:numId w:val="3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 fund-affiliated directors only]</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VC Fund, any Person who directly or indirectly, controls, is controlled by or is under common control with such VC Fund, including, without limitation, any general partner, managing member, officer, director or trustee of such VC Fund, or any venture capital fund or other investment fund or account or registered investment company now or hereafter existing which is controlled by one (1) or more general partners, managing members or investment advisers of, or shares the same management or advisory company or investment adviser with, such VC Fund.]</w:t>
      </w:r>
    </w:p>
    <w:p>
      <w:pPr>
        <w:spacing w:after="0" w:line="77" w:lineRule="exact"/>
        <w:rPr>
          <w:rFonts w:ascii="Arial" w:cs="Arial" w:eastAsia="Arial" w:hAnsi="Arial"/>
          <w:sz w:val="18"/>
          <w:szCs w:val="18"/>
          <w:color w:val="auto"/>
        </w:rPr>
      </w:pPr>
    </w:p>
    <w:p>
      <w:pPr>
        <w:ind w:left="-60" w:right="60" w:firstLine="990"/>
        <w:spacing w:after="0" w:line="261" w:lineRule="auto"/>
        <w:tabs>
          <w:tab w:leader="none" w:pos="1175" w:val="left"/>
        </w:tabs>
        <w:numPr>
          <w:ilvl w:val="1"/>
          <w:numId w:val="3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Status</w:t>
      </w:r>
      <w:r>
        <w:rPr>
          <w:rFonts w:ascii="Arial" w:cs="Arial" w:eastAsia="Arial" w:hAnsi="Arial"/>
          <w:sz w:val="18"/>
          <w:szCs w:val="18"/>
          <w:color w:val="auto"/>
        </w:rPr>
        <w:t>” describes the status of a person who is or was a director, officer, employee, agent or fiduciary of the Company or of any other corporation, partnership, joint venture, trust, employee benefit plan or other enterprise that such person is or was serving at the express written request of the Company.</w:t>
      </w:r>
    </w:p>
    <w:p>
      <w:pPr>
        <w:spacing w:after="0" w:line="73" w:lineRule="exact"/>
        <w:rPr>
          <w:rFonts w:ascii="Arial" w:cs="Arial" w:eastAsia="Arial" w:hAnsi="Arial"/>
          <w:sz w:val="18"/>
          <w:szCs w:val="18"/>
          <w:color w:val="auto"/>
        </w:rPr>
      </w:pPr>
    </w:p>
    <w:p>
      <w:pPr>
        <w:ind w:left="-60" w:right="460" w:firstLine="990"/>
        <w:spacing w:after="0" w:line="275" w:lineRule="auto"/>
        <w:tabs>
          <w:tab w:leader="none" w:pos="1165" w:val="left"/>
        </w:tabs>
        <w:numPr>
          <w:ilvl w:val="1"/>
          <w:numId w:val="3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60" w:lineRule="exact"/>
        <w:rPr>
          <w:rFonts w:ascii="Arial" w:cs="Arial" w:eastAsia="Arial" w:hAnsi="Arial"/>
          <w:sz w:val="18"/>
          <w:szCs w:val="18"/>
          <w:color w:val="auto"/>
        </w:rPr>
      </w:pPr>
    </w:p>
    <w:p>
      <w:pPr>
        <w:ind w:left="-60" w:right="380" w:firstLine="990"/>
        <w:spacing w:after="0" w:line="340" w:lineRule="auto"/>
        <w:tabs>
          <w:tab w:leader="none" w:pos="1175" w:val="left"/>
        </w:tabs>
        <w:numPr>
          <w:ilvl w:val="1"/>
          <w:numId w:val="3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Enterprise</w:t>
      </w:r>
      <w:r>
        <w:rPr>
          <w:rFonts w:ascii="Arial" w:cs="Arial" w:eastAsia="Arial" w:hAnsi="Arial"/>
          <w:sz w:val="16"/>
          <w:szCs w:val="16"/>
          <w:color w:val="auto"/>
        </w:rPr>
        <w:t>” shall mean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00"/>
          </w:cols>
          <w:pgMar w:left="540" w:top="272" w:right="559" w:bottom="1440" w:gutter="0" w:footer="0" w:header="0"/>
        </w:sectPr>
      </w:pPr>
    </w:p>
    <w:bookmarkStart w:id="413" w:name="page414"/>
    <w:bookmarkEnd w:id="413"/>
    <w:p>
      <w:pPr>
        <w:ind w:left="-20" w:right="20" w:firstLine="990"/>
        <w:spacing w:after="0" w:line="268" w:lineRule="auto"/>
        <w:tabs>
          <w:tab w:leader="none" w:pos="1205" w:val="left"/>
        </w:tabs>
        <w:numPr>
          <w:ilvl w:val="0"/>
          <w:numId w:val="3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Arial" w:cs="Arial" w:eastAsia="Arial" w:hAnsi="Arial"/>
          <w:sz w:val="17"/>
          <w:szCs w:val="17"/>
          <w:b w:val="1"/>
          <w:bCs w:val="1"/>
          <w:color w:val="auto"/>
        </w:rPr>
        <w:t>Expenses</w:t>
      </w:r>
      <w:r>
        <w:rPr>
          <w:rFonts w:ascii="Arial" w:cs="Arial" w:eastAsia="Arial" w:hAnsi="Arial"/>
          <w:sz w:val="17"/>
          <w:szCs w:val="17"/>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72" w:lineRule="exact"/>
        <w:rPr>
          <w:rFonts w:ascii="Arial" w:cs="Arial" w:eastAsia="Arial" w:hAnsi="Arial"/>
          <w:sz w:val="17"/>
          <w:szCs w:val="17"/>
          <w:color w:val="auto"/>
        </w:rPr>
      </w:pPr>
    </w:p>
    <w:p>
      <w:pPr>
        <w:ind w:left="-20" w:right="80" w:firstLine="990"/>
        <w:spacing w:after="0" w:line="255" w:lineRule="auto"/>
        <w:tabs>
          <w:tab w:leader="none" w:pos="118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 fund-affiliated directors only]</w:t>
      </w:r>
      <w:r>
        <w:rPr>
          <w:rFonts w:ascii="Arial" w:cs="Arial" w:eastAsia="Arial" w:hAnsi="Arial"/>
          <w:sz w:val="18"/>
          <w:szCs w:val="18"/>
          <w:color w:val="auto"/>
        </w:rPr>
        <w:t>“</w:t>
      </w:r>
      <w:r>
        <w:rPr>
          <w:rFonts w:ascii="Arial" w:cs="Arial" w:eastAsia="Arial" w:hAnsi="Arial"/>
          <w:sz w:val="18"/>
          <w:szCs w:val="18"/>
          <w:b w:val="1"/>
          <w:bCs w:val="1"/>
          <w:color w:val="auto"/>
        </w:rPr>
        <w:t>Fund Proceeding</w:t>
      </w:r>
      <w:r>
        <w:rPr>
          <w:rFonts w:ascii="Arial" w:cs="Arial" w:eastAsia="Arial" w:hAnsi="Arial"/>
          <w:sz w:val="18"/>
          <w:szCs w:val="18"/>
          <w:color w:val="auto"/>
        </w:rPr>
        <w:t>” includes any threatened, pending or completed action, claim, issue, matter, demand, discovery request, subpoena, hearing, suit, arbitration, alternate dispute resolution mechanism, investigation, inquiry, administrative hearing or any other actual, threatened or completed proceeding, whether brought by or in the right of the Company or otherwise and whether civil, criminal, regulatory, administrative or investigative, or any other type whatsoever, including any appeal of the foregoing, in which a VC Fund was, is or will be involved as a party or otherwise.]</w:t>
      </w:r>
    </w:p>
    <w:p>
      <w:pPr>
        <w:spacing w:after="0" w:line="77" w:lineRule="exact"/>
        <w:rPr>
          <w:rFonts w:ascii="Arial" w:cs="Arial" w:eastAsia="Arial" w:hAnsi="Arial"/>
          <w:sz w:val="18"/>
          <w:szCs w:val="18"/>
          <w:color w:val="auto"/>
        </w:rPr>
      </w:pPr>
    </w:p>
    <w:p>
      <w:pPr>
        <w:ind w:left="-20" w:right="40" w:firstLine="990"/>
        <w:spacing w:after="0" w:line="268" w:lineRule="auto"/>
        <w:tabs>
          <w:tab w:leader="none" w:pos="1215" w:val="left"/>
        </w:tabs>
        <w:numPr>
          <w:ilvl w:val="0"/>
          <w:numId w:val="3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Counsel</w:t>
      </w:r>
      <w:r>
        <w:rPr>
          <w:rFonts w:ascii="Arial" w:cs="Arial" w:eastAsia="Arial" w:hAnsi="Arial"/>
          <w:sz w:val="17"/>
          <w:szCs w:val="17"/>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72" w:lineRule="exact"/>
        <w:rPr>
          <w:rFonts w:ascii="Arial" w:cs="Arial" w:eastAsia="Arial" w:hAnsi="Arial"/>
          <w:sz w:val="17"/>
          <w:szCs w:val="17"/>
          <w:color w:val="auto"/>
        </w:rPr>
      </w:pPr>
    </w:p>
    <w:p>
      <w:pPr>
        <w:ind w:left="1220" w:hanging="250"/>
        <w:spacing w:after="0"/>
        <w:tabs>
          <w:tab w:leader="none" w:pos="12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113" w:lineRule="exact"/>
        <w:rPr>
          <w:rFonts w:ascii="Arial" w:cs="Arial" w:eastAsia="Arial" w:hAnsi="Arial"/>
          <w:sz w:val="18"/>
          <w:szCs w:val="18"/>
          <w:color w:val="auto"/>
        </w:rPr>
      </w:pPr>
    </w:p>
    <w:p>
      <w:pPr>
        <w:ind w:left="-20" w:firstLine="990"/>
        <w:spacing w:after="0" w:line="285" w:lineRule="auto"/>
        <w:tabs>
          <w:tab w:leader="none" w:pos="1175" w:val="left"/>
        </w:tabs>
        <w:numPr>
          <w:ilvl w:val="0"/>
          <w:numId w:val="3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includes any threatened, pending or completed action, claim, issue, matter, demand, discovery request, subpoena, hearing, suit, arbitration, alternate dispute resolution mechanism, investigation, inquiry, administrative hearing or any other actual, threatened or completed proceeding, whether brought by or in the right of the Company or otherwise and whether civil, criminal, regulatory, administrative or investigative, or any other type whatsoever, including any appeal of the foregoing, in which Indemnitee was, is or will be involved as a party or otherwise, by reason of the fact that Indemnitee is or was an officer or director of the Company, by reason of any action taken by him or of any inaction on his part while acting as an officer or director of the Company, or by reason of the fact that he is or was serving at the request of the Company (or by reason of any action taken by him or any inaction on his part while acting) as a director, officer, employee, agent or fiduciary of another corporation, partnership, joint venture, employee benefit plan, trust or other enterprise;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Agreement to enforce his rights under this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500" w:top="268" w:right="499" w:bottom="1440" w:gutter="0" w:footer="0" w:header="0"/>
        </w:sectPr>
      </w:pPr>
    </w:p>
    <w:bookmarkStart w:id="414" w:name="page415"/>
    <w:bookmarkEnd w:id="414"/>
    <w:p>
      <w:pPr>
        <w:ind w:left="-20" w:right="160" w:firstLine="444"/>
        <w:spacing w:after="0" w:line="270" w:lineRule="auto"/>
        <w:tabs>
          <w:tab w:leader="none" w:pos="684" w:val="left"/>
        </w:tabs>
        <w:numPr>
          <w:ilvl w:val="0"/>
          <w:numId w:val="37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Severability</w:t>
      </w:r>
      <w:r>
        <w:rPr>
          <w:rFonts w:ascii="Arial" w:cs="Arial" w:eastAsia="Arial" w:hAnsi="Arial"/>
          <w:sz w:val="17"/>
          <w:szCs w:val="17"/>
          <w:color w:val="auto"/>
        </w:rPr>
        <w:t>. The invalidity or unenforceability of any provision hereof shall in no way affect the validity or enforceability of any other provision. Further, the invalidity or unenforceability of any provision hereof as to [either] Indemnitee [or any VC Fund]</w:t>
      </w:r>
      <w:r>
        <w:rPr>
          <w:rFonts w:ascii="Arial" w:cs="Arial" w:eastAsia="Arial" w:hAnsi="Arial"/>
          <w:sz w:val="17"/>
          <w:szCs w:val="17"/>
          <w:b w:val="1"/>
          <w:bCs w:val="1"/>
          <w:color w:val="auto"/>
        </w:rPr>
        <w:t xml:space="preserve">[bracketed text for fund-affiliated directors only] </w:t>
      </w:r>
      <w:r>
        <w:rPr>
          <w:rFonts w:ascii="Arial" w:cs="Arial" w:eastAsia="Arial" w:hAnsi="Arial"/>
          <w:sz w:val="17"/>
          <w:szCs w:val="17"/>
          <w:color w:val="auto"/>
        </w:rPr>
        <w:t>shall in no way affect the validity or enforceability of any provision hereof as to the other. Without limiting the generality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foregoing, this Agreement is intended to confer upon Indemnitee [</w:t>
      </w:r>
      <w:r>
        <w:rPr>
          <w:rFonts w:ascii="Arial" w:cs="Arial" w:eastAsia="Arial" w:hAnsi="Arial"/>
          <w:sz w:val="17"/>
          <w:szCs w:val="17"/>
          <w:b w:val="1"/>
          <w:bCs w:val="1"/>
          <w:color w:val="auto"/>
        </w:rPr>
        <w:t>[fund-affiliated directors only]</w:t>
      </w:r>
      <w:r>
        <w:rPr>
          <w:rFonts w:ascii="Arial" w:cs="Arial" w:eastAsia="Arial" w:hAnsi="Arial"/>
          <w:sz w:val="17"/>
          <w:szCs w:val="17"/>
          <w:color w:val="auto"/>
        </w:rPr>
        <w:t>and any VC Fund]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71" w:lineRule="exact"/>
        <w:rPr>
          <w:rFonts w:ascii="Arial" w:cs="Arial" w:eastAsia="Arial" w:hAnsi="Arial"/>
          <w:sz w:val="17"/>
          <w:szCs w:val="17"/>
          <w:color w:val="auto"/>
        </w:rPr>
      </w:pPr>
    </w:p>
    <w:p>
      <w:pPr>
        <w:jc w:val="both"/>
        <w:ind w:left="-20" w:right="360" w:firstLine="444"/>
        <w:spacing w:after="0" w:line="259" w:lineRule="auto"/>
        <w:tabs>
          <w:tab w:leader="none" w:pos="684"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78" w:lineRule="exact"/>
        <w:rPr>
          <w:rFonts w:ascii="Arial" w:cs="Arial" w:eastAsia="Arial" w:hAnsi="Arial"/>
          <w:sz w:val="18"/>
          <w:szCs w:val="18"/>
          <w:color w:val="auto"/>
        </w:rPr>
      </w:pPr>
    </w:p>
    <w:p>
      <w:pPr>
        <w:jc w:val="both"/>
        <w:ind w:left="-20" w:right="480" w:firstLine="444"/>
        <w:spacing w:after="0" w:line="297" w:lineRule="auto"/>
        <w:tabs>
          <w:tab w:leader="none" w:pos="684"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t>Notice By Indemnitee</w:t>
      </w:r>
      <w:r>
        <w:rPr>
          <w:rFonts w:ascii="Arial" w:cs="Arial" w:eastAsia="Arial" w:hAnsi="Arial"/>
          <w:sz w:val="16"/>
          <w:szCs w:val="16"/>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52" w:lineRule="exact"/>
        <w:rPr>
          <w:rFonts w:ascii="Arial" w:cs="Arial" w:eastAsia="Arial" w:hAnsi="Arial"/>
          <w:sz w:val="16"/>
          <w:szCs w:val="16"/>
          <w:color w:val="auto"/>
        </w:rPr>
      </w:pPr>
    </w:p>
    <w:p>
      <w:pPr>
        <w:ind w:left="-20" w:right="40" w:firstLine="444"/>
        <w:spacing w:after="0" w:line="253" w:lineRule="auto"/>
        <w:tabs>
          <w:tab w:leader="none" w:pos="684"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days after having been sent by registered or certified mail, return receipt requested, postage prepaid, or (d) one day after deposit with a nationally recognized overnight courier, specifying next day delivery, with written verification of receipt. All communications shall be sent:</w:t>
      </w:r>
    </w:p>
    <w:p>
      <w:pPr>
        <w:spacing w:after="0" w:line="85" w:lineRule="exact"/>
        <w:rPr>
          <w:rFonts w:ascii="Arial" w:cs="Arial" w:eastAsia="Arial" w:hAnsi="Arial"/>
          <w:sz w:val="18"/>
          <w:szCs w:val="18"/>
          <w:color w:val="auto"/>
        </w:rPr>
      </w:pPr>
    </w:p>
    <w:p>
      <w:pPr>
        <w:ind w:left="1220" w:hanging="250"/>
        <w:spacing w:after="0"/>
        <w:tabs>
          <w:tab w:leader="none" w:pos="122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To Indemnitee at the address set forth below Indemnitee signature hereto.</w:t>
      </w:r>
    </w:p>
    <w:p>
      <w:pPr>
        <w:spacing w:after="0" w:line="113" w:lineRule="exact"/>
        <w:rPr>
          <w:rFonts w:ascii="Arial" w:cs="Arial" w:eastAsia="Arial" w:hAnsi="Arial"/>
          <w:sz w:val="18"/>
          <w:szCs w:val="18"/>
          <w:color w:val="auto"/>
        </w:rPr>
      </w:pPr>
    </w:p>
    <w:p>
      <w:pPr>
        <w:ind w:left="1220" w:hanging="250"/>
        <w:spacing w:after="0"/>
        <w:tabs>
          <w:tab w:leader="none" w:pos="122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To the Company at:</w:t>
      </w:r>
    </w:p>
    <w:p>
      <w:pPr>
        <w:spacing w:after="0" w:line="11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170 Harbor Way, 3rd Floor,</w:t>
      </w:r>
    </w:p>
    <w:p>
      <w:pPr>
        <w:spacing w:after="0" w:line="2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South San Francisco, CA 94080</w:t>
      </w:r>
    </w:p>
    <w:p>
      <w:pPr>
        <w:spacing w:after="0" w:line="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Attention: Marshall Fordyce</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or to such other address as may have been furnished to Indemnitee by the Company or to the Company by Indemnitee, as the case may be.</w:t>
      </w:r>
    </w:p>
    <w:p>
      <w:pPr>
        <w:spacing w:after="0" w:line="137" w:lineRule="exact"/>
        <w:rPr>
          <w:sz w:val="20"/>
          <w:szCs w:val="20"/>
          <w:color w:val="auto"/>
        </w:rPr>
      </w:pPr>
    </w:p>
    <w:p>
      <w:pPr>
        <w:jc w:val="both"/>
        <w:ind w:left="-20" w:firstLine="444"/>
        <w:spacing w:after="0" w:line="275" w:lineRule="auto"/>
        <w:tabs>
          <w:tab w:leader="none" w:pos="684" w:val="left"/>
        </w:tabs>
        <w:numPr>
          <w:ilvl w:val="0"/>
          <w:numId w:val="37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two or more counterparts, each of which shall be deemed an original, but all of which together shall constitute one and the same the same instrument. Counterparts may be delivered via facsimile,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p>
    <w:p>
      <w:pPr>
        <w:spacing w:after="0" w:line="66" w:lineRule="exact"/>
        <w:rPr>
          <w:rFonts w:ascii="Arial" w:cs="Arial" w:eastAsia="Arial" w:hAnsi="Arial"/>
          <w:sz w:val="17"/>
          <w:szCs w:val="17"/>
          <w:color w:val="auto"/>
        </w:rPr>
      </w:pPr>
    </w:p>
    <w:p>
      <w:pPr>
        <w:ind w:left="-20" w:right="240" w:firstLine="444"/>
        <w:spacing w:after="0" w:line="271" w:lineRule="auto"/>
        <w:tabs>
          <w:tab w:leader="none" w:pos="684"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67" w:lineRule="exact"/>
        <w:rPr>
          <w:rFonts w:ascii="Arial" w:cs="Arial" w:eastAsia="Arial" w:hAnsi="Arial"/>
          <w:sz w:val="18"/>
          <w:szCs w:val="18"/>
          <w:color w:val="auto"/>
        </w:rPr>
      </w:pPr>
    </w:p>
    <w:p>
      <w:pPr>
        <w:ind w:left="-20" w:firstLine="444"/>
        <w:spacing w:after="0" w:line="259" w:lineRule="auto"/>
        <w:tabs>
          <w:tab w:leader="none" w:pos="684"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Governing Law and Consent to Jurisdiction.</w:t>
      </w:r>
      <w:r>
        <w:rPr>
          <w:rFonts w:ascii="Arial" w:cs="Arial" w:eastAsia="Arial" w:hAnsi="Arial"/>
          <w:sz w:val="18"/>
          <w:szCs w:val="18"/>
          <w:color w:val="auto"/>
        </w:rPr>
        <w:t xml:space="preserve">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500" w:top="272" w:right="519" w:bottom="1440" w:gutter="0" w:footer="0" w:header="0"/>
        </w:sectPr>
      </w:pPr>
    </w:p>
    <w:bookmarkStart w:id="415" w:name="page416"/>
    <w:bookmarkEnd w:id="415"/>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with this Agreement shall be brought only in the Chancery Court of the State of Delaware (the “</w:t>
      </w:r>
      <w:r>
        <w:rPr>
          <w:rFonts w:ascii="Arial" w:cs="Arial" w:eastAsia="Arial" w:hAnsi="Arial"/>
          <w:sz w:val="17"/>
          <w:szCs w:val="17"/>
          <w:b w:val="1"/>
          <w:bCs w:val="1"/>
          <w:color w:val="auto"/>
        </w:rPr>
        <w:t>Delaware Court</w:t>
      </w:r>
      <w:r>
        <w:rPr>
          <w:rFonts w:ascii="Arial" w:cs="Arial" w:eastAsia="Arial" w:hAnsi="Arial"/>
          <w:sz w:val="17"/>
          <w:szCs w:val="17"/>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40"/>
          </w:cols>
          <w:pgMar w:left="480" w:top="268" w:right="579" w:bottom="1440" w:gutter="0" w:footer="0" w:header="0"/>
        </w:sectPr>
      </w:pPr>
    </w:p>
    <w:bookmarkStart w:id="416" w:name="page417"/>
    <w:bookmarkEnd w:id="41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parties hereto have executed this Indemnification Agreement on and as of the day and year first above written.</w:t>
      </w:r>
    </w:p>
    <w:p>
      <w:pPr>
        <w:spacing w:after="0" w:line="255"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COMPANY:</w:t>
      </w:r>
    </w:p>
    <w:p>
      <w:pPr>
        <w:spacing w:after="0" w:line="221"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VERA THERAPEUTICS, INC.</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13335</wp:posOffset>
            </wp:positionV>
            <wp:extent cx="221678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5">
                      <a:extLst>
                        <a:ext uri="{28A0092B-C50C-407E-A947-70E740481C1C}"/>
                      </a:extLst>
                    </a:blip>
                    <a:srcRect/>
                    <a:stretch>
                      <a:fillRect/>
                    </a:stretch>
                  </pic:blipFill>
                  <pic:spPr bwMode="auto">
                    <a:xfrm>
                      <a:off x="0" y="0"/>
                      <a:ext cx="2216785" cy="8255"/>
                    </a:xfrm>
                    <a:prstGeom prst="rect">
                      <a:avLst/>
                    </a:prstGeom>
                    <a:noFill/>
                  </pic:spPr>
                </pic:pic>
              </a:graphicData>
            </a:graphic>
          </wp:anchor>
        </w:drawing>
      </w:r>
    </w:p>
    <w:p>
      <w:pPr>
        <w:spacing w:after="0" w:line="1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Marshall Fordyce</w:t>
      </w:r>
    </w:p>
    <w:p>
      <w:pPr>
        <w:spacing w:after="0" w:line="2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Chief Executive Officer</w:t>
      </w:r>
    </w:p>
    <w:p>
      <w:pPr>
        <w:spacing w:after="0" w:line="204"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160655</wp:posOffset>
            </wp:positionV>
            <wp:extent cx="242062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6">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27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[__]</w:t>
      </w:r>
    </w:p>
    <w:p>
      <w:pPr>
        <w:spacing w:after="0" w:line="26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13335</wp:posOffset>
            </wp:positionV>
            <wp:extent cx="240347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7">
                      <a:extLst>
                        <a:ext uri="{28A0092B-C50C-407E-A947-70E740481C1C}"/>
                      </a:extLst>
                    </a:blip>
                    <a:srcRect/>
                    <a:stretch>
                      <a:fillRect/>
                    </a:stretch>
                  </pic:blipFill>
                  <pic:spPr bwMode="auto">
                    <a:xfrm>
                      <a:off x="0" y="0"/>
                      <a:ext cx="2403475"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166370</wp:posOffset>
            </wp:positionV>
            <wp:extent cx="240347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8">
                      <a:extLst>
                        <a:ext uri="{28A0092B-C50C-407E-A947-70E740481C1C}"/>
                      </a:extLst>
                    </a:blip>
                    <a:srcRect/>
                    <a:stretch>
                      <a:fillRect/>
                    </a:stretch>
                  </pic:blipFill>
                  <pic:spPr bwMode="auto">
                    <a:xfrm>
                      <a:off x="0" y="0"/>
                      <a:ext cx="2403475"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319405</wp:posOffset>
            </wp:positionV>
            <wp:extent cx="240347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9">
                      <a:extLst>
                        <a:ext uri="{28A0092B-C50C-407E-A947-70E740481C1C}"/>
                      </a:extLst>
                    </a:blip>
                    <a:srcRect/>
                    <a:stretch>
                      <a:fillRect/>
                    </a:stretch>
                  </pic:blipFill>
                  <pic:spPr bwMode="auto">
                    <a:xfrm>
                      <a:off x="0" y="0"/>
                      <a:ext cx="2403475"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472440</wp:posOffset>
            </wp:positionV>
            <wp:extent cx="240347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0">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ectPr>
          <w:pgSz w:w="11900" w:h="16838" w:orient="portrait"/>
          <w:cols w:equalWidth="0" w:num="1">
            <w:col w:w="9539"/>
          </w:cols>
          <w:pgMar w:left="920" w:top="272" w:right="1440" w:bottom="1440" w:gutter="0" w:footer="0" w:header="0"/>
        </w:sectPr>
      </w:pPr>
    </w:p>
    <w:bookmarkStart w:id="417" w:name="page418"/>
    <w:bookmarkEnd w:id="417"/>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Marshall W. Fordyce, M.D.</w:t>
      </w:r>
    </w:p>
    <w:p>
      <w:pPr>
        <w:spacing w:after="0" w:line="24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Employment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Marshall:</w:t>
      </w:r>
    </w:p>
    <w:p>
      <w:pPr>
        <w:spacing w:after="0" w:line="2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Vera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 is pleased to offer you continued employment with the Company on the terms set forth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This Agreement is effective as of the effective date of the registration statement for the initial public offering of the Company’s Class A Common Stock (the “</w:t>
      </w:r>
      <w:r>
        <w:rPr>
          <w:rFonts w:ascii="Arial" w:cs="Arial" w:eastAsia="Arial" w:hAnsi="Arial"/>
          <w:sz w:val="18"/>
          <w:szCs w:val="18"/>
          <w:b w:val="1"/>
          <w:bCs w:val="1"/>
          <w:color w:val="auto"/>
        </w:rPr>
        <w:t>Effective Date</w:t>
      </w:r>
      <w:r>
        <w:rPr>
          <w:rFonts w:ascii="Arial" w:cs="Arial" w:eastAsia="Arial" w:hAnsi="Arial"/>
          <w:sz w:val="18"/>
          <w:szCs w:val="18"/>
          <w:color w:val="auto"/>
        </w:rPr>
        <w:t>”) and shall amend, and restate any prior offer letter or employment agreement between you and the Company, including your December 16, 2020 offer letter.</w:t>
      </w:r>
    </w:p>
    <w:p>
      <w:pPr>
        <w:spacing w:after="0" w:line="290" w:lineRule="exact"/>
        <w:rPr>
          <w:sz w:val="20"/>
          <w:szCs w:val="20"/>
          <w:color w:val="auto"/>
        </w:rPr>
      </w:pPr>
    </w:p>
    <w:p>
      <w:pPr>
        <w:ind w:left="320" w:hanging="313"/>
        <w:spacing w:after="0"/>
        <w:tabs>
          <w:tab w:leader="none" w:pos="32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by the Company.</w:t>
      </w:r>
    </w:p>
    <w:p>
      <w:pPr>
        <w:spacing w:after="0" w:line="113" w:lineRule="exact"/>
        <w:rPr>
          <w:rFonts w:ascii="Arial" w:cs="Arial" w:eastAsia="Arial" w:hAnsi="Arial"/>
          <w:sz w:val="18"/>
          <w:szCs w:val="18"/>
          <w:b w:val="1"/>
          <w:bCs w:val="1"/>
          <w:color w:val="auto"/>
        </w:rPr>
      </w:pPr>
    </w:p>
    <w:p>
      <w:pPr>
        <w:ind w:right="20" w:firstLine="444"/>
        <w:spacing w:after="0" w:line="291" w:lineRule="auto"/>
        <w:tabs>
          <w:tab w:leader="none" w:pos="822" w:val="left"/>
        </w:tabs>
        <w:numPr>
          <w:ilvl w:val="1"/>
          <w:numId w:val="3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Position. </w:t>
      </w:r>
      <w:r>
        <w:rPr>
          <w:rFonts w:ascii="Arial" w:cs="Arial" w:eastAsia="Arial" w:hAnsi="Arial"/>
          <w:sz w:val="16"/>
          <w:szCs w:val="16"/>
          <w:color w:val="auto"/>
        </w:rPr>
        <w:t>You will continue to serve as the Company’s Chief Executive Officer. During the term of your employment with the Company, you</w:t>
      </w:r>
      <w:r>
        <w:rPr>
          <w:rFonts w:ascii="Arial" w:cs="Arial" w:eastAsia="Arial" w:hAnsi="Arial"/>
          <w:sz w:val="16"/>
          <w:szCs w:val="16"/>
          <w:b w:val="1"/>
          <w:bCs w:val="1"/>
          <w:color w:val="auto"/>
        </w:rPr>
        <w:t xml:space="preserve"> </w:t>
      </w:r>
      <w:r>
        <w:rPr>
          <w:rFonts w:ascii="Arial" w:cs="Arial" w:eastAsia="Arial" w:hAnsi="Arial"/>
          <w:sz w:val="16"/>
          <w:szCs w:val="16"/>
          <w:color w:val="auto"/>
        </w:rPr>
        <w:t>will devote your best efforts and substantially all of your business time and attention to the business of the Company, except for approved vacation periods and reasonable periods of illness or other incapacities permitted by the Company’s general employment policies. It is anticipated that such business of the Company will include your providing services to entities that are subsidiaries of the Company or otherwise affiliated with the Company, without further or additional compensation or benefits other than as set forth in this Agreement. You will also continue to be a member of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for so long as a Change in Control (as defined below) has not occurred.</w:t>
      </w:r>
    </w:p>
    <w:p>
      <w:pPr>
        <w:spacing w:after="0" w:line="159" w:lineRule="exact"/>
        <w:rPr>
          <w:rFonts w:ascii="Arial" w:cs="Arial" w:eastAsia="Arial" w:hAnsi="Arial"/>
          <w:sz w:val="16"/>
          <w:szCs w:val="16"/>
          <w:b w:val="1"/>
          <w:bCs w:val="1"/>
          <w:color w:val="auto"/>
        </w:rPr>
      </w:pPr>
    </w:p>
    <w:p>
      <w:pPr>
        <w:ind w:right="60" w:firstLine="444"/>
        <w:spacing w:after="0" w:line="294" w:lineRule="auto"/>
        <w:tabs>
          <w:tab w:leader="none" w:pos="832" w:val="left"/>
        </w:tabs>
        <w:numPr>
          <w:ilvl w:val="1"/>
          <w:numId w:val="3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and Location. </w:t>
      </w:r>
      <w:r>
        <w:rPr>
          <w:rFonts w:ascii="Arial" w:cs="Arial" w:eastAsia="Arial" w:hAnsi="Arial"/>
          <w:sz w:val="16"/>
          <w:szCs w:val="16"/>
          <w:color w:val="auto"/>
        </w:rPr>
        <w:t>You will perform those duties and responsibilities as are customary for your position and as may be directed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to whom you will report. While you may currently be working remotely while our offices are not fully open, your primary office location will be the Company’s office in South San Francisco, California. Notwithstanding the foregoing, the Company reserves the right to reasonably require you to perform your duties at places other than your primary office location from time to time, and to require reasonable business travel. The Company may modify your job title and duties as it deems necessary and appropriate in light of the Company’s needs and interests from time to time.</w:t>
      </w:r>
    </w:p>
    <w:p>
      <w:pPr>
        <w:spacing w:after="0" w:line="263" w:lineRule="exact"/>
        <w:rPr>
          <w:rFonts w:ascii="Arial" w:cs="Arial" w:eastAsia="Arial" w:hAnsi="Arial"/>
          <w:sz w:val="16"/>
          <w:szCs w:val="16"/>
          <w:b w:val="1"/>
          <w:bCs w:val="1"/>
          <w:color w:val="auto"/>
        </w:rPr>
      </w:pPr>
    </w:p>
    <w:p>
      <w:pPr>
        <w:ind w:left="320" w:hanging="313"/>
        <w:spacing w:after="0"/>
        <w:tabs>
          <w:tab w:leader="none" w:pos="32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 and Employee Benefits.</w:t>
      </w:r>
    </w:p>
    <w:p>
      <w:pPr>
        <w:spacing w:after="0" w:line="113" w:lineRule="exact"/>
        <w:rPr>
          <w:rFonts w:ascii="Arial" w:cs="Arial" w:eastAsia="Arial" w:hAnsi="Arial"/>
          <w:sz w:val="18"/>
          <w:szCs w:val="18"/>
          <w:b w:val="1"/>
          <w:bCs w:val="1"/>
          <w:color w:val="auto"/>
        </w:rPr>
      </w:pPr>
    </w:p>
    <w:p>
      <w:pPr>
        <w:ind w:right="180" w:firstLine="444"/>
        <w:spacing w:after="0" w:line="257" w:lineRule="auto"/>
        <w:tabs>
          <w:tab w:leader="none" w:pos="822" w:val="left"/>
        </w:tabs>
        <w:numPr>
          <w:ilvl w:val="1"/>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You will receive for services to be rendered hereunder base salary paid at the rate of $525,000 per year, less standard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and tax withholdings. Your base salary will be paid on the Company’s ordinary payroll cycle. As an exempt salaried employee, you will be required to work the Company’s normal business hours, and such additional time as appropriate for your work assignments and position, and you will not be entitled to overtime compensation.</w:t>
      </w:r>
    </w:p>
    <w:p>
      <w:pPr>
        <w:spacing w:after="0" w:line="183" w:lineRule="exact"/>
        <w:rPr>
          <w:rFonts w:ascii="Arial" w:cs="Arial" w:eastAsia="Arial" w:hAnsi="Arial"/>
          <w:sz w:val="18"/>
          <w:szCs w:val="18"/>
          <w:b w:val="1"/>
          <w:bCs w:val="1"/>
          <w:color w:val="auto"/>
        </w:rPr>
      </w:pPr>
    </w:p>
    <w:p>
      <w:pPr>
        <w:ind w:right="200" w:firstLine="444"/>
        <w:spacing w:after="0" w:line="275" w:lineRule="auto"/>
        <w:tabs>
          <w:tab w:leader="none" w:pos="832" w:val="left"/>
        </w:tabs>
        <w:numPr>
          <w:ilvl w:val="1"/>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Vacation. </w:t>
      </w:r>
      <w:r>
        <w:rPr>
          <w:rFonts w:ascii="Arial" w:cs="Arial" w:eastAsia="Arial" w:hAnsi="Arial"/>
          <w:sz w:val="18"/>
          <w:szCs w:val="18"/>
          <w:color w:val="auto"/>
        </w:rPr>
        <w:t>Your vacation days will be in accordance with the Company’s policy for Company executives. As with other Company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the vacation policy may be modified from time to time at the sole discretion of the Company.</w:t>
      </w:r>
    </w:p>
    <w:p>
      <w:pPr>
        <w:spacing w:after="0" w:line="167" w:lineRule="exact"/>
        <w:rPr>
          <w:rFonts w:ascii="Arial" w:cs="Arial" w:eastAsia="Arial" w:hAnsi="Arial"/>
          <w:sz w:val="18"/>
          <w:szCs w:val="18"/>
          <w:b w:val="1"/>
          <w:bCs w:val="1"/>
          <w:color w:val="auto"/>
        </w:rPr>
      </w:pPr>
    </w:p>
    <w:p>
      <w:pPr>
        <w:ind w:firstLine="444"/>
        <w:spacing w:after="0" w:line="273" w:lineRule="auto"/>
        <w:tabs>
          <w:tab w:leader="none" w:pos="812" w:val="left"/>
        </w:tabs>
        <w:numPr>
          <w:ilvl w:val="1"/>
          <w:numId w:val="3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Equity. </w:t>
      </w:r>
      <w:r>
        <w:rPr>
          <w:rFonts w:ascii="Arial" w:cs="Arial" w:eastAsia="Arial" w:hAnsi="Arial"/>
          <w:sz w:val="17"/>
          <w:szCs w:val="17"/>
          <w:color w:val="auto"/>
        </w:rPr>
        <w:t>The Company has previously granted to you the right to purchase and options to purchase shares of Class A Common Stock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(the “</w:t>
      </w:r>
      <w:r>
        <w:rPr>
          <w:rFonts w:ascii="Arial" w:cs="Arial" w:eastAsia="Arial" w:hAnsi="Arial"/>
          <w:sz w:val="17"/>
          <w:szCs w:val="17"/>
          <w:b w:val="1"/>
          <w:bCs w:val="1"/>
          <w:color w:val="auto"/>
        </w:rPr>
        <w:t>Prior Awards</w:t>
      </w:r>
      <w:r>
        <w:rPr>
          <w:rFonts w:ascii="Arial" w:cs="Arial" w:eastAsia="Arial" w:hAnsi="Arial"/>
          <w:sz w:val="17"/>
          <w:szCs w:val="17"/>
          <w:color w:val="auto"/>
        </w:rPr>
        <w:t>”). Each of the Prior Awards will continue to be governed by the agreement and plan under which it was granted. On the Effective Date, you will be granted an option to purchase 110,038 shares of Class A Common Stock of the Company, at a per share price equal to the fair market value of the Class A Common Stock on the date of grant (the “</w:t>
      </w:r>
      <w:r>
        <w:rPr>
          <w:rFonts w:ascii="Arial" w:cs="Arial" w:eastAsia="Arial" w:hAnsi="Arial"/>
          <w:sz w:val="17"/>
          <w:szCs w:val="17"/>
          <w:b w:val="1"/>
          <w:bCs w:val="1"/>
          <w:color w:val="auto"/>
        </w:rPr>
        <w:t>Option</w:t>
      </w:r>
      <w:r>
        <w:rPr>
          <w:rFonts w:ascii="Arial" w:cs="Arial" w:eastAsia="Arial" w:hAnsi="Arial"/>
          <w:sz w:val="17"/>
          <w:szCs w:val="17"/>
          <w:color w:val="auto"/>
        </w:rPr>
        <w:t>”), in accordance with and pursuant to the Company’s 2021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”)Subject to acceleration, as applicable, this grant will have</w:t>
      </w:r>
    </w:p>
    <w:p>
      <w:pPr>
        <w:sectPr>
          <w:pgSz w:w="11900" w:h="16838" w:orient="portrait"/>
          <w:cols w:equalWidth="0" w:num="1">
            <w:col w:w="10920"/>
          </w:cols>
          <w:pgMar w:left="480" w:top="121" w:right="499" w:bottom="1440" w:gutter="0" w:footer="0" w:header="0"/>
        </w:sectPr>
      </w:pPr>
    </w:p>
    <w:bookmarkStart w:id="418" w:name="page419"/>
    <w:bookmarkEnd w:id="418"/>
    <w:p>
      <w:pPr>
        <w:ind w:right="1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 four-year vesting schedule with vesting to start on the Effective Date (“</w:t>
      </w:r>
      <w:r>
        <w:rPr>
          <w:rFonts w:ascii="Arial" w:cs="Arial" w:eastAsia="Arial" w:hAnsi="Arial"/>
          <w:sz w:val="18"/>
          <w:szCs w:val="18"/>
          <w:b w:val="1"/>
          <w:bCs w:val="1"/>
          <w:color w:val="auto"/>
        </w:rPr>
        <w:t>Vesting Commencement Date</w:t>
      </w:r>
      <w:r>
        <w:rPr>
          <w:rFonts w:ascii="Arial" w:cs="Arial" w:eastAsia="Arial" w:hAnsi="Arial"/>
          <w:sz w:val="18"/>
          <w:szCs w:val="18"/>
          <w:color w:val="auto"/>
        </w:rPr>
        <w:t>”), with 25% of the shares vesting on the first anniversary of the Vesting Commencement Date and the remaining shares vesting in 36 equal monthly installments on each monthly anniversary of the first anniversary of the Vesting Commencement Date.</w:t>
      </w:r>
    </w:p>
    <w:p>
      <w:pPr>
        <w:spacing w:after="0" w:line="181" w:lineRule="exact"/>
        <w:rPr>
          <w:sz w:val="20"/>
          <w:szCs w:val="20"/>
          <w:color w:val="auto"/>
        </w:rPr>
      </w:pPr>
    </w:p>
    <w:p>
      <w:pPr>
        <w:ind w:right="200" w:firstLine="444"/>
        <w:spacing w:after="0" w:line="261" w:lineRule="auto"/>
        <w:tabs>
          <w:tab w:leader="none" w:pos="832" w:val="left"/>
        </w:tabs>
        <w:numPr>
          <w:ilvl w:val="1"/>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As a regular full-time employee, you will be eligible to participate in the Company’s standard employee benefits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the benefit plans and applicable policies, as may be amended from time to time), all of which are described in summary plan descriptions and policies that will be available or provided to you by the Company.</w:t>
      </w:r>
    </w:p>
    <w:p>
      <w:pPr>
        <w:spacing w:after="0" w:line="180" w:lineRule="exact"/>
        <w:rPr>
          <w:rFonts w:ascii="Arial" w:cs="Arial" w:eastAsia="Arial" w:hAnsi="Arial"/>
          <w:sz w:val="18"/>
          <w:szCs w:val="18"/>
          <w:b w:val="1"/>
          <w:bCs w:val="1"/>
          <w:color w:val="auto"/>
        </w:rPr>
      </w:pPr>
    </w:p>
    <w:p>
      <w:pPr>
        <w:ind w:right="20" w:firstLine="7"/>
        <w:spacing w:after="0" w:line="252" w:lineRule="auto"/>
        <w:tabs>
          <w:tab w:leader="none" w:pos="312"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Bonus. </w:t>
      </w:r>
      <w:r>
        <w:rPr>
          <w:rFonts w:ascii="Arial" w:cs="Arial" w:eastAsia="Arial" w:hAnsi="Arial"/>
          <w:sz w:val="18"/>
          <w:szCs w:val="18"/>
          <w:color w:val="auto"/>
        </w:rPr>
        <w:t>You will be eligible to earn an annual performance bonus of up to 50% of your base salary rate (the “</w:t>
      </w:r>
      <w:r>
        <w:rPr>
          <w:rFonts w:ascii="Arial" w:cs="Arial" w:eastAsia="Arial" w:hAnsi="Arial"/>
          <w:sz w:val="18"/>
          <w:szCs w:val="18"/>
          <w:b w:val="1"/>
          <w:bCs w:val="1"/>
          <w:color w:val="auto"/>
        </w:rPr>
        <w:t>Annual Bonus</w:t>
      </w:r>
      <w:r>
        <w:rPr>
          <w:rFonts w:ascii="Arial" w:cs="Arial" w:eastAsia="Arial" w:hAnsi="Arial"/>
          <w:sz w:val="18"/>
          <w:szCs w:val="18"/>
          <w:color w:val="auto"/>
        </w:rPr>
        <w: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Bonus will be based upon the Board’s assessment of your performance and the Company’s attainment of written targeted goals as set by the Board in its sole discretion. Bonus payments, if any, will be subject to applicable payroll deductions and withholdings. Following the close of each calendar year, the Board will determine whether you have earned an Annual Bonus, and the amount of any such bonus, based on the achievement of such goals. No amount of Annual Bonus is guaranteed, and you must be an employee on the Annual Bonus payment date to be eligible to receive an Annual Bonus; no partial or prorated bonuses will be provided. The Annual Bonus, if earned, will be paid no later than March 15 of the calendar year after the applicable bonus year.</w:t>
      </w:r>
    </w:p>
    <w:p>
      <w:pPr>
        <w:spacing w:after="0" w:line="190" w:lineRule="exact"/>
        <w:rPr>
          <w:rFonts w:ascii="Arial" w:cs="Arial" w:eastAsia="Arial" w:hAnsi="Arial"/>
          <w:sz w:val="18"/>
          <w:szCs w:val="18"/>
          <w:b w:val="1"/>
          <w:bCs w:val="1"/>
          <w:color w:val="auto"/>
        </w:rPr>
      </w:pPr>
    </w:p>
    <w:p>
      <w:pPr>
        <w:ind w:right="120" w:firstLine="7"/>
        <w:spacing w:after="0" w:line="340" w:lineRule="auto"/>
        <w:tabs>
          <w:tab w:leader="none" w:pos="312" w:val="left"/>
        </w:tabs>
        <w:numPr>
          <w:ilvl w:val="0"/>
          <w:numId w:val="3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The Company will reimburse you for reasonable travel, entertainment or other expenses incurred by you in furtherance or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performance of your duties hereunder, in accordance with the Company’s expense reimbursement policy as in effect from time to time.</w:t>
      </w:r>
    </w:p>
    <w:p>
      <w:pPr>
        <w:spacing w:after="0" w:line="120" w:lineRule="exact"/>
        <w:rPr>
          <w:rFonts w:ascii="Arial" w:cs="Arial" w:eastAsia="Arial" w:hAnsi="Arial"/>
          <w:sz w:val="16"/>
          <w:szCs w:val="16"/>
          <w:b w:val="1"/>
          <w:bCs w:val="1"/>
          <w:color w:val="auto"/>
        </w:rPr>
      </w:pPr>
    </w:p>
    <w:p>
      <w:pPr>
        <w:ind w:right="160" w:firstLine="7"/>
        <w:spacing w:after="0" w:line="291" w:lineRule="auto"/>
        <w:tabs>
          <w:tab w:leader="none" w:pos="312" w:val="left"/>
        </w:tabs>
        <w:numPr>
          <w:ilvl w:val="0"/>
          <w:numId w:val="3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Confidentiality Information Agreement and Company Policies. </w:t>
      </w:r>
      <w:r>
        <w:rPr>
          <w:rFonts w:ascii="Arial" w:cs="Arial" w:eastAsia="Arial" w:hAnsi="Arial"/>
          <w:sz w:val="16"/>
          <w:szCs w:val="16"/>
          <w:color w:val="auto"/>
        </w:rPr>
        <w:t>As a condition of employment, you will continue to comply</w:t>
      </w:r>
      <w:r>
        <w:rPr>
          <w:rFonts w:ascii="Arial" w:cs="Arial" w:eastAsia="Arial" w:hAnsi="Arial"/>
          <w:sz w:val="16"/>
          <w:szCs w:val="16"/>
          <w:b w:val="1"/>
          <w:bCs w:val="1"/>
          <w:color w:val="auto"/>
        </w:rPr>
        <w:t xml:space="preserve"> </w:t>
      </w:r>
      <w:r>
        <w:rPr>
          <w:rFonts w:ascii="Arial" w:cs="Arial" w:eastAsia="Arial" w:hAnsi="Arial"/>
          <w:sz w:val="16"/>
          <w:szCs w:val="16"/>
          <w:color w:val="auto"/>
        </w:rPr>
        <w:t>with your Employee Confidential Information and Inventions Assignment Agreement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xml:space="preserve">”) with the Company. In addition, you are required to abide by the Company’s policies and procedures, as modified from time to time within the Company’s discretion, and acknowledge in writing that you have read and will continue to comply with the Company’s Employee Handbook (and provide additional such acknowledgements as the Employee Handbook may be modified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the terms of this Agreement differ from or are in conflict with the Company’s general employment policies or practices, this Agreement shall control.</w:t>
      </w:r>
    </w:p>
    <w:p>
      <w:pPr>
        <w:spacing w:after="0" w:line="159" w:lineRule="exact"/>
        <w:rPr>
          <w:rFonts w:ascii="Arial" w:cs="Arial" w:eastAsia="Arial" w:hAnsi="Arial"/>
          <w:sz w:val="16"/>
          <w:szCs w:val="16"/>
          <w:b w:val="1"/>
          <w:bCs w:val="1"/>
          <w:color w:val="auto"/>
        </w:rPr>
      </w:pPr>
    </w:p>
    <w:p>
      <w:pPr>
        <w:ind w:right="40" w:firstLine="7"/>
        <w:spacing w:after="0" w:line="267" w:lineRule="auto"/>
        <w:tabs>
          <w:tab w:leader="none" w:pos="312" w:val="left"/>
        </w:tabs>
        <w:numPr>
          <w:ilvl w:val="0"/>
          <w:numId w:val="3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Protection of Third Party Information. </w:t>
      </w:r>
      <w:r>
        <w:rPr>
          <w:rFonts w:ascii="Arial" w:cs="Arial" w:eastAsia="Arial" w:hAnsi="Arial"/>
          <w:sz w:val="17"/>
          <w:szCs w:val="17"/>
          <w:color w:val="auto"/>
        </w:rPr>
        <w:t>In your work for the Company, you will be expected not to make any unauthorized use or disclosure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confidential or proprietary information, including trade secrets, of any former employer or other third party to whom you have contractual obligations to protect such information.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represent that you are able to perform your job duties within these guidelines, and you are not in unauthorized possession of any unpublished documents, materials, electronically-recorded information, or other property belonging to any former employer or other third party to whom you have a contractual obligation to protect such property. In addition, you represent and warrant that your employment by the Company will not conflict with any prior employment or consulting agreement or other agreement with any third party, that you will perform your duties to the Company without violating any such agreement(s), and that you have disclosed to the Company in writing any contract you have signed that may restrict your activities on behalf of the Company.</w:t>
      </w:r>
    </w:p>
    <w:p>
      <w:pPr>
        <w:spacing w:after="0" w:line="179" w:lineRule="exact"/>
        <w:rPr>
          <w:rFonts w:ascii="Arial" w:cs="Arial" w:eastAsia="Arial" w:hAnsi="Arial"/>
          <w:sz w:val="17"/>
          <w:szCs w:val="17"/>
          <w:b w:val="1"/>
          <w:bCs w:val="1"/>
          <w:color w:val="auto"/>
        </w:rPr>
      </w:pPr>
    </w:p>
    <w:p>
      <w:pPr>
        <w:ind w:firstLine="7"/>
        <w:spacing w:after="0" w:line="261" w:lineRule="auto"/>
        <w:tabs>
          <w:tab w:leader="none" w:pos="312"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At-Will Employment Relationship. </w:t>
      </w:r>
      <w:r>
        <w:rPr>
          <w:rFonts w:ascii="Arial" w:cs="Arial" w:eastAsia="Arial" w:hAnsi="Arial"/>
          <w:sz w:val="18"/>
          <w:szCs w:val="18"/>
          <w:color w:val="auto"/>
        </w:rPr>
        <w:t>Your employment relationship with the Company is at-will. Accordingly, you may terminate your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at any time and for any reason whatsoever simply by notifying the Company; and the Company may terminate your employment at any time, with or without Cause or advance notice.</w:t>
      </w:r>
    </w:p>
    <w:p>
      <w:pPr>
        <w:sectPr>
          <w:pgSz w:w="11900" w:h="16838" w:orient="portrait"/>
          <w:cols w:equalWidth="0" w:num="1">
            <w:col w:w="10920"/>
          </w:cols>
          <w:pgMar w:left="480" w:top="268" w:right="499" w:bottom="1440" w:gutter="0" w:footer="0" w:header="0"/>
        </w:sectPr>
      </w:pPr>
    </w:p>
    <w:bookmarkStart w:id="419" w:name="page420"/>
    <w:bookmarkEnd w:id="419"/>
    <w:p>
      <w:pPr>
        <w:ind w:right="260" w:firstLine="7"/>
        <w:spacing w:after="0" w:line="286" w:lineRule="auto"/>
        <w:tabs>
          <w:tab w:leader="none" w:pos="312" w:val="left"/>
        </w:tabs>
        <w:numPr>
          <w:ilvl w:val="0"/>
          <w:numId w:val="38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Severance Absent a Change in Control. </w:t>
      </w:r>
      <w:r>
        <w:rPr>
          <w:rFonts w:ascii="Arial" w:cs="Arial" w:eastAsia="Arial" w:hAnsi="Arial"/>
          <w:sz w:val="16"/>
          <w:szCs w:val="16"/>
          <w:color w:val="auto"/>
        </w:rPr>
        <w:t>If (x) the Company terminates your employment without Cause (other than as a result of your death or</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or (y) you resign your employment with the Company for Good Reason (such terminations in “x” and “y” referred to as a “</w:t>
      </w:r>
      <w:r>
        <w:rPr>
          <w:rFonts w:ascii="Arial" w:cs="Arial" w:eastAsia="Arial" w:hAnsi="Arial"/>
          <w:sz w:val="16"/>
          <w:szCs w:val="16"/>
          <w:b w:val="1"/>
          <w:bCs w:val="1"/>
          <w:color w:val="auto"/>
        </w:rPr>
        <w:t>Qualifying</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w:t>
      </w:r>
      <w:r>
        <w:rPr>
          <w:rFonts w:ascii="Arial" w:cs="Arial" w:eastAsia="Arial" w:hAnsi="Arial"/>
          <w:sz w:val="16"/>
          <w:szCs w:val="16"/>
          <w:color w:val="auto"/>
        </w:rPr>
        <w:t>”), provided such termination or resignation constitutes a Separation from Service (as defined under Treasury Regulation</w:t>
      </w:r>
    </w:p>
    <w:p>
      <w:pPr>
        <w:spacing w:after="0" w:line="1" w:lineRule="exact"/>
        <w:rPr>
          <w:rFonts w:ascii="Arial" w:cs="Arial" w:eastAsia="Arial" w:hAnsi="Arial"/>
          <w:sz w:val="16"/>
          <w:szCs w:val="16"/>
          <w:b w:val="1"/>
          <w:bCs w:val="1"/>
          <w:color w:val="auto"/>
        </w:rPr>
      </w:pPr>
    </w:p>
    <w:p>
      <w:pPr>
        <w:ind w:right="18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Section 1.409A-1(h), without regard to any alternative definition thereunder, a “</w:t>
      </w:r>
      <w:r>
        <w:rPr>
          <w:rFonts w:ascii="Arial" w:cs="Arial" w:eastAsia="Arial" w:hAnsi="Arial"/>
          <w:sz w:val="18"/>
          <w:szCs w:val="18"/>
          <w:b w:val="1"/>
          <w:bCs w:val="1"/>
          <w:color w:val="auto"/>
        </w:rPr>
        <w:t>Separation from Service</w:t>
      </w:r>
      <w:r>
        <w:rPr>
          <w:rFonts w:ascii="Arial" w:cs="Arial" w:eastAsia="Arial" w:hAnsi="Arial"/>
          <w:sz w:val="18"/>
          <w:szCs w:val="18"/>
          <w:color w:val="auto"/>
        </w:rPr>
        <w:t>”), then subject to Sections 10, 12 and 13 below and your continued compliance with the terms of this Agreement (including without limitation Section 5 above), the Company will provide you with the following severance benefits (the “</w:t>
      </w:r>
      <w:r>
        <w:rPr>
          <w:rFonts w:ascii="Arial" w:cs="Arial" w:eastAsia="Arial" w:hAnsi="Arial"/>
          <w:sz w:val="18"/>
          <w:szCs w:val="18"/>
          <w:b w:val="1"/>
          <w:bCs w:val="1"/>
          <w:color w:val="auto"/>
        </w:rPr>
        <w:t>Non-CIC Severance Benefits</w:t>
      </w:r>
      <w:r>
        <w:rPr>
          <w:rFonts w:ascii="Arial" w:cs="Arial" w:eastAsia="Arial" w:hAnsi="Arial"/>
          <w:sz w:val="18"/>
          <w:szCs w:val="18"/>
          <w:color w:val="auto"/>
        </w:rPr>
        <w:t>”):</w:t>
      </w:r>
    </w:p>
    <w:p>
      <w:pPr>
        <w:spacing w:after="0" w:line="187" w:lineRule="exact"/>
        <w:rPr>
          <w:rFonts w:ascii="Arial" w:cs="Arial" w:eastAsia="Arial" w:hAnsi="Arial"/>
          <w:sz w:val="16"/>
          <w:szCs w:val="16"/>
          <w:b w:val="1"/>
          <w:bCs w:val="1"/>
          <w:color w:val="auto"/>
        </w:rPr>
      </w:pPr>
    </w:p>
    <w:p>
      <w:pPr>
        <w:ind w:right="100" w:firstLine="444"/>
        <w:spacing w:after="0" w:line="253" w:lineRule="auto"/>
        <w:tabs>
          <w:tab w:leader="none" w:pos="822" w:val="left"/>
        </w:tabs>
        <w:numPr>
          <w:ilvl w:val="1"/>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Cash Severance</w:t>
      </w:r>
      <w:r>
        <w:rPr>
          <w:rFonts w:ascii="Arial" w:cs="Arial" w:eastAsia="Arial" w:hAnsi="Arial"/>
          <w:sz w:val="18"/>
          <w:szCs w:val="18"/>
          <w:color w:val="auto"/>
        </w:rPr>
        <w:t>. The Company will pay you, as cash severance, 12 months of your base salary in effect as of your Separation from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date, less standard payroll deductions and tax withholdings (the “</w:t>
      </w:r>
      <w:r>
        <w:rPr>
          <w:rFonts w:ascii="Arial" w:cs="Arial" w:eastAsia="Arial" w:hAnsi="Arial"/>
          <w:sz w:val="18"/>
          <w:szCs w:val="18"/>
          <w:b w:val="1"/>
          <w:bCs w:val="1"/>
          <w:color w:val="auto"/>
        </w:rPr>
        <w:t>Severance</w:t>
      </w:r>
      <w:r>
        <w:rPr>
          <w:rFonts w:ascii="Arial" w:cs="Arial" w:eastAsia="Arial" w:hAnsi="Arial"/>
          <w:sz w:val="18"/>
          <w:szCs w:val="18"/>
          <w:color w:val="auto"/>
        </w:rPr>
        <w:t>”). The Severance will be paid in installments on the Company’s ordinary payroll dates, commencing on the Company’s first regular payroll date that is not more than 30 days following your Separation from Service date, provided the Release (as defined below) has become effective by such date, and shall be for any accrued base salary for the 30-day period plus the period from the 30</w:t>
      </w:r>
      <w:r>
        <w:rPr>
          <w:rFonts w:ascii="Arial" w:cs="Arial" w:eastAsia="Arial" w:hAnsi="Arial"/>
          <w:sz w:val="15"/>
          <w:szCs w:val="15"/>
          <w:color w:val="auto"/>
        </w:rPr>
        <w:t>th</w:t>
      </w:r>
      <w:r>
        <w:rPr>
          <w:rFonts w:ascii="Arial" w:cs="Arial" w:eastAsia="Arial" w:hAnsi="Arial"/>
          <w:sz w:val="18"/>
          <w:szCs w:val="18"/>
          <w:color w:val="auto"/>
        </w:rPr>
        <w:t xml:space="preserve"> day until the regular payroll date, if applicable, and all salary continuation payments thereafter, if any, shall be made in equal installments on the Company’s regular payroll dates.</w:t>
      </w:r>
    </w:p>
    <w:p>
      <w:pPr>
        <w:spacing w:after="0" w:line="188" w:lineRule="exact"/>
        <w:rPr>
          <w:rFonts w:ascii="Arial" w:cs="Arial" w:eastAsia="Arial" w:hAnsi="Arial"/>
          <w:sz w:val="18"/>
          <w:szCs w:val="18"/>
          <w:b w:val="1"/>
          <w:bCs w:val="1"/>
          <w:color w:val="auto"/>
        </w:rPr>
      </w:pPr>
    </w:p>
    <w:p>
      <w:pPr>
        <w:ind w:firstLine="444"/>
        <w:spacing w:after="0" w:line="266" w:lineRule="auto"/>
        <w:tabs>
          <w:tab w:leader="none" w:pos="832" w:val="left"/>
        </w:tabs>
        <w:numPr>
          <w:ilvl w:val="1"/>
          <w:numId w:val="380"/>
        </w:numPr>
        <w:rPr>
          <w:rFonts w:ascii="Arial" w:cs="Arial" w:eastAsia="Arial" w:hAnsi="Arial"/>
          <w:sz w:val="17"/>
          <w:szCs w:val="17"/>
          <w:b w:val="1"/>
          <w:bCs w:val="1"/>
          <w:color w:val="auto"/>
        </w:rPr>
      </w:pPr>
      <w:r>
        <w:rPr>
          <w:rFonts w:ascii="Arial" w:cs="Arial" w:eastAsia="Arial" w:hAnsi="Arial"/>
          <w:sz w:val="17"/>
          <w:szCs w:val="17"/>
          <w:b w:val="1"/>
          <w:bCs w:val="1"/>
          <w:color w:val="auto"/>
        </w:rPr>
        <w:t>COBRA Severance</w:t>
      </w:r>
      <w:r>
        <w:rPr>
          <w:rFonts w:ascii="Arial" w:cs="Arial" w:eastAsia="Arial" w:hAnsi="Arial"/>
          <w:sz w:val="17"/>
          <w:szCs w:val="17"/>
          <w:color w:val="auto"/>
        </w:rPr>
        <w:t>. As an additional severance benefit, the Company will continue to pay the cost of your and your dependents’ health care</w:t>
      </w:r>
      <w:r>
        <w:rPr>
          <w:rFonts w:ascii="Arial" w:cs="Arial" w:eastAsia="Arial" w:hAnsi="Arial"/>
          <w:sz w:val="17"/>
          <w:szCs w:val="17"/>
          <w:b w:val="1"/>
          <w:bCs w:val="1"/>
          <w:color w:val="auto"/>
        </w:rPr>
        <w:t xml:space="preserve"> </w:t>
      </w:r>
      <w:r>
        <w:rPr>
          <w:rFonts w:ascii="Arial" w:cs="Arial" w:eastAsia="Arial" w:hAnsi="Arial"/>
          <w:sz w:val="17"/>
          <w:szCs w:val="17"/>
          <w:color w:val="auto"/>
        </w:rPr>
        <w:t>coverage in effect at the time of your Separation from Service for a maximum of 12 months, either under the Company’s regular health plan (if permitted), or by paying your and your dependents’ COBRA premiums (the “</w:t>
      </w:r>
      <w:r>
        <w:rPr>
          <w:rFonts w:ascii="Arial" w:cs="Arial" w:eastAsia="Arial" w:hAnsi="Arial"/>
          <w:sz w:val="17"/>
          <w:szCs w:val="17"/>
          <w:b w:val="1"/>
          <w:bCs w:val="1"/>
          <w:color w:val="auto"/>
        </w:rPr>
        <w:t>COBRA Severance</w:t>
      </w:r>
      <w:r>
        <w:rPr>
          <w:rFonts w:ascii="Arial" w:cs="Arial" w:eastAsia="Arial" w:hAnsi="Arial"/>
          <w:sz w:val="17"/>
          <w:szCs w:val="17"/>
          <w:color w:val="auto"/>
        </w:rPr>
        <w:t>”). The Company’s obligation to pay the COBRA Severance on your behalf will cease if you obtain health care coverage from another source (e.g., a new employer or spouse’s benefit plan), unless otherwise prohibited by applicable law. You must notify the Company within two weeks if you obtain coverage from a new source. This payment of COBRA Severance by the Company would not expand or extend the maximum period of COBRA coverage to which you would otherwise be entitled under applicable law. Notwithstanding the above, if the Company determines in its sole discretion that it cannot provide the foregoing COBRA Severance without potentially violating applicable law (including, without limitation, Section 2716 of the Public Health Service Act), the Company shall in lieu thereof provide to you a taxable monthly payment in an amount equal to the monthly COBRA premium that you would be required to pay to continue your and your dependents’ group health coverage in effect on the date of your termination (which amount shall be based on the premium for the first month of COBRA coverage), which payments shall be made on the last day of each month regardless of whether you elect COBRA continuation coverage and shall end on the earlier of (x) the date upon which you and your dependents obtain other coverage or (y) the last day of the 12th calendar month following your Separation from Service date.</w:t>
      </w:r>
    </w:p>
    <w:p>
      <w:pPr>
        <w:spacing w:after="0" w:line="179" w:lineRule="exact"/>
        <w:rPr>
          <w:rFonts w:ascii="Arial" w:cs="Arial" w:eastAsia="Arial" w:hAnsi="Arial"/>
          <w:sz w:val="17"/>
          <w:szCs w:val="17"/>
          <w:b w:val="1"/>
          <w:bCs w:val="1"/>
          <w:color w:val="auto"/>
        </w:rPr>
      </w:pPr>
    </w:p>
    <w:p>
      <w:pPr>
        <w:jc w:val="both"/>
        <w:ind w:right="40" w:firstLine="7"/>
        <w:spacing w:after="0" w:line="286" w:lineRule="auto"/>
        <w:tabs>
          <w:tab w:leader="none" w:pos="312" w:val="left"/>
        </w:tabs>
        <w:numPr>
          <w:ilvl w:val="0"/>
          <w:numId w:val="380"/>
        </w:numPr>
        <w:rPr>
          <w:rFonts w:ascii="Arial" w:cs="Arial" w:eastAsia="Arial" w:hAnsi="Arial"/>
          <w:sz w:val="16"/>
          <w:szCs w:val="16"/>
          <w:b w:val="1"/>
          <w:bCs w:val="1"/>
          <w:color w:val="auto"/>
        </w:rPr>
      </w:pPr>
      <w:r>
        <w:rPr>
          <w:rFonts w:ascii="Arial" w:cs="Arial" w:eastAsia="Arial" w:hAnsi="Arial"/>
          <w:sz w:val="16"/>
          <w:szCs w:val="16"/>
          <w:b w:val="1"/>
          <w:bCs w:val="1"/>
          <w:color w:val="auto"/>
        </w:rPr>
        <w:t>Change in Control Severance</w:t>
      </w:r>
      <w:r>
        <w:rPr>
          <w:rFonts w:ascii="Arial" w:cs="Arial" w:eastAsia="Arial" w:hAnsi="Arial"/>
          <w:sz w:val="16"/>
          <w:szCs w:val="16"/>
          <w:color w:val="auto"/>
        </w:rPr>
        <w:t>. In the event of a Qualifying Termination that occurs within three months prior to or within 12 months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of a Change in Control (as defined below), provided such Qualifying Termination constitutes a Separation from Service, then subject to Sections 10, 12 and 13 below and your continued compliance with the terms of this Agreement (including without limitation Section 5 above), the Company will</w:t>
      </w:r>
    </w:p>
    <w:p>
      <w:pPr>
        <w:spacing w:after="0" w:line="1" w:lineRule="exact"/>
        <w:rPr>
          <w:rFonts w:ascii="Arial" w:cs="Arial" w:eastAsia="Arial" w:hAnsi="Arial"/>
          <w:sz w:val="16"/>
          <w:szCs w:val="16"/>
          <w:b w:val="1"/>
          <w:bCs w:val="1"/>
          <w:color w:val="auto"/>
        </w:rPr>
      </w:pPr>
    </w:p>
    <w:p>
      <w:pPr>
        <w:ind w:right="20"/>
        <w:spacing w:after="0" w:line="250" w:lineRule="auto"/>
        <w:rPr>
          <w:rFonts w:ascii="Arial" w:cs="Arial" w:eastAsia="Arial" w:hAnsi="Arial"/>
          <w:sz w:val="16"/>
          <w:szCs w:val="16"/>
          <w:b w:val="1"/>
          <w:bCs w:val="1"/>
          <w:color w:val="auto"/>
        </w:rPr>
      </w:pPr>
      <w:r>
        <w:rPr>
          <w:rFonts w:ascii="Arial" w:cs="Arial" w:eastAsia="Arial" w:hAnsi="Arial"/>
          <w:sz w:val="18"/>
          <w:szCs w:val="18"/>
          <w:color w:val="auto"/>
        </w:rPr>
        <w:t>(a) accelerate the vesting of any of your then-unvested equity in the Company such that 100% of such equity shall be deemed immediately vested and exercisable as of your Separation from Service date; and (b) increase the amount of Severance described in Section 8(a) and COBRA Severance described in Section 8(b) to 18 months, and add to the cash component, as an additional severance benefit, an amount equal to your target Annual Bonus for the year of your Qualifying Termination, with such cash component to be paid in a single lump sum within ten business days after the effective date of the Release (the “</w:t>
      </w:r>
      <w:r>
        <w:rPr>
          <w:rFonts w:ascii="Arial" w:cs="Arial" w:eastAsia="Arial" w:hAnsi="Arial"/>
          <w:sz w:val="18"/>
          <w:szCs w:val="18"/>
          <w:b w:val="1"/>
          <w:bCs w:val="1"/>
          <w:color w:val="auto"/>
        </w:rPr>
        <w:t>CIC Severance Benefits</w:t>
      </w:r>
      <w:r>
        <w:rPr>
          <w:rFonts w:ascii="Arial" w:cs="Arial" w:eastAsia="Arial" w:hAnsi="Arial"/>
          <w:sz w:val="18"/>
          <w:szCs w:val="18"/>
          <w:color w:val="auto"/>
        </w:rPr>
        <w:t>”).</w:t>
      </w:r>
    </w:p>
    <w:p>
      <w:pPr>
        <w:spacing w:after="0" w:line="188" w:lineRule="exact"/>
        <w:rPr>
          <w:rFonts w:ascii="Arial" w:cs="Arial" w:eastAsia="Arial" w:hAnsi="Arial"/>
          <w:sz w:val="16"/>
          <w:szCs w:val="16"/>
          <w:b w:val="1"/>
          <w:bCs w:val="1"/>
          <w:color w:val="auto"/>
        </w:rPr>
      </w:pPr>
    </w:p>
    <w:p>
      <w:pPr>
        <w:jc w:val="both"/>
        <w:ind w:right="100" w:firstLine="7"/>
        <w:spacing w:after="0" w:line="309" w:lineRule="auto"/>
        <w:tabs>
          <w:tab w:leader="none" w:pos="401" w:val="left"/>
        </w:tabs>
        <w:numPr>
          <w:ilvl w:val="0"/>
          <w:numId w:val="380"/>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 on Severance Benefits / Clawback and Recovery</w:t>
      </w:r>
      <w:r>
        <w:rPr>
          <w:rFonts w:ascii="Arial" w:cs="Arial" w:eastAsia="Arial" w:hAnsi="Arial"/>
          <w:sz w:val="16"/>
          <w:szCs w:val="16"/>
          <w:color w:val="auto"/>
        </w:rPr>
        <w:t>. Under no circumstances will you be able to receive both the Non-CIC Severance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and the CIC Severance Benefits. Any and all Non-CIC Severance Benefits and CIC Severance Benefits provided under this Agreement will be subject to recoupment in accordance with any clawback policy that the Company adopts, including pursuant to the listing standards of any national</w:t>
      </w:r>
    </w:p>
    <w:p>
      <w:pPr>
        <w:sectPr>
          <w:pgSz w:w="11900" w:h="16838" w:orient="portrait"/>
          <w:cols w:equalWidth="0" w:num="1">
            <w:col w:w="10920"/>
          </w:cols>
          <w:pgMar w:left="480" w:top="268" w:right="499" w:bottom="1440" w:gutter="0" w:footer="0" w:header="0"/>
        </w:sectPr>
      </w:pPr>
    </w:p>
    <w:bookmarkStart w:id="420" w:name="page421"/>
    <w:bookmarkEnd w:id="420"/>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as the Board determines necessary to comply with the Dodd-Frank Wall Street Reform and Consumer Protection Act or other applicable law, including but not limited to a reacquisition right in respect of previously acquired shares of common stock of the Company or other cash or property upon the occurrence of a termination of employment for Cause.</w:t>
      </w:r>
    </w:p>
    <w:p>
      <w:pPr>
        <w:spacing w:after="0" w:line="189" w:lineRule="exact"/>
        <w:rPr>
          <w:sz w:val="20"/>
          <w:szCs w:val="20"/>
          <w:color w:val="auto"/>
        </w:rPr>
      </w:pPr>
    </w:p>
    <w:p>
      <w:pPr>
        <w:ind w:firstLine="7"/>
        <w:spacing w:after="0" w:line="291" w:lineRule="auto"/>
        <w:tabs>
          <w:tab w:leader="none" w:pos="391" w:val="left"/>
        </w:tabs>
        <w:numPr>
          <w:ilvl w:val="0"/>
          <w:numId w:val="3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Resignation Without Good Reason; Death or Disability. </w:t>
      </w:r>
      <w:r>
        <w:rPr>
          <w:rFonts w:ascii="Arial" w:cs="Arial" w:eastAsia="Arial" w:hAnsi="Arial"/>
          <w:sz w:val="16"/>
          <w:szCs w:val="16"/>
          <w:color w:val="auto"/>
        </w:rPr>
        <w:t>If at any time (a) the Company terminates your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Cause, (b) you resign your employment without Good Reason, or (c) either party terminates your employment as a result of your death or disability, then in any such case you will receive only your base salary accrued through your last day of employment, as well as any unused vacation (if applicable) accrued through your last day of employment. Under these circumstances, you will not be entitled to any other form of compensation from the Company, including the Non-CIC Severance Benefits, the CIC Severance Benefits, or any other severance benefits, other than your rights to the vested portion of any equity and any other rights to which you are entitled under the Company’s benefit programs.</w:t>
      </w:r>
    </w:p>
    <w:p>
      <w:pPr>
        <w:spacing w:after="0" w:line="159" w:lineRule="exact"/>
        <w:rPr>
          <w:rFonts w:ascii="Arial" w:cs="Arial" w:eastAsia="Arial" w:hAnsi="Arial"/>
          <w:sz w:val="16"/>
          <w:szCs w:val="16"/>
          <w:b w:val="1"/>
          <w:bCs w:val="1"/>
          <w:color w:val="auto"/>
        </w:rPr>
      </w:pPr>
    </w:p>
    <w:p>
      <w:pPr>
        <w:ind w:left="400" w:hanging="393"/>
        <w:spacing w:after="0"/>
        <w:tabs>
          <w:tab w:leader="none" w:pos="400" w:val="left"/>
        </w:tabs>
        <w:numPr>
          <w:ilvl w:val="0"/>
          <w:numId w:val="3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Conditions to Receipt of the Non-CIC Severance Benefits and CIC Severance Benefits. </w:t>
      </w:r>
      <w:r>
        <w:rPr>
          <w:rFonts w:ascii="Arial" w:cs="Arial" w:eastAsia="Arial" w:hAnsi="Arial"/>
          <w:sz w:val="16"/>
          <w:szCs w:val="16"/>
          <w:color w:val="auto"/>
        </w:rPr>
        <w:t>Prior to and as a condition to your receipt of the</w:t>
      </w:r>
    </w:p>
    <w:p>
      <w:pPr>
        <w:spacing w:after="0" w:line="4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Non-CIC Severance Benefits or CIC Severance Benefits described above, you shall execute and deliver to the Company an effective release of claims in favor of the Company and substantially in the form attached as </w:t>
      </w:r>
      <w:r>
        <w:rPr>
          <w:rFonts w:ascii="Arial" w:cs="Arial" w:eastAsia="Arial" w:hAnsi="Arial"/>
          <w:sz w:val="17"/>
          <w:szCs w:val="17"/>
          <w:b w:val="1"/>
          <w:bCs w:val="1"/>
          <w:i w:val="1"/>
          <w:iCs w:val="1"/>
          <w:color w:val="auto"/>
        </w:rPr>
        <w:t>Attachment 1</w:t>
      </w:r>
      <w:r>
        <w:rPr>
          <w:rFonts w:ascii="Arial" w:cs="Arial" w:eastAsia="Arial" w:hAnsi="Arial"/>
          <w:sz w:val="17"/>
          <w:szCs w:val="17"/>
          <w:color w:val="auto"/>
        </w:rPr>
        <w:t xml:space="preserve"> to this Agreement (the “</w:t>
      </w:r>
      <w:r>
        <w:rPr>
          <w:rFonts w:ascii="Arial" w:cs="Arial" w:eastAsia="Arial" w:hAnsi="Arial"/>
          <w:sz w:val="17"/>
          <w:szCs w:val="17"/>
          <w:b w:val="1"/>
          <w:bCs w:val="1"/>
          <w:color w:val="auto"/>
        </w:rPr>
        <w:t>Release</w:t>
      </w:r>
      <w:r>
        <w:rPr>
          <w:rFonts w:ascii="Arial" w:cs="Arial" w:eastAsia="Arial" w:hAnsi="Arial"/>
          <w:sz w:val="17"/>
          <w:szCs w:val="17"/>
          <w:color w:val="auto"/>
        </w:rPr>
        <w:t>”) (which will include a non-disparagement covenant in favor of the Company) within the timeframe set forth therein, but not later than 21 days following your Separation from Service Date, and allow the Release to become effective according to its terms (by not invoking any legal right to revoke it) within any applicable time period set forth therein (such latest permitted effective date, the “</w:t>
      </w:r>
      <w:r>
        <w:rPr>
          <w:rFonts w:ascii="Arial" w:cs="Arial" w:eastAsia="Arial" w:hAnsi="Arial"/>
          <w:sz w:val="17"/>
          <w:szCs w:val="17"/>
          <w:b w:val="1"/>
          <w:bCs w:val="1"/>
          <w:color w:val="auto"/>
        </w:rPr>
        <w:t>Release Deadline</w:t>
      </w:r>
      <w:r>
        <w:rPr>
          <w:rFonts w:ascii="Arial" w:cs="Arial" w:eastAsia="Arial" w:hAnsi="Arial"/>
          <w:sz w:val="17"/>
          <w:szCs w:val="17"/>
          <w:color w:val="auto"/>
        </w:rPr>
        <w:t>”). The Release may be modified as required to conform to state-specific requirements, multiple-person terminations and/or changes in applicable state or federal law.</w:t>
      </w:r>
    </w:p>
    <w:p>
      <w:pPr>
        <w:spacing w:after="0" w:line="176" w:lineRule="exact"/>
        <w:rPr>
          <w:sz w:val="20"/>
          <w:szCs w:val="20"/>
          <w:color w:val="auto"/>
        </w:rPr>
      </w:pPr>
    </w:p>
    <w:p>
      <w:pPr>
        <w:ind w:right="40" w:firstLine="7"/>
        <w:spacing w:after="0" w:line="283" w:lineRule="auto"/>
        <w:tabs>
          <w:tab w:leader="none" w:pos="401" w:val="left"/>
        </w:tabs>
        <w:numPr>
          <w:ilvl w:val="0"/>
          <w:numId w:val="3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Return of Company Property. </w:t>
      </w:r>
      <w:r>
        <w:rPr>
          <w:rFonts w:ascii="Arial" w:cs="Arial" w:eastAsia="Arial" w:hAnsi="Arial"/>
          <w:sz w:val="16"/>
          <w:szCs w:val="16"/>
          <w:color w:val="auto"/>
        </w:rPr>
        <w:t>Within five business days after your Separation from Service Date (or earlier if requested by the Company), you</w:t>
      </w:r>
      <w:r>
        <w:rPr>
          <w:rFonts w:ascii="Arial" w:cs="Arial" w:eastAsia="Arial" w:hAnsi="Arial"/>
          <w:sz w:val="16"/>
          <w:szCs w:val="16"/>
          <w:b w:val="1"/>
          <w:bCs w:val="1"/>
          <w:color w:val="auto"/>
        </w:rPr>
        <w:t xml:space="preserve"> </w:t>
      </w:r>
      <w:r>
        <w:rPr>
          <w:rFonts w:ascii="Arial" w:cs="Arial" w:eastAsia="Arial" w:hAnsi="Arial"/>
          <w:sz w:val="16"/>
          <w:szCs w:val="16"/>
          <w:color w:val="auto"/>
        </w:rPr>
        <w:t>will return to the Company all Company documents (and all copies thereof) and other Company property within your possession, custody or control, including, but not limited to, Company files, notes, financial and operational information, customer lists and contact information, product and services information, research and development information, drawings, records, plans, forecasts, reports, payroll information, spreadsheets, studies, analyses, compilations of data, proposals, agreements, sales and marketing information, personnel information, specifications, code, software, databases, computer-recorded information, tangible property and equipment (including, but not limited to, computers,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You further agree that you will make a diligent search to locate any such documents, property and information and return them to the Company within the timeframe provided above. In addition, if you have used any personally-owned computer, server, or e-mail system to receive, store, review, prepare or transmit any confidential or proprietary data, materials or information of the Company, then within five business days after your Separation from Service date you will make best efforts to permanently delete and expunge such confidential or proprietary information from those systems without retaining any reproductions (in whole or in part). You shall deliver to the Company a signed statement certifying compliance with this Section 13 prior to the receipt of the Non-CIC Severance Benefits or CIC Severance Benefits.</w:t>
      </w:r>
    </w:p>
    <w:p>
      <w:pPr>
        <w:spacing w:after="0" w:line="172" w:lineRule="exact"/>
        <w:rPr>
          <w:rFonts w:ascii="Arial" w:cs="Arial" w:eastAsia="Arial" w:hAnsi="Arial"/>
          <w:sz w:val="16"/>
          <w:szCs w:val="16"/>
          <w:b w:val="1"/>
          <w:bCs w:val="1"/>
          <w:color w:val="auto"/>
        </w:rPr>
      </w:pPr>
    </w:p>
    <w:p>
      <w:pPr>
        <w:ind w:firstLine="7"/>
        <w:spacing w:after="0" w:line="291" w:lineRule="auto"/>
        <w:tabs>
          <w:tab w:leader="none" w:pos="401" w:val="left"/>
        </w:tabs>
        <w:numPr>
          <w:ilvl w:val="0"/>
          <w:numId w:val="3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Outside Activities. </w:t>
      </w:r>
      <w:r>
        <w:rPr>
          <w:rFonts w:ascii="Arial" w:cs="Arial" w:eastAsia="Arial" w:hAnsi="Arial"/>
          <w:sz w:val="16"/>
          <w:szCs w:val="16"/>
          <w:color w:val="auto"/>
        </w:rPr>
        <w:t>Throughout your employment with the Company, you may engage in civic and not-for-profit activities so long as such</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do not interfere with the performance of your duties hereunder or present a conflict of interest with the Company. Subject to the restrictions set forth herein and with the prior written consent of the Board, you may serve as a director of other corporations and may devote a reasonable amount of your time to other types of business or public activities not expressly mentioned in this paragraph. The Board may rescind its consent to your service as a director of all other corporations or participation in other business or public activities, if the Board, in its sole discretion, determines that such activities compromise or threaten to compromise the Company’s business interests or conflict with your duties to the Company.</w:t>
      </w:r>
    </w:p>
    <w:p>
      <w:pPr>
        <w:sectPr>
          <w:pgSz w:w="11900" w:h="16838" w:orient="portrait"/>
          <w:cols w:equalWidth="0" w:num="1">
            <w:col w:w="10900"/>
          </w:cols>
          <w:pgMar w:left="480" w:top="272" w:right="519" w:bottom="1440" w:gutter="0" w:footer="0" w:header="0"/>
        </w:sectPr>
      </w:pPr>
    </w:p>
    <w:bookmarkStart w:id="421" w:name="page422"/>
    <w:bookmarkEnd w:id="421"/>
    <w:p>
      <w:pPr>
        <w:ind w:right="6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1% of any class of securities of any enterprise (but without participating in the activities of such enterprise) if such securities are listed on any national or regional securities exchange.</w:t>
      </w:r>
    </w:p>
    <w:p>
      <w:pPr>
        <w:spacing w:after="0" w:line="190" w:lineRule="exact"/>
        <w:rPr>
          <w:sz w:val="20"/>
          <w:szCs w:val="20"/>
          <w:color w:val="auto"/>
        </w:rPr>
      </w:pPr>
    </w:p>
    <w:p>
      <w:pPr>
        <w:ind w:left="400" w:hanging="393"/>
        <w:spacing w:after="0"/>
        <w:tabs>
          <w:tab w:leader="none" w:pos="40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Agreement, the following terms shall have the following meanings:</w:t>
      </w:r>
    </w:p>
    <w:p>
      <w:pPr>
        <w:spacing w:after="0" w:line="22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Cause</w:t>
      </w:r>
      <w:r>
        <w:rPr>
          <w:rFonts w:ascii="Arial" w:cs="Arial" w:eastAsia="Arial" w:hAnsi="Arial"/>
          <w:sz w:val="16"/>
          <w:szCs w:val="16"/>
          <w:color w:val="auto"/>
        </w:rPr>
        <w:t>” for termination will mean your: (a) commission or conviction (including a guilty plea or plea of nolo contendere) of any felony or any other crime involving fraud, dishonesty or moral turpitude; (b) your commission or attempted commission of or participation in a fraud or act of dishonesty or misrepresentation against the Company; (c) willful and material breach of your duties to the Company;</w:t>
      </w:r>
    </w:p>
    <w:p>
      <w:pPr>
        <w:spacing w:after="0" w:line="1" w:lineRule="exact"/>
        <w:rPr>
          <w:sz w:val="20"/>
          <w:szCs w:val="20"/>
          <w:color w:val="auto"/>
        </w:rPr>
      </w:pPr>
    </w:p>
    <w:p>
      <w:pPr>
        <w:ind w:right="100" w:firstLine="7"/>
        <w:spacing w:after="0" w:line="286" w:lineRule="auto"/>
        <w:tabs>
          <w:tab w:leader="none" w:pos="252" w:val="left"/>
        </w:tabs>
        <w:numPr>
          <w:ilvl w:val="0"/>
          <w:numId w:val="384"/>
        </w:numPr>
        <w:rPr>
          <w:rFonts w:ascii="Arial" w:cs="Arial" w:eastAsia="Arial" w:hAnsi="Arial"/>
          <w:sz w:val="16"/>
          <w:szCs w:val="16"/>
          <w:color w:val="auto"/>
        </w:rPr>
      </w:pPr>
      <w:r>
        <w:rPr>
          <w:rFonts w:ascii="Arial" w:cs="Arial" w:eastAsia="Arial" w:hAnsi="Arial"/>
          <w:sz w:val="16"/>
          <w:szCs w:val="16"/>
          <w:color w:val="auto"/>
        </w:rPr>
        <w:t>willful damage to any property of the Company; (e) willful misconduct, or other willful violation of Company policy that causes harm; or (f) your material violation of any written and fully executed contract or agreement between you and the Company, including without limitation, material breach of your Confidentiality Agreement, or material breach of any Company policy, or of any statutory duty you owe to the Company; provided, however, that in the event of subparagraph (f) above, the Company will provide written notice of such alleged violation and breach and you will have 30 days from receipt of such notice to cure. For purposes of this definition of Cause, no act, or failure to act, on your part shall be considered “willful” unless it is done, or omitted to be done, by you intentionally and without reasonable belief that your action or omission was in the best interests of the Company.</w:t>
      </w:r>
    </w:p>
    <w:p>
      <w:pPr>
        <w:spacing w:after="0" w:line="16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For purposes of this Agreement, you shall have “</w:t>
      </w:r>
      <w:r>
        <w:rPr>
          <w:rFonts w:ascii="Arial" w:cs="Arial" w:eastAsia="Arial" w:hAnsi="Arial"/>
          <w:sz w:val="16"/>
          <w:szCs w:val="16"/>
          <w:b w:val="1"/>
          <w:bCs w:val="1"/>
          <w:color w:val="auto"/>
        </w:rPr>
        <w:t>Good Reason</w:t>
      </w:r>
      <w:r>
        <w:rPr>
          <w:rFonts w:ascii="Arial" w:cs="Arial" w:eastAsia="Arial" w:hAnsi="Arial"/>
          <w:sz w:val="16"/>
          <w:szCs w:val="16"/>
          <w:color w:val="auto"/>
        </w:rPr>
        <w:t xml:space="preserve">” for resigning from employment with the Company if any of the following actions are taken by the Company without your prior written consent: (a) a material reduction in your base salary, which the parties agree is a reduction of at least 10% of your base salary (unless pursuant to a salary reduction program applicable generally to the Company’s similarly situated employees); (b) a material reduction in your duties (including responsibilities and/or authorities) as the Chief Executive Officer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change in job position (including a change in title) shall not be deemed a “material reduction” in and of itself unless your new duties are materially reduced from the prior duties; (c) relocation of your principal place of employment to a place that increases your one-way commute by more than 50 miles as compared to your then-current principal place of employment immediately prior to such relocation,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you work remotely during any period in which your regular principal place of employment at a Company office is closed, then neither your relocation to remote work or back to the office from remote work will be considered a relocation of your principal place of employment with the Company for purposes of this definition; or</w:t>
      </w:r>
    </w:p>
    <w:p>
      <w:pPr>
        <w:spacing w:after="0" w:line="4" w:lineRule="exact"/>
        <w:rPr>
          <w:sz w:val="20"/>
          <w:szCs w:val="20"/>
          <w:color w:val="auto"/>
        </w:rPr>
      </w:pPr>
    </w:p>
    <w:p>
      <w:pPr>
        <w:jc w:val="both"/>
        <w:ind w:right="80" w:firstLine="7"/>
        <w:spacing w:after="0" w:line="250" w:lineRule="auto"/>
        <w:tabs>
          <w:tab w:leader="none" w:pos="252" w:val="left"/>
        </w:tabs>
        <w:numPr>
          <w:ilvl w:val="0"/>
          <w:numId w:val="385"/>
        </w:numPr>
        <w:rPr>
          <w:rFonts w:ascii="Arial" w:cs="Arial" w:eastAsia="Arial" w:hAnsi="Arial"/>
          <w:sz w:val="18"/>
          <w:szCs w:val="18"/>
          <w:color w:val="auto"/>
        </w:rPr>
      </w:pPr>
      <w:r>
        <w:rPr>
          <w:rFonts w:ascii="Arial" w:cs="Arial" w:eastAsia="Arial" w:hAnsi="Arial"/>
          <w:sz w:val="18"/>
          <w:szCs w:val="18"/>
          <w:color w:val="auto"/>
        </w:rPr>
        <w:t>prior to a Change in Control, no longer being a member of the Board or reporting to the Board as Chief Executive Officer. In order to resign for Good Reason, you must provide written notice to the Company’s Board of Directors within 30 days after each occurrence of the event giving rise to Good Reason setting forth the basis for your resignation, allow the Company at least 30 days from receipt of such written notice to cure such event, and if such event is not reasonably cured within such period, you must resign from all positions you then hold with the Company not later than 30 days after the expiration of the cure period.</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color w:val="auto"/>
        </w:rPr>
        <w:t>Change in Control</w:t>
      </w:r>
      <w:r>
        <w:rPr>
          <w:rFonts w:ascii="Arial" w:cs="Arial" w:eastAsia="Arial" w:hAnsi="Arial"/>
          <w:sz w:val="17"/>
          <w:szCs w:val="17"/>
          <w:color w:val="auto"/>
        </w:rPr>
        <w:t>” shall mean: (a)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 majority of the voting power of the surviving entity (or, if the surviving entity is a wholly owned subsidiary, its parent) immediately after such consolidation, merger or</w:t>
      </w:r>
    </w:p>
    <w:p>
      <w:pPr>
        <w:sectPr>
          <w:pgSz w:w="11900" w:h="16838" w:orient="portrait"/>
          <w:cols w:equalWidth="0" w:num="1">
            <w:col w:w="10920"/>
          </w:cols>
          <w:pgMar w:left="480" w:top="272" w:right="499" w:bottom="1440" w:gutter="0" w:footer="0" w:header="0"/>
        </w:sectPr>
      </w:pPr>
    </w:p>
    <w:bookmarkStart w:id="422" w:name="page423"/>
    <w:bookmarkEnd w:id="422"/>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reorganization; (b) any transaction or series of related transactions to which the Company is a party in which in excess of 50% of the Company’s voting power is transferred;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include any transaction or series of transactions principally for bona fide equity financing purposes in which cash is received by the Company or indebtedness of the Company is cancelled or converted or a combination thereof; or (c) a sale, lease, exclusive license or other disposition of all or substantially all of the assets of the Company.</w:t>
      </w:r>
    </w:p>
    <w:p>
      <w:pPr>
        <w:spacing w:after="0" w:line="170" w:lineRule="exact"/>
        <w:rPr>
          <w:sz w:val="20"/>
          <w:szCs w:val="20"/>
          <w:color w:val="auto"/>
        </w:rPr>
      </w:pPr>
    </w:p>
    <w:p>
      <w:pPr>
        <w:ind w:right="360" w:firstLine="7"/>
        <w:spacing w:after="0" w:line="284" w:lineRule="auto"/>
        <w:tabs>
          <w:tab w:leader="none" w:pos="401" w:val="left"/>
        </w:tabs>
        <w:numPr>
          <w:ilvl w:val="0"/>
          <w:numId w:val="3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Section 409A. </w:t>
      </w:r>
      <w:r>
        <w:rPr>
          <w:rFonts w:ascii="Arial" w:cs="Arial" w:eastAsia="Arial" w:hAnsi="Arial"/>
          <w:sz w:val="16"/>
          <w:szCs w:val="16"/>
          <w:color w:val="auto"/>
        </w:rPr>
        <w:t>It is intended that the Non-CIC Severance Benefits and CIC Severance Benefits set forth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satisfy, to the greatest extent possible, the exemptions from the application of Section 409A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(Section 409A, together with any state law of similar effect, “</w:t>
      </w:r>
      <w:r>
        <w:rPr>
          <w:rFonts w:ascii="Arial" w:cs="Arial" w:eastAsia="Arial" w:hAnsi="Arial"/>
          <w:sz w:val="16"/>
          <w:szCs w:val="16"/>
          <w:b w:val="1"/>
          <w:bCs w:val="1"/>
          <w:color w:val="auto"/>
        </w:rPr>
        <w:t>Section 409A</w:t>
      </w:r>
      <w:r>
        <w:rPr>
          <w:rFonts w:ascii="Arial" w:cs="Arial" w:eastAsia="Arial" w:hAnsi="Arial"/>
          <w:sz w:val="16"/>
          <w:szCs w:val="16"/>
          <w:color w:val="auto"/>
        </w:rPr>
        <w:t>”) provided under Treasury Regulations 1.409A-1(b)(4), 1.409A-1(b)(5) and 1.409A-1(b)(9). For purposes of Section 409A (including, without limitation, for purposes of Treasury Regulations</w:t>
      </w:r>
    </w:p>
    <w:p>
      <w:pPr>
        <w:spacing w:after="0" w:line="1" w:lineRule="exact"/>
        <w:rPr>
          <w:rFonts w:ascii="Arial" w:cs="Arial" w:eastAsia="Arial" w:hAnsi="Arial"/>
          <w:sz w:val="16"/>
          <w:szCs w:val="16"/>
          <w:b w:val="1"/>
          <w:bCs w:val="1"/>
          <w:color w:val="auto"/>
        </w:rPr>
      </w:pPr>
    </w:p>
    <w:p>
      <w:pPr>
        <w:ind w:right="20"/>
        <w:spacing w:after="0" w:line="279" w:lineRule="auto"/>
        <w:rPr>
          <w:rFonts w:ascii="Arial" w:cs="Arial" w:eastAsia="Arial" w:hAnsi="Arial"/>
          <w:sz w:val="16"/>
          <w:szCs w:val="16"/>
          <w:b w:val="1"/>
          <w:bCs w:val="1"/>
          <w:color w:val="auto"/>
        </w:rPr>
      </w:pPr>
      <w:r>
        <w:rPr>
          <w:rFonts w:ascii="Arial" w:cs="Arial" w:eastAsia="Arial" w:hAnsi="Arial"/>
          <w:sz w:val="16"/>
          <w:szCs w:val="16"/>
          <w:color w:val="auto"/>
        </w:rPr>
        <w:t>1.409A-2(b)(2)(iii)),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the Company (or, if applicable, the successor entity thereto) determines that the Non-CIC Severance Benefits or CIC Severance Benefits constitute “deferred compensation” under Section 409A and you are, on the date of your Separation from Service, a “specified employee” of the Company or any successor entity thereto, as such term is defined in Section 409A(a)(2)(B)(i) of the Code (a “</w:t>
      </w:r>
      <w:r>
        <w:rPr>
          <w:rFonts w:ascii="Arial" w:cs="Arial" w:eastAsia="Arial" w:hAnsi="Arial"/>
          <w:sz w:val="16"/>
          <w:szCs w:val="16"/>
          <w:b w:val="1"/>
          <w:bCs w:val="1"/>
          <w:color w:val="auto"/>
        </w:rPr>
        <w:t>Specified Employee</w:t>
      </w:r>
      <w:r>
        <w:rPr>
          <w:rFonts w:ascii="Arial" w:cs="Arial" w:eastAsia="Arial" w:hAnsi="Arial"/>
          <w:sz w:val="16"/>
          <w:szCs w:val="16"/>
          <w:color w:val="auto"/>
        </w:rPr>
        <w:t>”), then, solely to the extent necessary to avoid the incurrence of adverse personal tax consequences under Section 409A, the timing of the Non-CIC Severance Benefits or CIC Severance Benefits shall be delayed until the earliest of: (i) the date that is six months and one day after your Separation from Service date, (ii) the date of your death, or (iii) such earlier date as permitted under Section 409A without the imposition of adverse taxation. Upon the first business day following the expiration of such applicable Code Section 409A(a)</w:t>
      </w:r>
    </w:p>
    <w:p>
      <w:pPr>
        <w:ind w:right="60"/>
        <w:spacing w:after="0" w:line="266" w:lineRule="auto"/>
        <w:rPr>
          <w:rFonts w:ascii="Arial" w:cs="Arial" w:eastAsia="Arial" w:hAnsi="Arial"/>
          <w:sz w:val="16"/>
          <w:szCs w:val="16"/>
          <w:b w:val="1"/>
          <w:bCs w:val="1"/>
          <w:color w:val="auto"/>
        </w:rPr>
      </w:pPr>
      <w:r>
        <w:rPr>
          <w:rFonts w:ascii="Arial" w:cs="Arial" w:eastAsia="Arial" w:hAnsi="Arial"/>
          <w:sz w:val="17"/>
          <w:szCs w:val="17"/>
          <w:color w:val="auto"/>
        </w:rPr>
        <w:t>(2)(B)(i) period, all payments or benefits deferred pursuant to this section shall be paid in a lump sum or provided in full by the Company (or the successor entity thereto, as applicable), and any remaining payments due shall be paid as otherwise provided herein. No interest shall be due on any amounts so deferred. If the Non-CIC Severance Benefits or CIC Severance Benefits are not covered by one or more exemptions from the application of Section 409A and the Release could become effective in the calendar year following the calendar year in which you have a Separation from Service, the Release will not be deemed effective any earlier than the Release Deadline. The Non-CIC Severance Benefits and CIC Severance Benefits are intended to qualify for an exemption from application of Section 409A or comply with its requirements to the extent necessary to avoid adverse personal tax consequences under Section 409A, and any ambiguities herein shall be interpreted accordingly.</w:t>
      </w:r>
    </w:p>
    <w:p>
      <w:pPr>
        <w:spacing w:after="0" w:line="285" w:lineRule="exact"/>
        <w:rPr>
          <w:rFonts w:ascii="Arial" w:cs="Arial" w:eastAsia="Arial" w:hAnsi="Arial"/>
          <w:sz w:val="16"/>
          <w:szCs w:val="16"/>
          <w:b w:val="1"/>
          <w:bCs w:val="1"/>
          <w:color w:val="auto"/>
        </w:rPr>
      </w:pPr>
    </w:p>
    <w:p>
      <w:pPr>
        <w:ind w:left="400" w:hanging="393"/>
        <w:spacing w:after="0"/>
        <w:tabs>
          <w:tab w:leader="none" w:pos="40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Section 280G; Parachute Payments.</w:t>
      </w:r>
    </w:p>
    <w:p>
      <w:pPr>
        <w:spacing w:after="0" w:line="113" w:lineRule="exact"/>
        <w:rPr>
          <w:rFonts w:ascii="Arial" w:cs="Arial" w:eastAsia="Arial" w:hAnsi="Arial"/>
          <w:sz w:val="18"/>
          <w:szCs w:val="18"/>
          <w:b w:val="1"/>
          <w:bCs w:val="1"/>
          <w:color w:val="auto"/>
        </w:rPr>
      </w:pPr>
    </w:p>
    <w:p>
      <w:pPr>
        <w:ind w:firstLine="444"/>
        <w:spacing w:after="0" w:line="267" w:lineRule="auto"/>
        <w:tabs>
          <w:tab w:leader="none" w:pos="822" w:val="left"/>
        </w:tabs>
        <w:numPr>
          <w:ilvl w:val="1"/>
          <w:numId w:val="386"/>
        </w:numPr>
        <w:rPr>
          <w:rFonts w:ascii="Arial" w:cs="Arial" w:eastAsia="Arial" w:hAnsi="Arial"/>
          <w:sz w:val="17"/>
          <w:szCs w:val="17"/>
          <w:b w:val="1"/>
          <w:bCs w:val="1"/>
          <w:color w:val="auto"/>
        </w:rPr>
      </w:pPr>
      <w:r>
        <w:rPr>
          <w:rFonts w:ascii="Arial" w:cs="Arial" w:eastAsia="Arial" w:hAnsi="Arial"/>
          <w:sz w:val="17"/>
          <w:szCs w:val="17"/>
          <w:color w:val="auto"/>
        </w:rPr>
        <w:t>If any payment or benefit you will or may receive from the Company or otherwise (a “</w:t>
      </w:r>
      <w:r>
        <w:rPr>
          <w:rFonts w:ascii="Arial" w:cs="Arial" w:eastAsia="Arial" w:hAnsi="Arial"/>
          <w:sz w:val="17"/>
          <w:szCs w:val="17"/>
          <w:b w:val="1"/>
          <w:bCs w:val="1"/>
          <w:color w:val="auto"/>
        </w:rPr>
        <w:t>280G Payment</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b w:val="1"/>
          <w:bCs w:val="1"/>
          <w:color w:val="auto"/>
        </w:rPr>
        <w:t>Excise Tax</w:t>
      </w:r>
      <w:r>
        <w:rPr>
          <w:rFonts w:ascii="Arial" w:cs="Arial" w:eastAsia="Arial" w:hAnsi="Arial"/>
          <w:sz w:val="17"/>
          <w:szCs w:val="17"/>
          <w:color w:val="auto"/>
        </w:rPr>
        <w:t>”), then any such 280G Payment provided pursuant to this Agreement (a “</w:t>
      </w:r>
      <w:r>
        <w:rPr>
          <w:rFonts w:ascii="Arial" w:cs="Arial" w:eastAsia="Arial" w:hAnsi="Arial"/>
          <w:sz w:val="17"/>
          <w:szCs w:val="17"/>
          <w:b w:val="1"/>
          <w:bCs w:val="1"/>
          <w:color w:val="auto"/>
        </w:rPr>
        <w:t>Payment</w:t>
      </w:r>
      <w:r>
        <w:rPr>
          <w:rFonts w:ascii="Arial" w:cs="Arial" w:eastAsia="Arial" w:hAnsi="Arial"/>
          <w:sz w:val="17"/>
          <w:szCs w:val="17"/>
          <w:color w:val="auto"/>
        </w:rPr>
        <w: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7"/>
          <w:szCs w:val="17"/>
          <w:b w:val="1"/>
          <w:bCs w:val="1"/>
          <w:color w:val="auto"/>
        </w:rPr>
        <w:t>Reduction Method</w:t>
      </w:r>
      <w:r>
        <w:rPr>
          <w:rFonts w:ascii="Arial" w:cs="Arial" w:eastAsia="Arial" w:hAnsi="Arial"/>
          <w:sz w:val="17"/>
          <w:szCs w:val="17"/>
          <w:color w:val="auto"/>
        </w:rPr>
        <w:t>”) that results in the greatest economic benefit for you. If more than one method of reduction will result in the same economic benefit, the items so reduced will be reduced pro rata (the “</w:t>
      </w:r>
      <w:r>
        <w:rPr>
          <w:rFonts w:ascii="Arial" w:cs="Arial" w:eastAsia="Arial" w:hAnsi="Arial"/>
          <w:sz w:val="17"/>
          <w:szCs w:val="17"/>
          <w:b w:val="1"/>
          <w:bCs w:val="1"/>
          <w:color w:val="auto"/>
        </w:rPr>
        <w:t>Pro Rata Reduction Method</w:t>
      </w:r>
      <w:r>
        <w:rPr>
          <w:rFonts w:ascii="Arial" w:cs="Arial" w:eastAsia="Arial" w:hAnsi="Arial"/>
          <w:sz w:val="17"/>
          <w:szCs w:val="17"/>
          <w:color w:val="auto"/>
        </w:rPr>
        <w:t>”).</w:t>
      </w:r>
    </w:p>
    <w:p>
      <w:pPr>
        <w:sectPr>
          <w:pgSz w:w="11900" w:h="16838" w:orient="portrait"/>
          <w:cols w:equalWidth="0" w:num="1">
            <w:col w:w="10920"/>
          </w:cols>
          <w:pgMar w:left="480" w:top="272" w:right="499" w:bottom="1440" w:gutter="0" w:footer="0" w:header="0"/>
        </w:sectPr>
      </w:pPr>
    </w:p>
    <w:bookmarkStart w:id="423" w:name="page424"/>
    <w:bookmarkEnd w:id="423"/>
    <w:p>
      <w:pPr>
        <w:ind w:right="260" w:firstLine="444"/>
        <w:spacing w:after="0" w:line="287" w:lineRule="auto"/>
        <w:tabs>
          <w:tab w:leader="none" w:pos="832" w:val="left"/>
        </w:tabs>
        <w:numPr>
          <w:ilvl w:val="1"/>
          <w:numId w:val="38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any provision of subsection (a) above to the contrary, if the Reduction Method or the Pro Rata Reduction Method would result in any portion of the Payment being subject to taxes pursuant to Section 409A that would not otherwise be subject to taxes pursuant to</w:t>
      </w:r>
    </w:p>
    <w:p>
      <w:pPr>
        <w:ind w:right="60"/>
        <w:spacing w:after="0" w:line="249" w:lineRule="auto"/>
        <w:rPr>
          <w:rFonts w:ascii="Arial" w:cs="Arial" w:eastAsia="Arial" w:hAnsi="Arial"/>
          <w:sz w:val="16"/>
          <w:szCs w:val="16"/>
          <w:b w:val="1"/>
          <w:bCs w:val="1"/>
          <w:color w:val="auto"/>
        </w:rPr>
      </w:pPr>
      <w:r>
        <w:rPr>
          <w:rFonts w:ascii="Arial" w:cs="Arial" w:eastAsia="Arial" w:hAnsi="Arial"/>
          <w:sz w:val="18"/>
          <w:szCs w:val="18"/>
          <w:color w:val="auto"/>
        </w:rPr>
        <w:t>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96" w:lineRule="exact"/>
        <w:rPr>
          <w:rFonts w:ascii="Arial" w:cs="Arial" w:eastAsia="Arial" w:hAnsi="Arial"/>
          <w:sz w:val="16"/>
          <w:szCs w:val="16"/>
          <w:b w:val="1"/>
          <w:bCs w:val="1"/>
          <w:color w:val="auto"/>
        </w:rPr>
      </w:pPr>
    </w:p>
    <w:p>
      <w:pPr>
        <w:ind w:firstLine="444"/>
        <w:spacing w:after="0" w:line="287" w:lineRule="auto"/>
        <w:tabs>
          <w:tab w:leader="none" w:pos="812" w:val="left"/>
        </w:tabs>
        <w:numPr>
          <w:ilvl w:val="1"/>
          <w:numId w:val="387"/>
        </w:numPr>
        <w:rPr>
          <w:rFonts w:ascii="Arial" w:cs="Arial" w:eastAsia="Arial" w:hAnsi="Arial"/>
          <w:sz w:val="16"/>
          <w:szCs w:val="16"/>
          <w:b w:val="1"/>
          <w:bCs w:val="1"/>
          <w:color w:val="auto"/>
        </w:rPr>
      </w:pPr>
      <w:r>
        <w:rPr>
          <w:rFonts w:ascii="Arial" w:cs="Arial" w:eastAsia="Arial" w:hAnsi="Arial"/>
          <w:sz w:val="16"/>
          <w:szCs w:val="16"/>
          <w:color w:val="auto"/>
        </w:rPr>
        <w:t>Unless you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17.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you and the Company within 15 calendar days after the date on which your right to a 280G Payment becomes reasonably likely to occur (if requested at that time by you or the Company) or such other time as requested by you or the Company.</w:t>
      </w:r>
    </w:p>
    <w:p>
      <w:pPr>
        <w:spacing w:after="0" w:line="165" w:lineRule="exact"/>
        <w:rPr>
          <w:rFonts w:ascii="Arial" w:cs="Arial" w:eastAsia="Arial" w:hAnsi="Arial"/>
          <w:sz w:val="16"/>
          <w:szCs w:val="16"/>
          <w:b w:val="1"/>
          <w:bCs w:val="1"/>
          <w:color w:val="auto"/>
        </w:rPr>
      </w:pPr>
    </w:p>
    <w:p>
      <w:pPr>
        <w:ind w:right="100" w:firstLine="444"/>
        <w:spacing w:after="0" w:line="272" w:lineRule="auto"/>
        <w:tabs>
          <w:tab w:leader="none" w:pos="832" w:val="left"/>
        </w:tabs>
        <w:numPr>
          <w:ilvl w:val="1"/>
          <w:numId w:val="387"/>
        </w:numPr>
        <w:rPr>
          <w:rFonts w:ascii="Arial" w:cs="Arial" w:eastAsia="Arial" w:hAnsi="Arial"/>
          <w:sz w:val="17"/>
          <w:szCs w:val="17"/>
          <w:b w:val="1"/>
          <w:bCs w:val="1"/>
          <w:color w:val="auto"/>
        </w:rPr>
      </w:pPr>
      <w:r>
        <w:rPr>
          <w:rFonts w:ascii="Arial" w:cs="Arial" w:eastAsia="Arial" w:hAnsi="Arial"/>
          <w:sz w:val="17"/>
          <w:szCs w:val="17"/>
          <w:color w:val="auto"/>
        </w:rPr>
        <w:t>If you receive a Payment for which the Reduced Amount was determined pursuant to clause (x) of Section 17(a) and the Internal Revenue Service determines thereafter that some portion of the Payment is subject to the Excise Tax, Executive agrees to promptly return to the Company a sufficient amount of the Payment (after reduction pursuant to clause (x) of Section 17(a)) so that no portion of the remaining Payment is subject to the Excise Tax. For the avoidance of doubt, if the Reduced Amount was determined pursuant to clause (y) of Section 17(a), you shall have no obligation to return any portion of the Payment pursuant to the preceding sentence.</w:t>
      </w:r>
    </w:p>
    <w:p>
      <w:pPr>
        <w:spacing w:after="0" w:line="172" w:lineRule="exact"/>
        <w:rPr>
          <w:rFonts w:ascii="Arial" w:cs="Arial" w:eastAsia="Arial" w:hAnsi="Arial"/>
          <w:sz w:val="17"/>
          <w:szCs w:val="17"/>
          <w:b w:val="1"/>
          <w:bCs w:val="1"/>
          <w:color w:val="auto"/>
        </w:rPr>
      </w:pPr>
    </w:p>
    <w:p>
      <w:pPr>
        <w:ind w:right="60" w:firstLine="7"/>
        <w:spacing w:after="0" w:line="282" w:lineRule="auto"/>
        <w:tabs>
          <w:tab w:leader="none" w:pos="401" w:val="left"/>
        </w:tabs>
        <w:numPr>
          <w:ilvl w:val="0"/>
          <w:numId w:val="3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Dispute Resolution. </w:t>
      </w:r>
      <w:r>
        <w:rPr>
          <w:rFonts w:ascii="Arial" w:cs="Arial" w:eastAsia="Arial" w:hAnsi="Arial"/>
          <w:sz w:val="16"/>
          <w:szCs w:val="16"/>
          <w:color w:val="auto"/>
        </w:rPr>
        <w:t>To ensure the timely and economical resolution of disputes that may arise in connection with your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you and the Company agree that any and all disputes, claims, or causes of action arising from or relating to the enforcement, breach, performance, negotiation, execution, or interpretation of this Agreement, your employment, or the termination of your employment, including but not limited to statutory claims, will be resolved pursuant to the Federal Arbitration Act, 9 U.S.C. § 1-16 to the fullest extent permitted by law by final, binding and confidential arbitration, by a single arbitrator, in San Francisco, California, conducted by JAMS, Inc. (“</w:t>
      </w:r>
      <w:r>
        <w:rPr>
          <w:rFonts w:ascii="Arial" w:cs="Arial" w:eastAsia="Arial" w:hAnsi="Arial"/>
          <w:sz w:val="16"/>
          <w:szCs w:val="16"/>
          <w:b w:val="1"/>
          <w:bCs w:val="1"/>
          <w:color w:val="auto"/>
        </w:rPr>
        <w:t>JAMS</w:t>
      </w:r>
      <w:r>
        <w:rPr>
          <w:rFonts w:ascii="Arial" w:cs="Arial" w:eastAsia="Arial" w:hAnsi="Arial"/>
          <w:sz w:val="16"/>
          <w:szCs w:val="16"/>
          <w:color w:val="auto"/>
        </w:rPr>
        <w:t xml:space="preserve">”) under the then-applicable JAMS rules (available at the following web address: </w:t>
      </w:r>
      <w:r>
        <w:rPr>
          <w:rFonts w:ascii="Arial" w:cs="Arial" w:eastAsia="Arial" w:hAnsi="Arial"/>
          <w:sz w:val="16"/>
          <w:szCs w:val="16"/>
          <w:u w:val="single" w:color="auto"/>
          <w:color w:val="auto"/>
        </w:rPr>
        <w:t>http://www.jamsadr.com/rules-employment-arbitration/</w:t>
      </w:r>
      <w:r>
        <w:rPr>
          <w:rFonts w:ascii="Arial" w:cs="Arial" w:eastAsia="Arial" w:hAnsi="Arial"/>
          <w:sz w:val="16"/>
          <w:szCs w:val="16"/>
          <w:color w:val="auto"/>
        </w:rPr>
        <w:t xml:space="preserve">, and which will be provided to you on request). </w:t>
      </w:r>
      <w:r>
        <w:rPr>
          <w:rFonts w:ascii="Arial" w:cs="Arial" w:eastAsia="Arial" w:hAnsi="Arial"/>
          <w:sz w:val="16"/>
          <w:szCs w:val="16"/>
          <w:b w:val="1"/>
          <w:bCs w:val="1"/>
          <w:color w:val="auto"/>
        </w:rPr>
        <w:t>By agreeing to this arbitration procedure, both you and the Company waive the right to resolve any such dispute through a trial by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jury or judge or administrative proceeding. </w:t>
      </w:r>
      <w:r>
        <w:rPr>
          <w:rFonts w:ascii="Arial" w:cs="Arial" w:eastAsia="Arial" w:hAnsi="Arial"/>
          <w:sz w:val="16"/>
          <w:szCs w:val="16"/>
          <w:color w:val="auto"/>
        </w:rPr>
        <w:t>You will have the right to be represented by legal counsel at any arbitration proceeding. In addition, all</w:t>
      </w:r>
      <w:r>
        <w:rPr>
          <w:rFonts w:ascii="Arial" w:cs="Arial" w:eastAsia="Arial" w:hAnsi="Arial"/>
          <w:sz w:val="16"/>
          <w:szCs w:val="16"/>
          <w:b w:val="1"/>
          <w:bCs w:val="1"/>
          <w:color w:val="auto"/>
        </w:rPr>
        <w:t xml:space="preserve"> </w:t>
      </w:r>
      <w:r>
        <w:rPr>
          <w:rFonts w:ascii="Arial" w:cs="Arial" w:eastAsia="Arial" w:hAnsi="Arial"/>
          <w:sz w:val="16"/>
          <w:szCs w:val="16"/>
          <w:color w:val="auto"/>
        </w:rPr>
        <w:t>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w:t>
      </w:r>
    </w:p>
    <w:p>
      <w:pPr>
        <w:sectPr>
          <w:pgSz w:w="11900" w:h="16838" w:orient="portrait"/>
          <w:cols w:equalWidth="0" w:num="1">
            <w:col w:w="10900"/>
          </w:cols>
          <w:pgMar w:left="480" w:top="272" w:right="519" w:bottom="1440" w:gutter="0" w:footer="0" w:header="0"/>
        </w:sectPr>
      </w:pPr>
    </w:p>
    <w:bookmarkStart w:id="424" w:name="page425"/>
    <w:bookmarkEnd w:id="424"/>
    <w:p>
      <w:pPr>
        <w:ind w:right="6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otherwise invalid (collectively, the “</w:t>
      </w:r>
      <w:r>
        <w:rPr>
          <w:rFonts w:ascii="Arial" w:cs="Arial" w:eastAsia="Arial" w:hAnsi="Arial"/>
          <w:sz w:val="18"/>
          <w:szCs w:val="18"/>
          <w:b w:val="1"/>
          <w:bCs w:val="1"/>
          <w:color w:val="auto"/>
        </w:rPr>
        <w:t>Excluded Claims</w:t>
      </w:r>
      <w:r>
        <w:rPr>
          <w:rFonts w:ascii="Arial" w:cs="Arial" w:eastAsia="Arial" w:hAnsi="Arial"/>
          <w:sz w:val="18"/>
          <w:szCs w:val="18"/>
          <w:color w:val="auto"/>
        </w:rPr>
        <w:t>”). In the event you intend to bring multiple claims, including one of the Excluded Claims listed above, the Excluded Claims may be filed with a court, while any other claims will remain subject to mandatory arbitration.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you or the Company would be entitled to seek in a court of law. The Company shall pay all JAMS’ arbitration fees in excess of the amount of court fees that would be required of you if the dispute were decided in a court of law. Nothing in this letter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92" w:lineRule="exact"/>
        <w:rPr>
          <w:sz w:val="20"/>
          <w:szCs w:val="20"/>
          <w:color w:val="auto"/>
        </w:rPr>
      </w:pPr>
    </w:p>
    <w:p>
      <w:pPr>
        <w:ind w:firstLine="7"/>
        <w:spacing w:after="0" w:line="266" w:lineRule="auto"/>
        <w:tabs>
          <w:tab w:leader="none" w:pos="401" w:val="left"/>
        </w:tabs>
        <w:numPr>
          <w:ilvl w:val="0"/>
          <w:numId w:val="3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This Agreement, together with your Confidentiality Agreement, forms the complete and exclusive statement of your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 the Company. It supersedes any other agreements or promises made to you by anyone, whether oral or written. Changes in your employment terms, other than those changes expressly reserved to the Company’s or Board’s discretion in this Agreement, require a written modification approved by the Company and signed by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executed in counterparts which shall be deemed to be part of one original, and facsimile and electronic image copies of signatures shall be equivalent to original signatures.</w:t>
      </w:r>
    </w:p>
    <w:p>
      <w:pPr>
        <w:spacing w:after="0" w:line="186"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We are delighted to be making this offer of continued employment and look forward to your favorable reply and continuing our productive and enjoyable work relationship.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Sincerely,</w:t>
            </w:r>
          </w:p>
        </w:tc>
        <w:tc>
          <w:tcPr>
            <w:tcW w:w="134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455"/>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Kurt von Emster</w:t>
            </w:r>
          </w:p>
        </w:tc>
        <w:tc>
          <w:tcPr>
            <w:tcW w:w="13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8"/>
                <w:szCs w:val="18"/>
                <w:color w:val="auto"/>
              </w:rPr>
              <w:t>Kurt von Emster</w:t>
            </w:r>
          </w:p>
        </w:tc>
        <w:tc>
          <w:tcPr>
            <w:tcW w:w="134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Chair of the Board</w:t>
            </w:r>
          </w:p>
        </w:tc>
        <w:tc>
          <w:tcPr>
            <w:tcW w:w="134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428"/>
        </w:trPr>
        <w:tc>
          <w:tcPr>
            <w:tcW w:w="4360" w:type="dxa"/>
            <w:vAlign w:val="bottom"/>
          </w:tcPr>
          <w:p>
            <w:pPr>
              <w:spacing w:after="0"/>
              <w:rPr>
                <w:sz w:val="20"/>
                <w:szCs w:val="20"/>
                <w:color w:val="auto"/>
              </w:rPr>
            </w:pPr>
            <w:r>
              <w:rPr>
                <w:rFonts w:ascii="Arial" w:cs="Arial" w:eastAsia="Arial" w:hAnsi="Arial"/>
                <w:sz w:val="18"/>
                <w:szCs w:val="18"/>
                <w:b w:val="1"/>
                <w:bCs w:val="1"/>
                <w:color w:val="auto"/>
              </w:rPr>
              <w:t>Reviewed, Understood, and Accepted:</w:t>
            </w:r>
          </w:p>
        </w:tc>
        <w:tc>
          <w:tcPr>
            <w:tcW w:w="13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416"/>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Marshall W. Fordyce, M.D.</w:t>
            </w:r>
          </w:p>
        </w:tc>
        <w:tc>
          <w:tcPr>
            <w:tcW w:w="134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7, 2021</w:t>
            </w:r>
          </w:p>
        </w:tc>
      </w:tr>
      <w:tr>
        <w:trPr>
          <w:trHeight w:val="233"/>
        </w:trPr>
        <w:tc>
          <w:tcPr>
            <w:tcW w:w="4360" w:type="dxa"/>
            <w:vAlign w:val="bottom"/>
          </w:tcPr>
          <w:p>
            <w:pPr>
              <w:spacing w:after="0"/>
              <w:rPr>
                <w:sz w:val="20"/>
                <w:szCs w:val="20"/>
                <w:color w:val="auto"/>
              </w:rPr>
            </w:pPr>
            <w:r>
              <w:rPr>
                <w:rFonts w:ascii="Arial" w:cs="Arial" w:eastAsia="Arial" w:hAnsi="Arial"/>
                <w:sz w:val="18"/>
                <w:szCs w:val="18"/>
                <w:color w:val="auto"/>
              </w:rPr>
              <w:t>Marshall W. Fordyce, M.D.</w:t>
            </w:r>
          </w:p>
        </w:tc>
        <w:tc>
          <w:tcPr>
            <w:tcW w:w="13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Date</w:t>
            </w:r>
          </w:p>
        </w:tc>
      </w:tr>
      <w:tr>
        <w:trPr>
          <w:trHeight w:val="428"/>
        </w:trPr>
        <w:tc>
          <w:tcPr>
            <w:tcW w:w="4360" w:type="dxa"/>
            <w:vAlign w:val="bottom"/>
          </w:tcPr>
          <w:p>
            <w:pPr>
              <w:spacing w:after="0"/>
              <w:rPr>
                <w:sz w:val="20"/>
                <w:szCs w:val="20"/>
                <w:color w:val="auto"/>
              </w:rPr>
            </w:pPr>
            <w:r>
              <w:rPr>
                <w:rFonts w:ascii="Arial" w:cs="Arial" w:eastAsia="Arial" w:hAnsi="Arial"/>
                <w:sz w:val="18"/>
                <w:szCs w:val="18"/>
                <w:b w:val="1"/>
                <w:bCs w:val="1"/>
                <w:color w:val="auto"/>
              </w:rPr>
              <w:t>Attachment 1: Form of Release</w:t>
            </w:r>
          </w:p>
        </w:tc>
        <w:tc>
          <w:tcPr>
            <w:tcW w:w="1340" w:type="dxa"/>
            <w:vAlign w:val="bottom"/>
          </w:tcPr>
          <w:p>
            <w:pPr>
              <w:spacing w:after="0"/>
              <w:rPr>
                <w:sz w:val="24"/>
                <w:szCs w:val="24"/>
                <w:color w:val="auto"/>
              </w:rPr>
            </w:pPr>
          </w:p>
        </w:tc>
        <w:tc>
          <w:tcPr>
            <w:tcW w:w="4500" w:type="dxa"/>
            <w:vAlign w:val="bottom"/>
          </w:tcPr>
          <w:p>
            <w:pPr>
              <w:spacing w:after="0"/>
              <w:rPr>
                <w:sz w:val="24"/>
                <w:szCs w:val="24"/>
                <w:color w:val="auto"/>
              </w:rPr>
            </w:pPr>
          </w:p>
        </w:tc>
      </w:tr>
    </w:tbl>
    <w:p>
      <w:pPr>
        <w:sectPr>
          <w:pgSz w:w="11900" w:h="16838" w:orient="portrait"/>
          <w:cols w:equalWidth="0" w:num="1">
            <w:col w:w="10920"/>
          </w:cols>
          <w:pgMar w:left="480" w:top="268" w:right="499" w:bottom="1440" w:gutter="0" w:footer="0" w:header="0"/>
        </w:sectPr>
      </w:pPr>
    </w:p>
    <w:bookmarkStart w:id="425" w:name="page426"/>
    <w:bookmarkEnd w:id="425"/>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Joanne Curley, Ph.D.</w:t>
      </w:r>
    </w:p>
    <w:p>
      <w:pPr>
        <w:spacing w:after="0" w:line="24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Employment Terms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Dear Joanne:</w:t>
      </w:r>
    </w:p>
    <w:p>
      <w:pPr>
        <w:spacing w:after="0" w:line="217"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Vera Therapeutics, Inc. (the “</w:t>
      </w:r>
      <w:r>
        <w:rPr>
          <w:rFonts w:ascii="Arial" w:cs="Arial" w:eastAsia="Arial" w:hAnsi="Arial"/>
          <w:sz w:val="17"/>
          <w:szCs w:val="17"/>
          <w:b w:val="1"/>
          <w:bCs w:val="1"/>
          <w:color w:val="auto"/>
        </w:rPr>
        <w:t>Company</w:t>
      </w:r>
      <w:r>
        <w:rPr>
          <w:rFonts w:ascii="Arial" w:cs="Arial" w:eastAsia="Arial" w:hAnsi="Arial"/>
          <w:sz w:val="17"/>
          <w:szCs w:val="17"/>
          <w:color w:val="auto"/>
        </w:rPr>
        <w:t>”) is pleased to offer you continued employment with the Company on the terms set forth in this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This Agreement is effective as of the effective date of the registration statement for the initial public offering of the Company’s Class A Common Stock (the “</w:t>
      </w:r>
      <w:r>
        <w:rPr>
          <w:rFonts w:ascii="Arial" w:cs="Arial" w:eastAsia="Arial" w:hAnsi="Arial"/>
          <w:sz w:val="17"/>
          <w:szCs w:val="17"/>
          <w:b w:val="1"/>
          <w:bCs w:val="1"/>
          <w:color w:val="auto"/>
        </w:rPr>
        <w:t>Effective Date</w:t>
      </w:r>
      <w:r>
        <w:rPr>
          <w:rFonts w:ascii="Arial" w:cs="Arial" w:eastAsia="Arial" w:hAnsi="Arial"/>
          <w:sz w:val="17"/>
          <w:szCs w:val="17"/>
          <w:color w:val="auto"/>
        </w:rPr>
        <w:t>”) and shall amend, and restate any prior offer letter or employment agreement between you and the Company, including your February 5, 2020 offer letter, as amended by your September 3, 2020 offer letter.</w:t>
      </w:r>
    </w:p>
    <w:p>
      <w:pPr>
        <w:spacing w:after="0" w:line="274" w:lineRule="exact"/>
        <w:rPr>
          <w:sz w:val="20"/>
          <w:szCs w:val="20"/>
          <w:color w:val="auto"/>
        </w:rPr>
      </w:pPr>
    </w:p>
    <w:p>
      <w:pPr>
        <w:ind w:left="320" w:hanging="313"/>
        <w:spacing w:after="0"/>
        <w:tabs>
          <w:tab w:leader="none" w:pos="32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by the Company.</w:t>
      </w:r>
    </w:p>
    <w:p>
      <w:pPr>
        <w:spacing w:after="0" w:line="113" w:lineRule="exact"/>
        <w:rPr>
          <w:rFonts w:ascii="Arial" w:cs="Arial" w:eastAsia="Arial" w:hAnsi="Arial"/>
          <w:sz w:val="18"/>
          <w:szCs w:val="18"/>
          <w:b w:val="1"/>
          <w:bCs w:val="1"/>
          <w:color w:val="auto"/>
        </w:rPr>
      </w:pPr>
    </w:p>
    <w:p>
      <w:pPr>
        <w:ind w:right="80" w:firstLine="444"/>
        <w:spacing w:after="0" w:line="273" w:lineRule="auto"/>
        <w:tabs>
          <w:tab w:leader="none" w:pos="822" w:val="left"/>
        </w:tabs>
        <w:numPr>
          <w:ilvl w:val="1"/>
          <w:numId w:val="39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Position. </w:t>
      </w:r>
      <w:r>
        <w:rPr>
          <w:rFonts w:ascii="Arial" w:cs="Arial" w:eastAsia="Arial" w:hAnsi="Arial"/>
          <w:sz w:val="17"/>
          <w:szCs w:val="17"/>
          <w:color w:val="auto"/>
        </w:rPr>
        <w:t>You will continue to serve as the Company’s Chief Development Officer. During the term of your employment with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devote your best efforts and substantially all of your business time and attention to the business of the Company, except for approved vacation periods and reasonable periods of illness or other incapacities permitted by the Company’s general employment policies. It is anticipated that such business of the Company will include your providing services to entities that are subsidiaries of the Company or otherwise affiliated with the Company, without further or additional compensation or benefits other than as set forth in this Agreement.</w:t>
      </w:r>
    </w:p>
    <w:p>
      <w:pPr>
        <w:spacing w:after="0" w:line="172" w:lineRule="exact"/>
        <w:rPr>
          <w:rFonts w:ascii="Arial" w:cs="Arial" w:eastAsia="Arial" w:hAnsi="Arial"/>
          <w:sz w:val="17"/>
          <w:szCs w:val="17"/>
          <w:b w:val="1"/>
          <w:bCs w:val="1"/>
          <w:color w:val="auto"/>
        </w:rPr>
      </w:pPr>
    </w:p>
    <w:p>
      <w:pPr>
        <w:ind w:right="20" w:firstLine="444"/>
        <w:spacing w:after="0" w:line="253" w:lineRule="auto"/>
        <w:tabs>
          <w:tab w:leader="none" w:pos="832" w:val="left"/>
        </w:tabs>
        <w:numPr>
          <w:ilvl w:val="1"/>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and Location. </w:t>
      </w:r>
      <w:r>
        <w:rPr>
          <w:rFonts w:ascii="Arial" w:cs="Arial" w:eastAsia="Arial" w:hAnsi="Arial"/>
          <w:sz w:val="18"/>
          <w:szCs w:val="18"/>
          <w:color w:val="auto"/>
        </w:rPr>
        <w:t>You will perform those duties and responsibilities as are customary for your position and as may be directed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to whom you will report. While you may currently be working remotely while our offices are not fully open, your primary office location will be the Company’s office in South San Francisco, California. Notwithstanding the foregoing, the Company reserves the right to reasonably require you to perform your duties at places other than your primary office location from time to time, and to require reasonable business travel. The Company may modify your job title and duties as it deems necessary and appropriate in light of the Company’s needs and interests from time to time.</w:t>
      </w:r>
    </w:p>
    <w:p>
      <w:pPr>
        <w:spacing w:after="0" w:line="295" w:lineRule="exact"/>
        <w:rPr>
          <w:rFonts w:ascii="Arial" w:cs="Arial" w:eastAsia="Arial" w:hAnsi="Arial"/>
          <w:sz w:val="18"/>
          <w:szCs w:val="18"/>
          <w:b w:val="1"/>
          <w:bCs w:val="1"/>
          <w:color w:val="auto"/>
        </w:rPr>
      </w:pPr>
    </w:p>
    <w:p>
      <w:pPr>
        <w:ind w:left="320" w:hanging="313"/>
        <w:spacing w:after="0"/>
        <w:tabs>
          <w:tab w:leader="none" w:pos="32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 and Employee Benefits.</w:t>
      </w:r>
    </w:p>
    <w:p>
      <w:pPr>
        <w:spacing w:after="0" w:line="113" w:lineRule="exact"/>
        <w:rPr>
          <w:rFonts w:ascii="Arial" w:cs="Arial" w:eastAsia="Arial" w:hAnsi="Arial"/>
          <w:sz w:val="18"/>
          <w:szCs w:val="18"/>
          <w:b w:val="1"/>
          <w:bCs w:val="1"/>
          <w:color w:val="auto"/>
        </w:rPr>
      </w:pPr>
    </w:p>
    <w:p>
      <w:pPr>
        <w:ind w:right="180" w:firstLine="444"/>
        <w:spacing w:after="0" w:line="257" w:lineRule="auto"/>
        <w:tabs>
          <w:tab w:leader="none" w:pos="822" w:val="left"/>
        </w:tabs>
        <w:numPr>
          <w:ilvl w:val="1"/>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You will receive for services to be rendered hereunder base salary paid at the rate of $385,000 per year, less standard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and tax withholdings. Your base salary will be paid on the Company’s ordinary payroll cycle. As an exempt salaried employee, you will be required to work the Company’s normal business hours, and such additional time as appropriate for your work assignments and position, and you will not be entitled to overtime compensation.</w:t>
      </w:r>
    </w:p>
    <w:p>
      <w:pPr>
        <w:spacing w:after="0" w:line="183" w:lineRule="exact"/>
        <w:rPr>
          <w:rFonts w:ascii="Arial" w:cs="Arial" w:eastAsia="Arial" w:hAnsi="Arial"/>
          <w:sz w:val="18"/>
          <w:szCs w:val="18"/>
          <w:b w:val="1"/>
          <w:bCs w:val="1"/>
          <w:color w:val="auto"/>
        </w:rPr>
      </w:pPr>
    </w:p>
    <w:p>
      <w:pPr>
        <w:ind w:right="200" w:firstLine="444"/>
        <w:spacing w:after="0" w:line="275" w:lineRule="auto"/>
        <w:tabs>
          <w:tab w:leader="none" w:pos="832" w:val="left"/>
        </w:tabs>
        <w:numPr>
          <w:ilvl w:val="1"/>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Vacation. </w:t>
      </w:r>
      <w:r>
        <w:rPr>
          <w:rFonts w:ascii="Arial" w:cs="Arial" w:eastAsia="Arial" w:hAnsi="Arial"/>
          <w:sz w:val="18"/>
          <w:szCs w:val="18"/>
          <w:color w:val="auto"/>
        </w:rPr>
        <w:t>Your vacation days will be in accordance with the Company’s policy for Company executives. As with other Company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the vacation policy may be modified from time to time at the sole discretion of the Company.</w:t>
      </w:r>
    </w:p>
    <w:p>
      <w:pPr>
        <w:spacing w:after="0" w:line="167" w:lineRule="exact"/>
        <w:rPr>
          <w:rFonts w:ascii="Arial" w:cs="Arial" w:eastAsia="Arial" w:hAnsi="Arial"/>
          <w:sz w:val="18"/>
          <w:szCs w:val="18"/>
          <w:b w:val="1"/>
          <w:bCs w:val="1"/>
          <w:color w:val="auto"/>
        </w:rPr>
      </w:pPr>
    </w:p>
    <w:p>
      <w:pPr>
        <w:ind w:right="80" w:firstLine="444"/>
        <w:spacing w:after="0" w:line="289" w:lineRule="auto"/>
        <w:tabs>
          <w:tab w:leader="none" w:pos="812" w:val="left"/>
        </w:tabs>
        <w:numPr>
          <w:ilvl w:val="1"/>
          <w:numId w:val="3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color w:val="auto"/>
        </w:rPr>
        <w:t>The Company has previously granted to you the right to purchase and options to purchase shares of Class A Common Stock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(the “</w:t>
      </w:r>
      <w:r>
        <w:rPr>
          <w:rFonts w:ascii="Arial" w:cs="Arial" w:eastAsia="Arial" w:hAnsi="Arial"/>
          <w:sz w:val="16"/>
          <w:szCs w:val="16"/>
          <w:b w:val="1"/>
          <w:bCs w:val="1"/>
          <w:color w:val="auto"/>
        </w:rPr>
        <w:t>Prior Awards</w:t>
      </w:r>
      <w:r>
        <w:rPr>
          <w:rFonts w:ascii="Arial" w:cs="Arial" w:eastAsia="Arial" w:hAnsi="Arial"/>
          <w:sz w:val="16"/>
          <w:szCs w:val="16"/>
          <w:color w:val="auto"/>
        </w:rPr>
        <w:t>”). Each of the Prior Awards will continue to be governed by the agreement and plan under which it was granted. On the Effective Date, you will be granted an option to purchase 108,217 shares of Class A Common Stock of the Company, at a per share price equal to the fair market value of the Class A Common Stock on the date of grant (the “</w:t>
      </w:r>
      <w:r>
        <w:rPr>
          <w:rFonts w:ascii="Arial" w:cs="Arial" w:eastAsia="Arial" w:hAnsi="Arial"/>
          <w:sz w:val="16"/>
          <w:szCs w:val="16"/>
          <w:b w:val="1"/>
          <w:bCs w:val="1"/>
          <w:color w:val="auto"/>
        </w:rPr>
        <w:t>Option</w:t>
      </w:r>
      <w:r>
        <w:rPr>
          <w:rFonts w:ascii="Arial" w:cs="Arial" w:eastAsia="Arial" w:hAnsi="Arial"/>
          <w:sz w:val="16"/>
          <w:szCs w:val="16"/>
          <w:color w:val="auto"/>
        </w:rPr>
        <w:t>”), in accordance with and pursuant to the Company’s 2021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Subject to acceleration, as applicable, this grant will have a four-year vesting schedule with vesting to start on the Effective Date (“</w:t>
      </w:r>
      <w:r>
        <w:rPr>
          <w:rFonts w:ascii="Arial" w:cs="Arial" w:eastAsia="Arial" w:hAnsi="Arial"/>
          <w:sz w:val="16"/>
          <w:szCs w:val="16"/>
          <w:b w:val="1"/>
          <w:bCs w:val="1"/>
          <w:color w:val="auto"/>
        </w:rPr>
        <w:t>Vesting Commencement Date</w:t>
      </w:r>
      <w:r>
        <w:rPr>
          <w:rFonts w:ascii="Arial" w:cs="Arial" w:eastAsia="Arial" w:hAnsi="Arial"/>
          <w:sz w:val="16"/>
          <w:szCs w:val="16"/>
          <w:color w:val="auto"/>
        </w:rPr>
        <w:t>”), with 25% of the shares vesting on the first anniversary of the Vesting Commencement Date and the remaining shares vesting in 36 equal monthly installments on each monthly anniversary of the first anniversary of the Vesting Commencement Date.</w:t>
      </w:r>
    </w:p>
    <w:p>
      <w:pPr>
        <w:sectPr>
          <w:pgSz w:w="11900" w:h="16838" w:orient="portrait"/>
          <w:cols w:equalWidth="0" w:num="1">
            <w:col w:w="10920"/>
          </w:cols>
          <w:pgMar w:left="480" w:top="121" w:right="499" w:bottom="1440" w:gutter="0" w:footer="0" w:header="0"/>
        </w:sectPr>
      </w:pPr>
    </w:p>
    <w:bookmarkStart w:id="426" w:name="page427"/>
    <w:bookmarkEnd w:id="426"/>
    <w:p>
      <w:pPr>
        <w:ind w:left="-7" w:right="200" w:firstLine="444"/>
        <w:spacing w:after="0" w:line="261" w:lineRule="auto"/>
        <w:tabs>
          <w:tab w:leader="none" w:pos="825" w:val="left"/>
        </w:tabs>
        <w:numPr>
          <w:ilvl w:val="1"/>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Benefits. </w:t>
      </w:r>
      <w:r>
        <w:rPr>
          <w:rFonts w:ascii="Arial" w:cs="Arial" w:eastAsia="Arial" w:hAnsi="Arial"/>
          <w:sz w:val="18"/>
          <w:szCs w:val="18"/>
          <w:color w:val="auto"/>
        </w:rPr>
        <w:t>As a regular full-time employee, you will be eligible to participate in the Company’s standard employee benefits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the benefit plans and applicable policies, as may be amended from time to time), all of which are described in summary plan descriptions and policies that will be available or provided to you by the Company.</w:t>
      </w:r>
    </w:p>
    <w:p>
      <w:pPr>
        <w:spacing w:after="0" w:line="180" w:lineRule="exact"/>
        <w:rPr>
          <w:rFonts w:ascii="Arial" w:cs="Arial" w:eastAsia="Arial" w:hAnsi="Arial"/>
          <w:sz w:val="18"/>
          <w:szCs w:val="18"/>
          <w:b w:val="1"/>
          <w:bCs w:val="1"/>
          <w:color w:val="auto"/>
        </w:rPr>
      </w:pPr>
    </w:p>
    <w:p>
      <w:pPr>
        <w:ind w:left="-7" w:right="60" w:firstLine="7"/>
        <w:spacing w:after="0" w:line="269" w:lineRule="auto"/>
        <w:tabs>
          <w:tab w:leader="none" w:pos="304" w:val="left"/>
        </w:tabs>
        <w:numPr>
          <w:ilvl w:val="0"/>
          <w:numId w:val="39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Annual Bonus. </w:t>
      </w:r>
      <w:r>
        <w:rPr>
          <w:rFonts w:ascii="Arial" w:cs="Arial" w:eastAsia="Arial" w:hAnsi="Arial"/>
          <w:sz w:val="17"/>
          <w:szCs w:val="17"/>
          <w:color w:val="auto"/>
        </w:rPr>
        <w:t>You will be eligible to earn an annual performance bonus of up to 40% of your base salary rate (the “</w:t>
      </w:r>
      <w:r>
        <w:rPr>
          <w:rFonts w:ascii="Arial" w:cs="Arial" w:eastAsia="Arial" w:hAnsi="Arial"/>
          <w:sz w:val="17"/>
          <w:szCs w:val="17"/>
          <w:b w:val="1"/>
          <w:bCs w:val="1"/>
          <w:color w:val="auto"/>
        </w:rPr>
        <w:t>Annual Bonus</w:t>
      </w:r>
      <w:r>
        <w:rPr>
          <w:rFonts w:ascii="Arial" w:cs="Arial" w:eastAsia="Arial" w:hAnsi="Arial"/>
          <w:sz w:val="17"/>
          <w:szCs w:val="17"/>
          <w:color w:val="auto"/>
        </w:rPr>
        <w:t>”).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Bonus will be based upon the Company’s assessment of your performance and the Company’s attainment of written targeted goals as set by the Company in its sole discretion. Bonus payments, if any, will be subject to applicable payroll deductions and withholdings. Following the close of each calendar year, the Company will determine whether you have earned an Annual Bonus, and the amount of any such bonus, based on the achievement of such goals. No amount of Annual Bonus is guaranteed, and you must be an employee on the Annual Bonus payment date to be eligible to receive an Annual Bonus; no partial or prorated bonuses will be provided. The Annual Bonus, if earned, will be paid no later than March 15 of the calendar year after the applicable bonus year.</w:t>
      </w:r>
    </w:p>
    <w:p>
      <w:pPr>
        <w:spacing w:after="0" w:line="178" w:lineRule="exact"/>
        <w:rPr>
          <w:rFonts w:ascii="Arial" w:cs="Arial" w:eastAsia="Arial" w:hAnsi="Arial"/>
          <w:sz w:val="17"/>
          <w:szCs w:val="17"/>
          <w:b w:val="1"/>
          <w:bCs w:val="1"/>
          <w:color w:val="auto"/>
        </w:rPr>
      </w:pPr>
    </w:p>
    <w:p>
      <w:pPr>
        <w:ind w:left="-7" w:right="120" w:firstLine="7"/>
        <w:spacing w:after="0" w:line="340" w:lineRule="auto"/>
        <w:tabs>
          <w:tab w:leader="none" w:pos="304" w:val="left"/>
        </w:tabs>
        <w:numPr>
          <w:ilvl w:val="0"/>
          <w:numId w:val="3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The Company will reimburse you for reasonable travel, entertainment or other expenses incurred by you in furtherance or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performance of your duties hereunder, in accordance with the Company’s expense reimbursement policy as in effect from time to time.</w:t>
      </w:r>
    </w:p>
    <w:p>
      <w:pPr>
        <w:spacing w:after="0" w:line="120" w:lineRule="exact"/>
        <w:rPr>
          <w:rFonts w:ascii="Arial" w:cs="Arial" w:eastAsia="Arial" w:hAnsi="Arial"/>
          <w:sz w:val="16"/>
          <w:szCs w:val="16"/>
          <w:b w:val="1"/>
          <w:bCs w:val="1"/>
          <w:color w:val="auto"/>
        </w:rPr>
      </w:pPr>
    </w:p>
    <w:p>
      <w:pPr>
        <w:ind w:left="-7" w:right="160" w:firstLine="7"/>
        <w:spacing w:after="0" w:line="291" w:lineRule="auto"/>
        <w:tabs>
          <w:tab w:leader="none" w:pos="304" w:val="left"/>
        </w:tabs>
        <w:numPr>
          <w:ilvl w:val="0"/>
          <w:numId w:val="3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Confidentiality Information Agreement and Company Policies. </w:t>
      </w:r>
      <w:r>
        <w:rPr>
          <w:rFonts w:ascii="Arial" w:cs="Arial" w:eastAsia="Arial" w:hAnsi="Arial"/>
          <w:sz w:val="16"/>
          <w:szCs w:val="16"/>
          <w:color w:val="auto"/>
        </w:rPr>
        <w:t>As a condition of employment, you will continue to comply</w:t>
      </w:r>
      <w:r>
        <w:rPr>
          <w:rFonts w:ascii="Arial" w:cs="Arial" w:eastAsia="Arial" w:hAnsi="Arial"/>
          <w:sz w:val="16"/>
          <w:szCs w:val="16"/>
          <w:b w:val="1"/>
          <w:bCs w:val="1"/>
          <w:color w:val="auto"/>
        </w:rPr>
        <w:t xml:space="preserve"> </w:t>
      </w:r>
      <w:r>
        <w:rPr>
          <w:rFonts w:ascii="Arial" w:cs="Arial" w:eastAsia="Arial" w:hAnsi="Arial"/>
          <w:sz w:val="16"/>
          <w:szCs w:val="16"/>
          <w:color w:val="auto"/>
        </w:rPr>
        <w:t>with your Employee Confidential Information and Inventions Assignment Agreement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xml:space="preserve">”) with the Company. In addition, you are required to abide by the Company’s policies and procedures, as modified from time to time within the Company’s discretion, and acknowledge in writing that you have read and will continue to comply with the Company’s Employee Handbook (and provide additional such acknowledgements as the Employee Handbook may be modified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the terms of this Agreement differ from or are in conflict with the Company’s general employment policies or practices, this Agreement shall control.</w:t>
      </w:r>
    </w:p>
    <w:p>
      <w:pPr>
        <w:spacing w:after="0" w:line="159" w:lineRule="exact"/>
        <w:rPr>
          <w:rFonts w:ascii="Arial" w:cs="Arial" w:eastAsia="Arial" w:hAnsi="Arial"/>
          <w:sz w:val="16"/>
          <w:szCs w:val="16"/>
          <w:b w:val="1"/>
          <w:bCs w:val="1"/>
          <w:color w:val="auto"/>
        </w:rPr>
      </w:pPr>
    </w:p>
    <w:p>
      <w:pPr>
        <w:ind w:left="-7" w:right="40" w:firstLine="7"/>
        <w:spacing w:after="0" w:line="267" w:lineRule="auto"/>
        <w:tabs>
          <w:tab w:leader="none" w:pos="304" w:val="left"/>
        </w:tabs>
        <w:numPr>
          <w:ilvl w:val="0"/>
          <w:numId w:val="39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Protection of Third Party Information. </w:t>
      </w:r>
      <w:r>
        <w:rPr>
          <w:rFonts w:ascii="Arial" w:cs="Arial" w:eastAsia="Arial" w:hAnsi="Arial"/>
          <w:sz w:val="17"/>
          <w:szCs w:val="17"/>
          <w:color w:val="auto"/>
        </w:rPr>
        <w:t>In your work for the Company, you will be expected not to make any unauthorized use or disclosure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confidential or proprietary information, including trade secrets, of any former employer or other third party to whom you have contractual obligations to protect such information.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represent that you are able to perform your job duties within these guidelines, and you are not in unauthorized possession of any unpublished documents, materials, electronically-recorded information, or other property belonging to any former employer or other third party to whom you have a contractual obligation to protect such property. In addition, you represent and warrant that your employment by the Company will not conflict with any prior employment or consulting agreement or other agreement with any third party, that you will perform your duties to the Company without violating any such agreement(s), and that you have disclosed to the Company in writing any contract you have signed that may restrict your activities on behalf of the Company.</w:t>
      </w:r>
    </w:p>
    <w:p>
      <w:pPr>
        <w:spacing w:after="0" w:line="179" w:lineRule="exact"/>
        <w:rPr>
          <w:rFonts w:ascii="Arial" w:cs="Arial" w:eastAsia="Arial" w:hAnsi="Arial"/>
          <w:sz w:val="17"/>
          <w:szCs w:val="17"/>
          <w:b w:val="1"/>
          <w:bCs w:val="1"/>
          <w:color w:val="auto"/>
        </w:rPr>
      </w:pPr>
    </w:p>
    <w:p>
      <w:pPr>
        <w:ind w:left="-7" w:firstLine="7"/>
        <w:spacing w:after="0" w:line="261" w:lineRule="auto"/>
        <w:tabs>
          <w:tab w:leader="none" w:pos="304"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At-Will Employment Relationship. </w:t>
      </w:r>
      <w:r>
        <w:rPr>
          <w:rFonts w:ascii="Arial" w:cs="Arial" w:eastAsia="Arial" w:hAnsi="Arial"/>
          <w:sz w:val="18"/>
          <w:szCs w:val="18"/>
          <w:color w:val="auto"/>
        </w:rPr>
        <w:t>Your employment relationship with the Company is at-will. Accordingly, you may terminate your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at any time and for any reason whatsoever simply by notifying the Company; and the Company may terminate your employment at any time, with or without Cause or advance notice.</w:t>
      </w:r>
    </w:p>
    <w:p>
      <w:pPr>
        <w:sectPr>
          <w:pgSz w:w="11900" w:h="16838" w:orient="portrait"/>
          <w:cols w:equalWidth="0" w:num="1">
            <w:col w:w="10913"/>
          </w:cols>
          <w:pgMar w:left="487" w:top="268" w:right="499" w:bottom="1440" w:gutter="0" w:footer="0" w:header="0"/>
        </w:sectPr>
      </w:pPr>
    </w:p>
    <w:bookmarkStart w:id="427" w:name="page428"/>
    <w:bookmarkEnd w:id="427"/>
    <w:p>
      <w:pPr>
        <w:ind w:right="260" w:firstLine="7"/>
        <w:spacing w:after="0" w:line="286" w:lineRule="auto"/>
        <w:tabs>
          <w:tab w:leader="none" w:pos="312" w:val="left"/>
        </w:tabs>
        <w:numPr>
          <w:ilvl w:val="0"/>
          <w:numId w:val="39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Severance Absent a Change in Control. </w:t>
      </w:r>
      <w:r>
        <w:rPr>
          <w:rFonts w:ascii="Arial" w:cs="Arial" w:eastAsia="Arial" w:hAnsi="Arial"/>
          <w:sz w:val="16"/>
          <w:szCs w:val="16"/>
          <w:color w:val="auto"/>
        </w:rPr>
        <w:t>If (x) the Company terminates your employment without Cause (other than as a result of your death or</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or (y) you resign your employment with the Company for Good Reason (such terminations in “x” and “y” referred to as a “</w:t>
      </w:r>
      <w:r>
        <w:rPr>
          <w:rFonts w:ascii="Arial" w:cs="Arial" w:eastAsia="Arial" w:hAnsi="Arial"/>
          <w:sz w:val="16"/>
          <w:szCs w:val="16"/>
          <w:b w:val="1"/>
          <w:bCs w:val="1"/>
          <w:color w:val="auto"/>
        </w:rPr>
        <w:t>Qualifying</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w:t>
      </w:r>
      <w:r>
        <w:rPr>
          <w:rFonts w:ascii="Arial" w:cs="Arial" w:eastAsia="Arial" w:hAnsi="Arial"/>
          <w:sz w:val="16"/>
          <w:szCs w:val="16"/>
          <w:color w:val="auto"/>
        </w:rPr>
        <w:t>”), provided such termination or resignation constitutes a Separation from Service (as defined under Treasury Regulation</w:t>
      </w:r>
    </w:p>
    <w:p>
      <w:pPr>
        <w:spacing w:after="0" w:line="1" w:lineRule="exact"/>
        <w:rPr>
          <w:rFonts w:ascii="Arial" w:cs="Arial" w:eastAsia="Arial" w:hAnsi="Arial"/>
          <w:sz w:val="16"/>
          <w:szCs w:val="16"/>
          <w:b w:val="1"/>
          <w:bCs w:val="1"/>
          <w:color w:val="auto"/>
        </w:rPr>
      </w:pPr>
    </w:p>
    <w:p>
      <w:pPr>
        <w:ind w:right="18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Section 1.409A-1(h), without regard to any alternative definition thereunder, a “</w:t>
      </w:r>
      <w:r>
        <w:rPr>
          <w:rFonts w:ascii="Arial" w:cs="Arial" w:eastAsia="Arial" w:hAnsi="Arial"/>
          <w:sz w:val="18"/>
          <w:szCs w:val="18"/>
          <w:b w:val="1"/>
          <w:bCs w:val="1"/>
          <w:color w:val="auto"/>
        </w:rPr>
        <w:t>Separation from Service</w:t>
      </w:r>
      <w:r>
        <w:rPr>
          <w:rFonts w:ascii="Arial" w:cs="Arial" w:eastAsia="Arial" w:hAnsi="Arial"/>
          <w:sz w:val="18"/>
          <w:szCs w:val="18"/>
          <w:color w:val="auto"/>
        </w:rPr>
        <w:t>”), then subject to Sections 10, 12 and 13 below and your continued compliance with the terms of this Agreement (including without limitation Section 5 above), the Company will provide you with the following severance benefits (the “</w:t>
      </w:r>
      <w:r>
        <w:rPr>
          <w:rFonts w:ascii="Arial" w:cs="Arial" w:eastAsia="Arial" w:hAnsi="Arial"/>
          <w:sz w:val="18"/>
          <w:szCs w:val="18"/>
          <w:b w:val="1"/>
          <w:bCs w:val="1"/>
          <w:color w:val="auto"/>
        </w:rPr>
        <w:t>Non-CIC Severance Benefits</w:t>
      </w:r>
      <w:r>
        <w:rPr>
          <w:rFonts w:ascii="Arial" w:cs="Arial" w:eastAsia="Arial" w:hAnsi="Arial"/>
          <w:sz w:val="18"/>
          <w:szCs w:val="18"/>
          <w:color w:val="auto"/>
        </w:rPr>
        <w:t>”):</w:t>
      </w:r>
    </w:p>
    <w:p>
      <w:pPr>
        <w:spacing w:after="0" w:line="187" w:lineRule="exact"/>
        <w:rPr>
          <w:rFonts w:ascii="Arial" w:cs="Arial" w:eastAsia="Arial" w:hAnsi="Arial"/>
          <w:sz w:val="16"/>
          <w:szCs w:val="16"/>
          <w:b w:val="1"/>
          <w:bCs w:val="1"/>
          <w:color w:val="auto"/>
        </w:rPr>
      </w:pPr>
    </w:p>
    <w:p>
      <w:pPr>
        <w:ind w:right="100" w:firstLine="444"/>
        <w:spacing w:after="0" w:line="253" w:lineRule="auto"/>
        <w:tabs>
          <w:tab w:leader="none" w:pos="822" w:val="left"/>
        </w:tabs>
        <w:numPr>
          <w:ilvl w:val="1"/>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Cash Severance</w:t>
      </w:r>
      <w:r>
        <w:rPr>
          <w:rFonts w:ascii="Arial" w:cs="Arial" w:eastAsia="Arial" w:hAnsi="Arial"/>
          <w:sz w:val="18"/>
          <w:szCs w:val="18"/>
          <w:color w:val="auto"/>
        </w:rPr>
        <w:t>. The Company will pay you, as cash severance, nine months of your base salary in effect as of your Separation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date, less standard payroll deductions and tax withholdings (the “</w:t>
      </w:r>
      <w:r>
        <w:rPr>
          <w:rFonts w:ascii="Arial" w:cs="Arial" w:eastAsia="Arial" w:hAnsi="Arial"/>
          <w:sz w:val="18"/>
          <w:szCs w:val="18"/>
          <w:b w:val="1"/>
          <w:bCs w:val="1"/>
          <w:color w:val="auto"/>
        </w:rPr>
        <w:t>Severance</w:t>
      </w:r>
      <w:r>
        <w:rPr>
          <w:rFonts w:ascii="Arial" w:cs="Arial" w:eastAsia="Arial" w:hAnsi="Arial"/>
          <w:sz w:val="18"/>
          <w:szCs w:val="18"/>
          <w:color w:val="auto"/>
        </w:rPr>
        <w:t>”). The Severance will be paid in installments on the Company’s ordinary payroll dates, commencing on the Company’s first regular payroll date that is not more than 30 days following your Separation from Service date, provided the Release (as defined below) has become effective by such date, and shall be for any accrued base salary for the 30-day period plus the period from the 30</w:t>
      </w:r>
      <w:r>
        <w:rPr>
          <w:rFonts w:ascii="Arial" w:cs="Arial" w:eastAsia="Arial" w:hAnsi="Arial"/>
          <w:sz w:val="15"/>
          <w:szCs w:val="15"/>
          <w:color w:val="auto"/>
        </w:rPr>
        <w:t>th</w:t>
      </w:r>
      <w:r>
        <w:rPr>
          <w:rFonts w:ascii="Arial" w:cs="Arial" w:eastAsia="Arial" w:hAnsi="Arial"/>
          <w:sz w:val="18"/>
          <w:szCs w:val="18"/>
          <w:color w:val="auto"/>
        </w:rPr>
        <w:t xml:space="preserve"> day until the regular payroll date, if applicable, and all salary continuation payments thereafter, if any, shall be made in equal installments on the Company’s regular payroll dates.</w:t>
      </w:r>
    </w:p>
    <w:p>
      <w:pPr>
        <w:spacing w:after="0" w:line="188" w:lineRule="exact"/>
        <w:rPr>
          <w:rFonts w:ascii="Arial" w:cs="Arial" w:eastAsia="Arial" w:hAnsi="Arial"/>
          <w:sz w:val="18"/>
          <w:szCs w:val="18"/>
          <w:b w:val="1"/>
          <w:bCs w:val="1"/>
          <w:color w:val="auto"/>
        </w:rPr>
      </w:pPr>
    </w:p>
    <w:p>
      <w:pPr>
        <w:ind w:firstLine="444"/>
        <w:spacing w:after="0" w:line="266" w:lineRule="auto"/>
        <w:tabs>
          <w:tab w:leader="none" w:pos="832" w:val="left"/>
        </w:tabs>
        <w:numPr>
          <w:ilvl w:val="1"/>
          <w:numId w:val="393"/>
        </w:numPr>
        <w:rPr>
          <w:rFonts w:ascii="Arial" w:cs="Arial" w:eastAsia="Arial" w:hAnsi="Arial"/>
          <w:sz w:val="17"/>
          <w:szCs w:val="17"/>
          <w:b w:val="1"/>
          <w:bCs w:val="1"/>
          <w:color w:val="auto"/>
        </w:rPr>
      </w:pPr>
      <w:r>
        <w:rPr>
          <w:rFonts w:ascii="Arial" w:cs="Arial" w:eastAsia="Arial" w:hAnsi="Arial"/>
          <w:sz w:val="17"/>
          <w:szCs w:val="17"/>
          <w:b w:val="1"/>
          <w:bCs w:val="1"/>
          <w:color w:val="auto"/>
        </w:rPr>
        <w:t>COBRA Severance</w:t>
      </w:r>
      <w:r>
        <w:rPr>
          <w:rFonts w:ascii="Arial" w:cs="Arial" w:eastAsia="Arial" w:hAnsi="Arial"/>
          <w:sz w:val="17"/>
          <w:szCs w:val="17"/>
          <w:color w:val="auto"/>
        </w:rPr>
        <w:t>. As an additional severance benefit, the Company will continue to pay the cost of your and your dependents’ health care</w:t>
      </w:r>
      <w:r>
        <w:rPr>
          <w:rFonts w:ascii="Arial" w:cs="Arial" w:eastAsia="Arial" w:hAnsi="Arial"/>
          <w:sz w:val="17"/>
          <w:szCs w:val="17"/>
          <w:b w:val="1"/>
          <w:bCs w:val="1"/>
          <w:color w:val="auto"/>
        </w:rPr>
        <w:t xml:space="preserve"> </w:t>
      </w:r>
      <w:r>
        <w:rPr>
          <w:rFonts w:ascii="Arial" w:cs="Arial" w:eastAsia="Arial" w:hAnsi="Arial"/>
          <w:sz w:val="17"/>
          <w:szCs w:val="17"/>
          <w:color w:val="auto"/>
        </w:rPr>
        <w:t>coverage in effect at the time of your Separation from Service for a maximum of nine months, either under the Company’s regular health plan (if permitted), or by paying your and your dependents’ COBRA premiums (the “</w:t>
      </w:r>
      <w:r>
        <w:rPr>
          <w:rFonts w:ascii="Arial" w:cs="Arial" w:eastAsia="Arial" w:hAnsi="Arial"/>
          <w:sz w:val="17"/>
          <w:szCs w:val="17"/>
          <w:b w:val="1"/>
          <w:bCs w:val="1"/>
          <w:color w:val="auto"/>
        </w:rPr>
        <w:t>COBRA Severance</w:t>
      </w:r>
      <w:r>
        <w:rPr>
          <w:rFonts w:ascii="Arial" w:cs="Arial" w:eastAsia="Arial" w:hAnsi="Arial"/>
          <w:sz w:val="17"/>
          <w:szCs w:val="17"/>
          <w:color w:val="auto"/>
        </w:rPr>
        <w:t>”). The Company’s obligation to pay the COBRA Severance on your behalf will cease if you obtain health care coverage from another source (e.g., a new employer or spouse’s benefit plan), unless otherwise prohibited by applicable law. You must notify the Company within two weeks if you obtain coverage from a new source. This payment of COBRA Severance by the Company would not expand or extend the maximum period of COBRA coverage to which you would otherwise be entitled under applicable law. Notwithstanding the above, if the Company determines in its sole discretion that it cannot provide the foregoing COBRA Severance without potentially violating applicable law (including, without limitation, Section 2716 of the Public Health Service Act), the Company shall in lieu thereof provide to you a taxable monthly payment in an amount equal to the monthly COBRA premium that you would be required to pay to continue your and your dependents’ group health coverage in effect on the date of your termination (which amount shall be based on the premium for the first month of COBRA coverage), which payments shall be made on the last day of each month regardless of whether you elect COBRA continuation coverage and shall end on the earlier of (x) the date upon which you and your dependents obtain other coverage or (y) the last day of the ninth calendar month following your Separation from Service date.</w:t>
      </w:r>
    </w:p>
    <w:p>
      <w:pPr>
        <w:spacing w:after="0" w:line="179" w:lineRule="exact"/>
        <w:rPr>
          <w:rFonts w:ascii="Arial" w:cs="Arial" w:eastAsia="Arial" w:hAnsi="Arial"/>
          <w:sz w:val="17"/>
          <w:szCs w:val="17"/>
          <w:b w:val="1"/>
          <w:bCs w:val="1"/>
          <w:color w:val="auto"/>
        </w:rPr>
      </w:pPr>
    </w:p>
    <w:p>
      <w:pPr>
        <w:jc w:val="both"/>
        <w:ind w:right="40" w:firstLine="7"/>
        <w:spacing w:after="0" w:line="286" w:lineRule="auto"/>
        <w:tabs>
          <w:tab w:leader="none" w:pos="312" w:val="left"/>
        </w:tabs>
        <w:numPr>
          <w:ilvl w:val="0"/>
          <w:numId w:val="393"/>
        </w:numPr>
        <w:rPr>
          <w:rFonts w:ascii="Arial" w:cs="Arial" w:eastAsia="Arial" w:hAnsi="Arial"/>
          <w:sz w:val="16"/>
          <w:szCs w:val="16"/>
          <w:b w:val="1"/>
          <w:bCs w:val="1"/>
          <w:color w:val="auto"/>
        </w:rPr>
      </w:pPr>
      <w:r>
        <w:rPr>
          <w:rFonts w:ascii="Arial" w:cs="Arial" w:eastAsia="Arial" w:hAnsi="Arial"/>
          <w:sz w:val="16"/>
          <w:szCs w:val="16"/>
          <w:b w:val="1"/>
          <w:bCs w:val="1"/>
          <w:color w:val="auto"/>
        </w:rPr>
        <w:t>Change in Control Severance</w:t>
      </w:r>
      <w:r>
        <w:rPr>
          <w:rFonts w:ascii="Arial" w:cs="Arial" w:eastAsia="Arial" w:hAnsi="Arial"/>
          <w:sz w:val="16"/>
          <w:szCs w:val="16"/>
          <w:color w:val="auto"/>
        </w:rPr>
        <w:t>. In the event of a Qualifying Termination that occurs within three months prior to or within 12 months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of a Change in Control (as defined below), provided such Qualifying Termination constitutes a Separation from Service, then subject to Sections 10, 12 and 13 below and your continued compliance with the terms of this Agreement (including without limitation Section 5 above), the Company will</w:t>
      </w:r>
    </w:p>
    <w:p>
      <w:pPr>
        <w:spacing w:after="0" w:line="1" w:lineRule="exact"/>
        <w:rPr>
          <w:rFonts w:ascii="Arial" w:cs="Arial" w:eastAsia="Arial" w:hAnsi="Arial"/>
          <w:sz w:val="16"/>
          <w:szCs w:val="16"/>
          <w:b w:val="1"/>
          <w:bCs w:val="1"/>
          <w:color w:val="auto"/>
        </w:rPr>
      </w:pPr>
    </w:p>
    <w:p>
      <w:pPr>
        <w:ind w:right="20"/>
        <w:spacing w:after="0" w:line="250" w:lineRule="auto"/>
        <w:rPr>
          <w:rFonts w:ascii="Arial" w:cs="Arial" w:eastAsia="Arial" w:hAnsi="Arial"/>
          <w:sz w:val="16"/>
          <w:szCs w:val="16"/>
          <w:b w:val="1"/>
          <w:bCs w:val="1"/>
          <w:color w:val="auto"/>
        </w:rPr>
      </w:pPr>
      <w:r>
        <w:rPr>
          <w:rFonts w:ascii="Arial" w:cs="Arial" w:eastAsia="Arial" w:hAnsi="Arial"/>
          <w:sz w:val="18"/>
          <w:szCs w:val="18"/>
          <w:color w:val="auto"/>
        </w:rPr>
        <w:t>(a) accelerate the vesting of any of your then-unvested equity in the Company such that 100% of such equity shall be deemed immediately vested and exercisable as of your Separation from Service date; and (b) increase the amount of Severance described in Section 8(a) and COBRA Severance described in Section 8(b) to 12 months, and add to the cash component, as an additional severance benefit, an amount equal to your target Annual Bonus for the year of your Qualifying Termination, with such cash component to be paid in a single lump sum within ten business days after the effective date of the Release (the “</w:t>
      </w:r>
      <w:r>
        <w:rPr>
          <w:rFonts w:ascii="Arial" w:cs="Arial" w:eastAsia="Arial" w:hAnsi="Arial"/>
          <w:sz w:val="18"/>
          <w:szCs w:val="18"/>
          <w:b w:val="1"/>
          <w:bCs w:val="1"/>
          <w:color w:val="auto"/>
        </w:rPr>
        <w:t>CIC Severance Benefits</w:t>
      </w:r>
      <w:r>
        <w:rPr>
          <w:rFonts w:ascii="Arial" w:cs="Arial" w:eastAsia="Arial" w:hAnsi="Arial"/>
          <w:sz w:val="18"/>
          <w:szCs w:val="18"/>
          <w:color w:val="auto"/>
        </w:rPr>
        <w:t>”).</w:t>
      </w:r>
    </w:p>
    <w:p>
      <w:pPr>
        <w:spacing w:after="0" w:line="188" w:lineRule="exact"/>
        <w:rPr>
          <w:rFonts w:ascii="Arial" w:cs="Arial" w:eastAsia="Arial" w:hAnsi="Arial"/>
          <w:sz w:val="16"/>
          <w:szCs w:val="16"/>
          <w:b w:val="1"/>
          <w:bCs w:val="1"/>
          <w:color w:val="auto"/>
        </w:rPr>
      </w:pPr>
    </w:p>
    <w:p>
      <w:pPr>
        <w:jc w:val="both"/>
        <w:ind w:right="100" w:firstLine="7"/>
        <w:spacing w:after="0" w:line="309" w:lineRule="auto"/>
        <w:tabs>
          <w:tab w:leader="none" w:pos="401" w:val="left"/>
        </w:tabs>
        <w:numPr>
          <w:ilvl w:val="0"/>
          <w:numId w:val="393"/>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 on Severance Benefits / Clawback and Recovery</w:t>
      </w:r>
      <w:r>
        <w:rPr>
          <w:rFonts w:ascii="Arial" w:cs="Arial" w:eastAsia="Arial" w:hAnsi="Arial"/>
          <w:sz w:val="16"/>
          <w:szCs w:val="16"/>
          <w:color w:val="auto"/>
        </w:rPr>
        <w:t>. Under no circumstances will you be able to receive both the Non-CIC Severance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and the CIC Severance Benefits. Any and all Non-CIC Severance Benefits and CIC Severance Benefits provided under this Agreement will be subject to recoupment in accordance with any clawback policy that the Company adopts, including pursuant to the listing standards of any national</w:t>
      </w:r>
    </w:p>
    <w:p>
      <w:pPr>
        <w:sectPr>
          <w:pgSz w:w="11900" w:h="16838" w:orient="portrait"/>
          <w:cols w:equalWidth="0" w:num="1">
            <w:col w:w="10920"/>
          </w:cols>
          <w:pgMar w:left="480" w:top="268" w:right="499" w:bottom="1440" w:gutter="0" w:footer="0" w:header="0"/>
        </w:sectPr>
      </w:pPr>
    </w:p>
    <w:bookmarkStart w:id="428" w:name="page429"/>
    <w:bookmarkEnd w:id="428"/>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securities exchange or association on which the Company’s securities are listed or as is otherwise required by the Dodd-Frank Wall Street Reform and Consumer Protection Act or other applicable law. In addition,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may impose such other clawback, recovery or recoupment provisions as the Board determines necessary to comply with the Dodd-Frank Wall Street Reform and Consumer Protection Act or other applicable law, including but not limited to a reacquisition right in respect of previously acquired shares of common stock of the Company or other cash or property upon the occurrence of a termination of employment for Cause.</w:t>
      </w:r>
    </w:p>
    <w:p>
      <w:pPr>
        <w:spacing w:after="0" w:line="172" w:lineRule="exact"/>
        <w:rPr>
          <w:sz w:val="20"/>
          <w:szCs w:val="20"/>
          <w:color w:val="auto"/>
        </w:rPr>
      </w:pPr>
    </w:p>
    <w:p>
      <w:pPr>
        <w:ind w:firstLine="7"/>
        <w:spacing w:after="0" w:line="291" w:lineRule="auto"/>
        <w:tabs>
          <w:tab w:leader="none" w:pos="391" w:val="left"/>
        </w:tabs>
        <w:numPr>
          <w:ilvl w:val="0"/>
          <w:numId w:val="3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Resignation Without Good Reason; Death or Disability. </w:t>
      </w:r>
      <w:r>
        <w:rPr>
          <w:rFonts w:ascii="Arial" w:cs="Arial" w:eastAsia="Arial" w:hAnsi="Arial"/>
          <w:sz w:val="16"/>
          <w:szCs w:val="16"/>
          <w:color w:val="auto"/>
        </w:rPr>
        <w:t>If at any time (a) the Company terminates your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Cause, (b) you resign your employment without Good Reason, or (c) either party terminates your employment as a result of your death or disability, then in any such case you will receive only your base salary accrued through your last day of employment, as well as any unused vacation (if applicable) accrued through your last day of employment. Under these circumstances, you will not be entitled to any other form of compensation from the Company, including the Non-CIC Severance Benefits, the CIC Severance Benefits, or any other severance benefits, other than your rights to the vested portion of any equity and any other rights to which you are entitled under the Company’s benefit programs.</w:t>
      </w:r>
    </w:p>
    <w:p>
      <w:pPr>
        <w:spacing w:after="0" w:line="159" w:lineRule="exact"/>
        <w:rPr>
          <w:rFonts w:ascii="Arial" w:cs="Arial" w:eastAsia="Arial" w:hAnsi="Arial"/>
          <w:sz w:val="16"/>
          <w:szCs w:val="16"/>
          <w:b w:val="1"/>
          <w:bCs w:val="1"/>
          <w:color w:val="auto"/>
        </w:rPr>
      </w:pPr>
    </w:p>
    <w:p>
      <w:pPr>
        <w:ind w:left="400" w:hanging="393"/>
        <w:spacing w:after="0"/>
        <w:tabs>
          <w:tab w:leader="none" w:pos="400" w:val="left"/>
        </w:tabs>
        <w:numPr>
          <w:ilvl w:val="0"/>
          <w:numId w:val="3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Conditions to Receipt of the Non-CIC Severance Benefits and CIC Severance Benefits. </w:t>
      </w:r>
      <w:r>
        <w:rPr>
          <w:rFonts w:ascii="Arial" w:cs="Arial" w:eastAsia="Arial" w:hAnsi="Arial"/>
          <w:sz w:val="16"/>
          <w:szCs w:val="16"/>
          <w:color w:val="auto"/>
        </w:rPr>
        <w:t>Prior to and as a condition to your receipt of the</w:t>
      </w:r>
    </w:p>
    <w:p>
      <w:pPr>
        <w:spacing w:after="0" w:line="4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Non-CIC Severance Benefits or CIC Severance Benefits described above, you shall execute and deliver to the Company an effective release of claims in favor of the Company and substantially in the form attached as </w:t>
      </w:r>
      <w:r>
        <w:rPr>
          <w:rFonts w:ascii="Arial" w:cs="Arial" w:eastAsia="Arial" w:hAnsi="Arial"/>
          <w:sz w:val="17"/>
          <w:szCs w:val="17"/>
          <w:b w:val="1"/>
          <w:bCs w:val="1"/>
          <w:i w:val="1"/>
          <w:iCs w:val="1"/>
          <w:color w:val="auto"/>
        </w:rPr>
        <w:t>Attachment 1</w:t>
      </w:r>
      <w:r>
        <w:rPr>
          <w:rFonts w:ascii="Arial" w:cs="Arial" w:eastAsia="Arial" w:hAnsi="Arial"/>
          <w:sz w:val="17"/>
          <w:szCs w:val="17"/>
          <w:color w:val="auto"/>
        </w:rPr>
        <w:t xml:space="preserve"> to this Agreement (the “</w:t>
      </w:r>
      <w:r>
        <w:rPr>
          <w:rFonts w:ascii="Arial" w:cs="Arial" w:eastAsia="Arial" w:hAnsi="Arial"/>
          <w:sz w:val="17"/>
          <w:szCs w:val="17"/>
          <w:b w:val="1"/>
          <w:bCs w:val="1"/>
          <w:color w:val="auto"/>
        </w:rPr>
        <w:t>Release</w:t>
      </w:r>
      <w:r>
        <w:rPr>
          <w:rFonts w:ascii="Arial" w:cs="Arial" w:eastAsia="Arial" w:hAnsi="Arial"/>
          <w:sz w:val="17"/>
          <w:szCs w:val="17"/>
          <w:color w:val="auto"/>
        </w:rPr>
        <w:t>”) (which will include a non-disparagement covenant in favor of the Company) within the timeframe set forth therein, but not later than 21 days following your Separation from Service Date, and allow the Release to become effective according to its terms (by not invoking any legal right to revoke it) within any applicable time period set forth therein (such latest permitted effective date, the “</w:t>
      </w:r>
      <w:r>
        <w:rPr>
          <w:rFonts w:ascii="Arial" w:cs="Arial" w:eastAsia="Arial" w:hAnsi="Arial"/>
          <w:sz w:val="17"/>
          <w:szCs w:val="17"/>
          <w:b w:val="1"/>
          <w:bCs w:val="1"/>
          <w:color w:val="auto"/>
        </w:rPr>
        <w:t>Release Deadline</w:t>
      </w:r>
      <w:r>
        <w:rPr>
          <w:rFonts w:ascii="Arial" w:cs="Arial" w:eastAsia="Arial" w:hAnsi="Arial"/>
          <w:sz w:val="17"/>
          <w:szCs w:val="17"/>
          <w:color w:val="auto"/>
        </w:rPr>
        <w:t>”). The Release may be modified as required to conform to state-specific requirements, multiple-person terminations and/or changes in applicable state or federal law.</w:t>
      </w:r>
    </w:p>
    <w:p>
      <w:pPr>
        <w:spacing w:after="0" w:line="176" w:lineRule="exact"/>
        <w:rPr>
          <w:sz w:val="20"/>
          <w:szCs w:val="20"/>
          <w:color w:val="auto"/>
        </w:rPr>
      </w:pPr>
    </w:p>
    <w:p>
      <w:pPr>
        <w:ind w:right="40" w:firstLine="7"/>
        <w:spacing w:after="0" w:line="283" w:lineRule="auto"/>
        <w:tabs>
          <w:tab w:leader="none" w:pos="401" w:val="left"/>
        </w:tabs>
        <w:numPr>
          <w:ilvl w:val="0"/>
          <w:numId w:val="3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Return of Company Property. </w:t>
      </w:r>
      <w:r>
        <w:rPr>
          <w:rFonts w:ascii="Arial" w:cs="Arial" w:eastAsia="Arial" w:hAnsi="Arial"/>
          <w:sz w:val="16"/>
          <w:szCs w:val="16"/>
          <w:color w:val="auto"/>
        </w:rPr>
        <w:t>Within five business days after your Separation from Service Date (or earlier if requested by the Company), you</w:t>
      </w:r>
      <w:r>
        <w:rPr>
          <w:rFonts w:ascii="Arial" w:cs="Arial" w:eastAsia="Arial" w:hAnsi="Arial"/>
          <w:sz w:val="16"/>
          <w:szCs w:val="16"/>
          <w:b w:val="1"/>
          <w:bCs w:val="1"/>
          <w:color w:val="auto"/>
        </w:rPr>
        <w:t xml:space="preserve"> </w:t>
      </w:r>
      <w:r>
        <w:rPr>
          <w:rFonts w:ascii="Arial" w:cs="Arial" w:eastAsia="Arial" w:hAnsi="Arial"/>
          <w:sz w:val="16"/>
          <w:szCs w:val="16"/>
          <w:color w:val="auto"/>
        </w:rPr>
        <w:t>will return to the Company all Company documents (and all copies thereof) and other Company property within your possession, custody or control, including, but not limited to, Company files, notes, financial and operational information, customer lists and contact information, product and services information, research and development information, drawings, records, plans, forecasts, reports, payroll information, spreadsheets, studies, analyses, compilations of data, proposals, agreements, sales and marketing information, personnel information, specifications, code, software, databases, computer-recorded information, tangible property and equipment (including, but not limited to, computers,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You further agree that you will make a diligent search to locate any such documents, property and information and return them to the Company within the timeframe provided above. In addition, if you have used any personally-owned computer, server, or e-mail system to receive, store, review, prepare or transmit any confidential or proprietary data, materials or information of the Company, then within five business days after your Separation from Service date you will make best efforts to permanently delete and expunge such confidential or proprietary information from those systems without retaining any reproductions (in whole or in part). You shall deliver to the Company a signed statement certifying compliance with this Section 13 prior to the receipt of the Non-CIC Severance Benefits or CIC Severance Benefits.</w:t>
      </w:r>
    </w:p>
    <w:p>
      <w:pPr>
        <w:spacing w:after="0" w:line="172" w:lineRule="exact"/>
        <w:rPr>
          <w:rFonts w:ascii="Arial" w:cs="Arial" w:eastAsia="Arial" w:hAnsi="Arial"/>
          <w:sz w:val="16"/>
          <w:szCs w:val="16"/>
          <w:b w:val="1"/>
          <w:bCs w:val="1"/>
          <w:color w:val="auto"/>
        </w:rPr>
      </w:pPr>
    </w:p>
    <w:p>
      <w:pPr>
        <w:ind w:right="20" w:firstLine="7"/>
        <w:spacing w:after="0" w:line="277" w:lineRule="auto"/>
        <w:tabs>
          <w:tab w:leader="none" w:pos="401" w:val="left"/>
        </w:tabs>
        <w:numPr>
          <w:ilvl w:val="0"/>
          <w:numId w:val="3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Outside Activities. </w:t>
      </w:r>
      <w:r>
        <w:rPr>
          <w:rFonts w:ascii="Arial" w:cs="Arial" w:eastAsia="Arial" w:hAnsi="Arial"/>
          <w:sz w:val="17"/>
          <w:szCs w:val="17"/>
          <w:color w:val="auto"/>
        </w:rPr>
        <w:t>Throughout your employment with the Company, you may engage in civic and not-for-profit activities so long as such</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do not interfere with the performance of your duties hereunder or present a conflict of interest with the Company. Subject to the restrictions set forth herein and with the prior written consent of the Company, you may serve as a director of other corporations and may devote a reasonable amount of your time to other types of business or public activities not expressly mentioned in this paragraph. The Company</w:t>
      </w:r>
    </w:p>
    <w:p>
      <w:pPr>
        <w:sectPr>
          <w:pgSz w:w="11900" w:h="16838" w:orient="portrait"/>
          <w:cols w:equalWidth="0" w:num="1">
            <w:col w:w="10900"/>
          </w:cols>
          <w:pgMar w:left="480" w:top="272" w:right="519" w:bottom="1440" w:gutter="0" w:footer="0" w:header="0"/>
        </w:sectPr>
      </w:pPr>
    </w:p>
    <w:bookmarkStart w:id="429" w:name="page430"/>
    <w:bookmarkEnd w:id="429"/>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may rescind its consent to your service as a director of all other corporations or participation in other business or public activities, if the Company, in its sole discretion, determines that such activities compromise or threaten to compromise the Company’s business interests or conflict with your duties to the Company.</w:t>
      </w:r>
    </w:p>
    <w:p>
      <w:pPr>
        <w:spacing w:after="0" w:line="18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1% of any class of securities of any enterprise (but without participating in the activities of such enterprise) if such securities are listed on any national or regional securities exchange.</w:t>
      </w:r>
    </w:p>
    <w:p>
      <w:pPr>
        <w:spacing w:after="0" w:line="190" w:lineRule="exact"/>
        <w:rPr>
          <w:sz w:val="20"/>
          <w:szCs w:val="20"/>
          <w:color w:val="auto"/>
        </w:rPr>
      </w:pPr>
    </w:p>
    <w:p>
      <w:pPr>
        <w:ind w:left="400" w:hanging="393"/>
        <w:spacing w:after="0"/>
        <w:tabs>
          <w:tab w:leader="none" w:pos="40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Agreement, the following terms shall have the following meanings:</w:t>
      </w:r>
    </w:p>
    <w:p>
      <w:pPr>
        <w:spacing w:after="0" w:line="22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Cause</w:t>
      </w:r>
      <w:r>
        <w:rPr>
          <w:rFonts w:ascii="Arial" w:cs="Arial" w:eastAsia="Arial" w:hAnsi="Arial"/>
          <w:sz w:val="16"/>
          <w:szCs w:val="16"/>
          <w:color w:val="auto"/>
        </w:rPr>
        <w:t>” for termination will mean your: (a) commission or conviction (including a guilty plea or plea of nolo contendere) of any felony or any other crime involving fraud, dishonesty or moral turpitude; (b) your commission or attempted commission of or participation in a fraud or act of dishonesty or misrepresentation against the Company; (c) willful and material breach of your duties to the Company;</w:t>
      </w:r>
    </w:p>
    <w:p>
      <w:pPr>
        <w:spacing w:after="0" w:line="1" w:lineRule="exact"/>
        <w:rPr>
          <w:sz w:val="20"/>
          <w:szCs w:val="20"/>
          <w:color w:val="auto"/>
        </w:rPr>
      </w:pPr>
    </w:p>
    <w:p>
      <w:pPr>
        <w:ind w:right="100" w:firstLine="7"/>
        <w:spacing w:after="0" w:line="286" w:lineRule="auto"/>
        <w:tabs>
          <w:tab w:leader="none" w:pos="252" w:val="left"/>
        </w:tabs>
        <w:numPr>
          <w:ilvl w:val="0"/>
          <w:numId w:val="397"/>
        </w:numPr>
        <w:rPr>
          <w:rFonts w:ascii="Arial" w:cs="Arial" w:eastAsia="Arial" w:hAnsi="Arial"/>
          <w:sz w:val="16"/>
          <w:szCs w:val="16"/>
          <w:color w:val="auto"/>
        </w:rPr>
      </w:pPr>
      <w:r>
        <w:rPr>
          <w:rFonts w:ascii="Arial" w:cs="Arial" w:eastAsia="Arial" w:hAnsi="Arial"/>
          <w:sz w:val="16"/>
          <w:szCs w:val="16"/>
          <w:color w:val="auto"/>
        </w:rPr>
        <w:t>willful damage to any property of the Company; (e) willful misconduct, or other willful violation of Company policy that causes harm; or (f) your material violation of any written and fully executed contract or agreement between you and the Company, including without limitation, material breach of your Confidentiality Agreement, or material breach of any Company policy, or of any statutory duty you owe to the Company; provided, however, that in the event of subparagraph (f) above, the Company will provide written notice of such alleged violation and breach and you will have 30 days from receipt of such notice to cure. For purposes of this definition of Cause, no act, or failure to act, on your part shall be considered “willful” unless it is done, or omitted to be done, by you intentionally and without reasonable belief that your action or omission was in the best interests of the Company.</w:t>
      </w:r>
    </w:p>
    <w:p>
      <w:pPr>
        <w:spacing w:after="0" w:line="166"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For purposes of this Agreement, you shall have “</w:t>
      </w:r>
      <w:r>
        <w:rPr>
          <w:rFonts w:ascii="Arial" w:cs="Arial" w:eastAsia="Arial" w:hAnsi="Arial"/>
          <w:sz w:val="17"/>
          <w:szCs w:val="17"/>
          <w:b w:val="1"/>
          <w:bCs w:val="1"/>
          <w:color w:val="auto"/>
        </w:rPr>
        <w:t>Good Reason</w:t>
      </w:r>
      <w:r>
        <w:rPr>
          <w:rFonts w:ascii="Arial" w:cs="Arial" w:eastAsia="Arial" w:hAnsi="Arial"/>
          <w:sz w:val="17"/>
          <w:szCs w:val="17"/>
          <w:color w:val="auto"/>
        </w:rPr>
        <w:t xml:space="preserve">” for resigning from employment with the Company if any of the following actions are taken by the Company without your prior written consent: (a) a material reduction in your base salary, which the parties agree is a reduction of at least 10% of your base salary (unless pursuant to a salary reduction program applicable generally to the Company’s similarly situated employees); (b) a material reduction in your duties (including responsibilities and/or authorities),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change in job position (including a change in title) shall not be deemed a “material reduction” in and of itself unless your new duties are materially reduced from the prior duties; or (c) relocation of your principal place of employment to a place that increases your one-way commute by more than 50 miles as compared to your then-current principal place of employment immediately prior to such relocation,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you work remotely during any period in which your regular principal place of employment at a Company office is closed, then neither your relocation to remote work or back to the office from remote work will be considered a relocation of your principal place of employment with the Company for purposes of this definition. In order to resign for Good Reason, you must provide written notice to the Chief Executive Officer or the Board within 30 days after each occurrence of the event giving rise to Good Reason setting forth the basis for your resignation, allow the Company at least 30 days from receipt of such written notice to cure such event, and if such event is not reasonably cured within such period, you must resign from all positions you then hold with the Company not later than 30 days after the expiration of the cure period.</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Change in Control</w:t>
      </w:r>
      <w:r>
        <w:rPr>
          <w:rFonts w:ascii="Arial" w:cs="Arial" w:eastAsia="Arial" w:hAnsi="Arial"/>
          <w:sz w:val="18"/>
          <w:szCs w:val="18"/>
          <w:color w:val="auto"/>
        </w:rPr>
        <w:t>” shall mean: (a)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 majority of the voting power of the surviving entity (or, if the surviving entity is a wholly owned subsidiary, its parent) immediately after such consolidation, merger or reorganization; (b) any transaction or series of related transactions to which the Company is a party in which in</w:t>
      </w:r>
    </w:p>
    <w:p>
      <w:pPr>
        <w:sectPr>
          <w:pgSz w:w="11900" w:h="16838" w:orient="portrait"/>
          <w:cols w:equalWidth="0" w:num="1">
            <w:col w:w="10920"/>
          </w:cols>
          <w:pgMar w:left="480" w:top="272" w:right="499" w:bottom="1440" w:gutter="0" w:footer="0" w:header="0"/>
        </w:sectPr>
      </w:pPr>
    </w:p>
    <w:bookmarkStart w:id="430" w:name="page431"/>
    <w:bookmarkEnd w:id="430"/>
    <w:p>
      <w:pPr>
        <w:ind w:right="60"/>
        <w:spacing w:after="0" w:line="30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excess of 50% of the Company’s voting power is transferred;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include any transaction or series of transactions principally for bona fide equity financing purposes in which cash is received by the Company or indebtedness of the Company is cancelled or converted or a combination thereof; or (c) a sale, lease, exclusive license or other disposition of all or substantially all of the assets of the Company.</w:t>
      </w:r>
    </w:p>
    <w:p>
      <w:pPr>
        <w:spacing w:after="0" w:line="146" w:lineRule="exact"/>
        <w:rPr>
          <w:sz w:val="20"/>
          <w:szCs w:val="20"/>
          <w:color w:val="auto"/>
        </w:rPr>
      </w:pPr>
    </w:p>
    <w:p>
      <w:pPr>
        <w:ind w:right="360" w:firstLine="7"/>
        <w:spacing w:after="0" w:line="284" w:lineRule="auto"/>
        <w:tabs>
          <w:tab w:leader="none" w:pos="401" w:val="left"/>
        </w:tabs>
        <w:numPr>
          <w:ilvl w:val="0"/>
          <w:numId w:val="3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Section 409A. </w:t>
      </w:r>
      <w:r>
        <w:rPr>
          <w:rFonts w:ascii="Arial" w:cs="Arial" w:eastAsia="Arial" w:hAnsi="Arial"/>
          <w:sz w:val="16"/>
          <w:szCs w:val="16"/>
          <w:color w:val="auto"/>
        </w:rPr>
        <w:t>It is intended that the Non-CIC Severance Benefits and CIC Severance Benefits set forth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satisfy, to the greatest extent possible, the exemptions from the application of Section 409A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(Section 409A, together with any state law of similar effect, “</w:t>
      </w:r>
      <w:r>
        <w:rPr>
          <w:rFonts w:ascii="Arial" w:cs="Arial" w:eastAsia="Arial" w:hAnsi="Arial"/>
          <w:sz w:val="16"/>
          <w:szCs w:val="16"/>
          <w:b w:val="1"/>
          <w:bCs w:val="1"/>
          <w:color w:val="auto"/>
        </w:rPr>
        <w:t>Section 409A</w:t>
      </w:r>
      <w:r>
        <w:rPr>
          <w:rFonts w:ascii="Arial" w:cs="Arial" w:eastAsia="Arial" w:hAnsi="Arial"/>
          <w:sz w:val="16"/>
          <w:szCs w:val="16"/>
          <w:color w:val="auto"/>
        </w:rPr>
        <w:t>”) provided under Treasury Regulations 1.409A-1(b)(4), 1.409A-1(b)(5) and 1.409A-1(b)(9). For purposes of Section 409A (including, without limitation, for purposes of Treasury Regulations</w:t>
      </w:r>
    </w:p>
    <w:p>
      <w:pPr>
        <w:spacing w:after="0" w:line="1" w:lineRule="exact"/>
        <w:rPr>
          <w:rFonts w:ascii="Arial" w:cs="Arial" w:eastAsia="Arial" w:hAnsi="Arial"/>
          <w:sz w:val="16"/>
          <w:szCs w:val="16"/>
          <w:b w:val="1"/>
          <w:bCs w:val="1"/>
          <w:color w:val="auto"/>
        </w:rPr>
      </w:pPr>
    </w:p>
    <w:p>
      <w:pPr>
        <w:ind w:right="20"/>
        <w:spacing w:after="0" w:line="279" w:lineRule="auto"/>
        <w:rPr>
          <w:rFonts w:ascii="Arial" w:cs="Arial" w:eastAsia="Arial" w:hAnsi="Arial"/>
          <w:sz w:val="16"/>
          <w:szCs w:val="16"/>
          <w:b w:val="1"/>
          <w:bCs w:val="1"/>
          <w:color w:val="auto"/>
        </w:rPr>
      </w:pPr>
      <w:r>
        <w:rPr>
          <w:rFonts w:ascii="Arial" w:cs="Arial" w:eastAsia="Arial" w:hAnsi="Arial"/>
          <w:sz w:val="16"/>
          <w:szCs w:val="16"/>
          <w:color w:val="auto"/>
        </w:rPr>
        <w:t>1.409A-2(b)(2)(iii)),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the Company (or, if applicable, the successor entity thereto) determines that the Non-CIC Severance Benefits or CIC Severance Benefits constitute “deferred compensation” under Section 409A and you are, on the date of your Separation from Service, a “specified employee” of the Company or any successor entity thereto, as such term is defined in Section 409A(a)(2)(B)(i) of the Code (a “</w:t>
      </w:r>
      <w:r>
        <w:rPr>
          <w:rFonts w:ascii="Arial" w:cs="Arial" w:eastAsia="Arial" w:hAnsi="Arial"/>
          <w:sz w:val="16"/>
          <w:szCs w:val="16"/>
          <w:b w:val="1"/>
          <w:bCs w:val="1"/>
          <w:color w:val="auto"/>
        </w:rPr>
        <w:t>Specified Employee</w:t>
      </w:r>
      <w:r>
        <w:rPr>
          <w:rFonts w:ascii="Arial" w:cs="Arial" w:eastAsia="Arial" w:hAnsi="Arial"/>
          <w:sz w:val="16"/>
          <w:szCs w:val="16"/>
          <w:color w:val="auto"/>
        </w:rPr>
        <w:t>”), then, solely to the extent necessary to avoid the incurrence of adverse personal tax consequences under Section 409A, the timing of the Non-CIC Severance Benefits or CIC Severance Benefits shall be delayed until the earliest of: (i) the date that is six months and one day after your Separation from Service date, (ii) the date of your death, or (iii) such earlier date as permitted under Section 409A without the imposition of adverse taxation. Upon the first business day following the expiration of such applicable Code Section 409A(a)</w:t>
      </w:r>
    </w:p>
    <w:p>
      <w:pPr>
        <w:ind w:right="60"/>
        <w:spacing w:after="0" w:line="266" w:lineRule="auto"/>
        <w:rPr>
          <w:rFonts w:ascii="Arial" w:cs="Arial" w:eastAsia="Arial" w:hAnsi="Arial"/>
          <w:sz w:val="16"/>
          <w:szCs w:val="16"/>
          <w:b w:val="1"/>
          <w:bCs w:val="1"/>
          <w:color w:val="auto"/>
        </w:rPr>
      </w:pPr>
      <w:r>
        <w:rPr>
          <w:rFonts w:ascii="Arial" w:cs="Arial" w:eastAsia="Arial" w:hAnsi="Arial"/>
          <w:sz w:val="17"/>
          <w:szCs w:val="17"/>
          <w:color w:val="auto"/>
        </w:rPr>
        <w:t>(2)(B)(i) period, all payments or benefits deferred pursuant to this section shall be paid in a lump sum or provided in full by the Company (or the successor entity thereto, as applicable), and any remaining payments due shall be paid as otherwise provided herein. No interest shall be due on any amounts so deferred. If the Non-CIC Severance Benefits or CIC Severance Benefits are not covered by one or more exemptions from the application of Section 409A and the Release could become effective in the calendar year following the calendar year in which you have a Separation from Service, the Release will not be deemed effective any earlier than the Release Deadline. The Non-CIC Severance Benefits and CIC Severance Benefits are intended to qualify for an exemption from application of Section 409A or comply with its requirements to the extent necessary to avoid adverse personal tax consequences under Section 409A, and any ambiguities herein shall be interpreted accordingly.</w:t>
      </w:r>
    </w:p>
    <w:p>
      <w:pPr>
        <w:spacing w:after="0" w:line="285" w:lineRule="exact"/>
        <w:rPr>
          <w:rFonts w:ascii="Arial" w:cs="Arial" w:eastAsia="Arial" w:hAnsi="Arial"/>
          <w:sz w:val="16"/>
          <w:szCs w:val="16"/>
          <w:b w:val="1"/>
          <w:bCs w:val="1"/>
          <w:color w:val="auto"/>
        </w:rPr>
      </w:pPr>
    </w:p>
    <w:p>
      <w:pPr>
        <w:ind w:left="400" w:hanging="393"/>
        <w:spacing w:after="0"/>
        <w:tabs>
          <w:tab w:leader="none" w:pos="40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Section 280G; Parachute Payments.</w:t>
      </w:r>
    </w:p>
    <w:p>
      <w:pPr>
        <w:spacing w:after="0" w:line="113" w:lineRule="exact"/>
        <w:rPr>
          <w:rFonts w:ascii="Arial" w:cs="Arial" w:eastAsia="Arial" w:hAnsi="Arial"/>
          <w:sz w:val="18"/>
          <w:szCs w:val="18"/>
          <w:b w:val="1"/>
          <w:bCs w:val="1"/>
          <w:color w:val="auto"/>
        </w:rPr>
      </w:pPr>
    </w:p>
    <w:p>
      <w:pPr>
        <w:ind w:firstLine="444"/>
        <w:spacing w:after="0" w:line="267" w:lineRule="auto"/>
        <w:tabs>
          <w:tab w:leader="none" w:pos="822" w:val="left"/>
        </w:tabs>
        <w:numPr>
          <w:ilvl w:val="1"/>
          <w:numId w:val="398"/>
        </w:numPr>
        <w:rPr>
          <w:rFonts w:ascii="Arial" w:cs="Arial" w:eastAsia="Arial" w:hAnsi="Arial"/>
          <w:sz w:val="17"/>
          <w:szCs w:val="17"/>
          <w:b w:val="1"/>
          <w:bCs w:val="1"/>
          <w:color w:val="auto"/>
        </w:rPr>
      </w:pPr>
      <w:r>
        <w:rPr>
          <w:rFonts w:ascii="Arial" w:cs="Arial" w:eastAsia="Arial" w:hAnsi="Arial"/>
          <w:sz w:val="17"/>
          <w:szCs w:val="17"/>
          <w:color w:val="auto"/>
        </w:rPr>
        <w:t>If any payment or benefit you will or may receive from the Company or otherwise (a “</w:t>
      </w:r>
      <w:r>
        <w:rPr>
          <w:rFonts w:ascii="Arial" w:cs="Arial" w:eastAsia="Arial" w:hAnsi="Arial"/>
          <w:sz w:val="17"/>
          <w:szCs w:val="17"/>
          <w:b w:val="1"/>
          <w:bCs w:val="1"/>
          <w:color w:val="auto"/>
        </w:rPr>
        <w:t>280G Payment</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b w:val="1"/>
          <w:bCs w:val="1"/>
          <w:color w:val="auto"/>
        </w:rPr>
        <w:t>Excise Tax</w:t>
      </w:r>
      <w:r>
        <w:rPr>
          <w:rFonts w:ascii="Arial" w:cs="Arial" w:eastAsia="Arial" w:hAnsi="Arial"/>
          <w:sz w:val="17"/>
          <w:szCs w:val="17"/>
          <w:color w:val="auto"/>
        </w:rPr>
        <w:t>”), then any such 280G Payment provided pursuant to this Agreement (a “</w:t>
      </w:r>
      <w:r>
        <w:rPr>
          <w:rFonts w:ascii="Arial" w:cs="Arial" w:eastAsia="Arial" w:hAnsi="Arial"/>
          <w:sz w:val="17"/>
          <w:szCs w:val="17"/>
          <w:b w:val="1"/>
          <w:bCs w:val="1"/>
          <w:color w:val="auto"/>
        </w:rPr>
        <w:t>Payment</w:t>
      </w:r>
      <w:r>
        <w:rPr>
          <w:rFonts w:ascii="Arial" w:cs="Arial" w:eastAsia="Arial" w:hAnsi="Arial"/>
          <w:sz w:val="17"/>
          <w:szCs w:val="17"/>
          <w:color w:val="auto"/>
        </w:rPr>
        <w: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7"/>
          <w:szCs w:val="17"/>
          <w:b w:val="1"/>
          <w:bCs w:val="1"/>
          <w:color w:val="auto"/>
        </w:rPr>
        <w:t>Reduction Method</w:t>
      </w:r>
      <w:r>
        <w:rPr>
          <w:rFonts w:ascii="Arial" w:cs="Arial" w:eastAsia="Arial" w:hAnsi="Arial"/>
          <w:sz w:val="17"/>
          <w:szCs w:val="17"/>
          <w:color w:val="auto"/>
        </w:rPr>
        <w:t>”) that results in the greatest economic benefit for you. If more than one method of reduction will result in the same economic benefit, the items so reduced will be reduced pro rata (the “</w:t>
      </w:r>
      <w:r>
        <w:rPr>
          <w:rFonts w:ascii="Arial" w:cs="Arial" w:eastAsia="Arial" w:hAnsi="Arial"/>
          <w:sz w:val="17"/>
          <w:szCs w:val="17"/>
          <w:b w:val="1"/>
          <w:bCs w:val="1"/>
          <w:color w:val="auto"/>
        </w:rPr>
        <w:t>Pro Rata Reduction Method</w:t>
      </w:r>
      <w:r>
        <w:rPr>
          <w:rFonts w:ascii="Arial" w:cs="Arial" w:eastAsia="Arial" w:hAnsi="Arial"/>
          <w:sz w:val="17"/>
          <w:szCs w:val="17"/>
          <w:color w:val="auto"/>
        </w:rPr>
        <w:t>”).</w:t>
      </w:r>
    </w:p>
    <w:p>
      <w:pPr>
        <w:spacing w:after="0" w:line="179" w:lineRule="exact"/>
        <w:rPr>
          <w:rFonts w:ascii="Arial" w:cs="Arial" w:eastAsia="Arial" w:hAnsi="Arial"/>
          <w:sz w:val="17"/>
          <w:szCs w:val="17"/>
          <w:b w:val="1"/>
          <w:bCs w:val="1"/>
          <w:color w:val="auto"/>
        </w:rPr>
      </w:pPr>
    </w:p>
    <w:p>
      <w:pPr>
        <w:ind w:right="280" w:firstLine="444"/>
        <w:spacing w:after="0" w:line="271" w:lineRule="auto"/>
        <w:tabs>
          <w:tab w:leader="none" w:pos="832" w:val="left"/>
        </w:tabs>
        <w:numPr>
          <w:ilvl w:val="1"/>
          <w:numId w:val="398"/>
        </w:numPr>
        <w:rPr>
          <w:rFonts w:ascii="Arial" w:cs="Arial" w:eastAsia="Arial" w:hAnsi="Arial"/>
          <w:sz w:val="18"/>
          <w:szCs w:val="18"/>
          <w:b w:val="1"/>
          <w:bCs w:val="1"/>
          <w:color w:val="auto"/>
        </w:rPr>
      </w:pPr>
      <w:r>
        <w:rPr>
          <w:rFonts w:ascii="Arial" w:cs="Arial" w:eastAsia="Arial" w:hAnsi="Arial"/>
          <w:sz w:val="18"/>
          <w:szCs w:val="18"/>
          <w:color w:val="auto"/>
        </w:rPr>
        <w:t>Notwithstanding any provision of subsection (a) above to the contrary, if the Reduction Method or the Pro Rata Reduction Method would result in any portion of the Payment being subject to taxes pursuant to Section 409A</w:t>
      </w:r>
    </w:p>
    <w:p>
      <w:pPr>
        <w:sectPr>
          <w:pgSz w:w="11900" w:h="16838" w:orient="portrait"/>
          <w:cols w:equalWidth="0" w:num="1">
            <w:col w:w="10920"/>
          </w:cols>
          <w:pgMar w:left="480" w:top="272" w:right="499" w:bottom="1440" w:gutter="0" w:footer="0" w:header="0"/>
        </w:sectPr>
      </w:pPr>
    </w:p>
    <w:bookmarkStart w:id="431" w:name="page432"/>
    <w:bookmarkEnd w:id="431"/>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78" w:lineRule="exact"/>
        <w:rPr>
          <w:sz w:val="20"/>
          <w:szCs w:val="20"/>
          <w:color w:val="auto"/>
        </w:rPr>
      </w:pPr>
    </w:p>
    <w:p>
      <w:pPr>
        <w:ind w:firstLine="444"/>
        <w:spacing w:after="0" w:line="287" w:lineRule="auto"/>
        <w:tabs>
          <w:tab w:leader="none" w:pos="812" w:val="left"/>
        </w:tabs>
        <w:numPr>
          <w:ilvl w:val="1"/>
          <w:numId w:val="399"/>
        </w:numPr>
        <w:rPr>
          <w:rFonts w:ascii="Arial" w:cs="Arial" w:eastAsia="Arial" w:hAnsi="Arial"/>
          <w:sz w:val="16"/>
          <w:szCs w:val="16"/>
          <w:b w:val="1"/>
          <w:bCs w:val="1"/>
          <w:color w:val="auto"/>
        </w:rPr>
      </w:pPr>
      <w:r>
        <w:rPr>
          <w:rFonts w:ascii="Arial" w:cs="Arial" w:eastAsia="Arial" w:hAnsi="Arial"/>
          <w:sz w:val="16"/>
          <w:szCs w:val="16"/>
          <w:color w:val="auto"/>
        </w:rPr>
        <w:t>Unless you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17.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you and the Company within 15 calendar days after the date on which your right to a 280G Payment becomes reasonably likely to occur (if requested at that time by you or the Company) or such other time as requested by you or the Company.</w:t>
      </w:r>
    </w:p>
    <w:p>
      <w:pPr>
        <w:spacing w:after="0" w:line="165" w:lineRule="exact"/>
        <w:rPr>
          <w:rFonts w:ascii="Arial" w:cs="Arial" w:eastAsia="Arial" w:hAnsi="Arial"/>
          <w:sz w:val="16"/>
          <w:szCs w:val="16"/>
          <w:b w:val="1"/>
          <w:bCs w:val="1"/>
          <w:color w:val="auto"/>
        </w:rPr>
      </w:pPr>
    </w:p>
    <w:p>
      <w:pPr>
        <w:ind w:right="100" w:firstLine="444"/>
        <w:spacing w:after="0" w:line="272" w:lineRule="auto"/>
        <w:tabs>
          <w:tab w:leader="none" w:pos="832" w:val="left"/>
        </w:tabs>
        <w:numPr>
          <w:ilvl w:val="1"/>
          <w:numId w:val="399"/>
        </w:numPr>
        <w:rPr>
          <w:rFonts w:ascii="Arial" w:cs="Arial" w:eastAsia="Arial" w:hAnsi="Arial"/>
          <w:sz w:val="17"/>
          <w:szCs w:val="17"/>
          <w:b w:val="1"/>
          <w:bCs w:val="1"/>
          <w:color w:val="auto"/>
        </w:rPr>
      </w:pPr>
      <w:r>
        <w:rPr>
          <w:rFonts w:ascii="Arial" w:cs="Arial" w:eastAsia="Arial" w:hAnsi="Arial"/>
          <w:sz w:val="17"/>
          <w:szCs w:val="17"/>
          <w:color w:val="auto"/>
        </w:rPr>
        <w:t>If you receive a Payment for which the Reduced Amount was determined pursuant to clause (x) of Section 17(a) and the Internal Revenue Service determines thereafter that some portion of the Payment is subject to the Excise Tax, Executive agrees to promptly return to the Company a sufficient amount of the Payment (after reduction pursuant to clause (x) of Section 17(a)) so that no portion of the remaining Payment is subject to the Excise Tax. For the avoidance of doubt, if the Reduced Amount was determined pursuant to clause (y) of Section 17(a), you shall have no obligation to return any portion of the Payment pursuant to the preceding sentence.</w:t>
      </w:r>
    </w:p>
    <w:p>
      <w:pPr>
        <w:spacing w:after="0" w:line="172" w:lineRule="exact"/>
        <w:rPr>
          <w:rFonts w:ascii="Arial" w:cs="Arial" w:eastAsia="Arial" w:hAnsi="Arial"/>
          <w:sz w:val="17"/>
          <w:szCs w:val="17"/>
          <w:b w:val="1"/>
          <w:bCs w:val="1"/>
          <w:color w:val="auto"/>
        </w:rPr>
      </w:pPr>
    </w:p>
    <w:p>
      <w:pPr>
        <w:ind w:right="60" w:firstLine="7"/>
        <w:spacing w:after="0" w:line="282" w:lineRule="auto"/>
        <w:tabs>
          <w:tab w:leader="none" w:pos="401" w:val="left"/>
        </w:tabs>
        <w:numPr>
          <w:ilvl w:val="0"/>
          <w:numId w:val="4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Dispute Resolution. </w:t>
      </w:r>
      <w:r>
        <w:rPr>
          <w:rFonts w:ascii="Arial" w:cs="Arial" w:eastAsia="Arial" w:hAnsi="Arial"/>
          <w:sz w:val="16"/>
          <w:szCs w:val="16"/>
          <w:color w:val="auto"/>
        </w:rPr>
        <w:t>To ensure the timely and economical resolution of disputes that may arise in connection with your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you and the Company agree that any and all disputes, claims, or causes of action arising from or relating to the enforcement, breach, performance, negotiation, execution, or interpretation of this Agreement, your employment, or the termination of your employment, including but not limited to statutory claims, will be resolved pursuant to the Federal Arbitration Act, 9 U.S.C. § 1-16 to the fullest extent permitted by law by final, binding and confidential arbitration, by a single arbitrator, in San Francisco, California, conducted by JAMS, Inc. (“</w:t>
      </w:r>
      <w:r>
        <w:rPr>
          <w:rFonts w:ascii="Arial" w:cs="Arial" w:eastAsia="Arial" w:hAnsi="Arial"/>
          <w:sz w:val="16"/>
          <w:szCs w:val="16"/>
          <w:b w:val="1"/>
          <w:bCs w:val="1"/>
          <w:color w:val="auto"/>
        </w:rPr>
        <w:t>JAMS</w:t>
      </w:r>
      <w:r>
        <w:rPr>
          <w:rFonts w:ascii="Arial" w:cs="Arial" w:eastAsia="Arial" w:hAnsi="Arial"/>
          <w:sz w:val="16"/>
          <w:szCs w:val="16"/>
          <w:color w:val="auto"/>
        </w:rPr>
        <w:t xml:space="preserve">”) under the then-applicable JAMS rules (available at the following web address: </w:t>
      </w:r>
      <w:r>
        <w:rPr>
          <w:rFonts w:ascii="Arial" w:cs="Arial" w:eastAsia="Arial" w:hAnsi="Arial"/>
          <w:sz w:val="16"/>
          <w:szCs w:val="16"/>
          <w:u w:val="single" w:color="auto"/>
          <w:color w:val="auto"/>
        </w:rPr>
        <w:t>http://www.jamsadr.com/rules-employment-arbitration/</w:t>
      </w:r>
      <w:r>
        <w:rPr>
          <w:rFonts w:ascii="Arial" w:cs="Arial" w:eastAsia="Arial" w:hAnsi="Arial"/>
          <w:sz w:val="16"/>
          <w:szCs w:val="16"/>
          <w:color w:val="auto"/>
        </w:rPr>
        <w:t xml:space="preserve">, and which will be provided to you on request). </w:t>
      </w:r>
      <w:r>
        <w:rPr>
          <w:rFonts w:ascii="Arial" w:cs="Arial" w:eastAsia="Arial" w:hAnsi="Arial"/>
          <w:sz w:val="16"/>
          <w:szCs w:val="16"/>
          <w:b w:val="1"/>
          <w:bCs w:val="1"/>
          <w:color w:val="auto"/>
        </w:rPr>
        <w:t>By agreeing to this arbitration procedure, both you and the Company waive the right to resolve any such dispute through a trial by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jury or judge or administrative proceeding. </w:t>
      </w:r>
      <w:r>
        <w:rPr>
          <w:rFonts w:ascii="Arial" w:cs="Arial" w:eastAsia="Arial" w:hAnsi="Arial"/>
          <w:sz w:val="16"/>
          <w:szCs w:val="16"/>
          <w:color w:val="auto"/>
        </w:rPr>
        <w:t>You will have the right to be represented by legal counsel at any arbitration proceeding. In addition, all</w:t>
      </w:r>
      <w:r>
        <w:rPr>
          <w:rFonts w:ascii="Arial" w:cs="Arial" w:eastAsia="Arial" w:hAnsi="Arial"/>
          <w:sz w:val="16"/>
          <w:szCs w:val="16"/>
          <w:b w:val="1"/>
          <w:bCs w:val="1"/>
          <w:color w:val="auto"/>
        </w:rPr>
        <w:t xml:space="preserve"> </w:t>
      </w:r>
      <w:r>
        <w:rPr>
          <w:rFonts w:ascii="Arial" w:cs="Arial" w:eastAsia="Arial" w:hAnsi="Arial"/>
          <w:sz w:val="16"/>
          <w:szCs w:val="16"/>
          <w:color w:val="auto"/>
        </w:rPr>
        <w:t>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 otherwise invalid (collectively, the “</w:t>
      </w:r>
      <w:r>
        <w:rPr>
          <w:rFonts w:ascii="Arial" w:cs="Arial" w:eastAsia="Arial" w:hAnsi="Arial"/>
          <w:sz w:val="16"/>
          <w:szCs w:val="16"/>
          <w:b w:val="1"/>
          <w:bCs w:val="1"/>
          <w:color w:val="auto"/>
        </w:rPr>
        <w:t>Excluded Claims</w:t>
      </w:r>
      <w:r>
        <w:rPr>
          <w:rFonts w:ascii="Arial" w:cs="Arial" w:eastAsia="Arial" w:hAnsi="Arial"/>
          <w:sz w:val="16"/>
          <w:szCs w:val="16"/>
          <w:color w:val="auto"/>
        </w:rPr>
        <w:t>”). In the event you intend to bring multiple claims, including</w:t>
      </w:r>
    </w:p>
    <w:p>
      <w:pPr>
        <w:sectPr>
          <w:pgSz w:w="11900" w:h="16838" w:orient="portrait"/>
          <w:cols w:equalWidth="0" w:num="1">
            <w:col w:w="10900"/>
          </w:cols>
          <w:pgMar w:left="480" w:top="272" w:right="519" w:bottom="1440" w:gutter="0" w:footer="0" w:header="0"/>
        </w:sectPr>
      </w:pPr>
    </w:p>
    <w:bookmarkStart w:id="432" w:name="page433"/>
    <w:bookmarkEnd w:id="432"/>
    <w:p>
      <w:pPr>
        <w:ind w:right="1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one of the Excluded Claims listed above, the Excluded Claims may be filed with a court, while any other claims will remain subject to mandatory arbitration.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you or the Company would be entitled to seek in a court of law. The Company shall pay all JAMS’ arbitration fees in excess of the amount of court fees that would be required of you if the dispute were decided in a court of law. Nothing in this letter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76" w:lineRule="exact"/>
        <w:rPr>
          <w:sz w:val="20"/>
          <w:szCs w:val="20"/>
          <w:color w:val="auto"/>
        </w:rPr>
      </w:pPr>
    </w:p>
    <w:p>
      <w:pPr>
        <w:ind w:firstLine="7"/>
        <w:spacing w:after="0" w:line="266" w:lineRule="auto"/>
        <w:tabs>
          <w:tab w:leader="none" w:pos="401" w:val="left"/>
        </w:tabs>
        <w:numPr>
          <w:ilvl w:val="0"/>
          <w:numId w:val="4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This Agreement, together with your Confidentiality Agreement, forms the complete and exclusive statement of your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 the Company. It supersedes any other agreements or promises made to you by anyone, whether oral or written. Changes in your employment terms, other than those changes expressly reserved to the Company’s or Board’s discretion in this Agreement, require a written modification approved by the Company and signed by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executed in counterparts which shall be deemed to be part of one original, and facsimile and electronic image copies of signatures shall be equivalent to original signatures.</w:t>
      </w:r>
    </w:p>
    <w:p>
      <w:pPr>
        <w:spacing w:after="0" w:line="186"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We are delighted to be making this offer of continued employment and look forward to your favorable reply and continuing our productive and enjoyable work relationship.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Sincerely,</w:t>
            </w: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55"/>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Marshall W. Fordyce, M.D.</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8"/>
                <w:szCs w:val="18"/>
                <w:color w:val="auto"/>
              </w:rPr>
              <w:t>Marshall W. Fordyce, M.D.</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55"/>
        </w:trPr>
        <w:tc>
          <w:tcPr>
            <w:tcW w:w="4360" w:type="dxa"/>
            <w:vAlign w:val="bottom"/>
          </w:tcPr>
          <w:p>
            <w:pPr>
              <w:spacing w:after="0"/>
              <w:rPr>
                <w:sz w:val="20"/>
                <w:szCs w:val="20"/>
                <w:color w:val="auto"/>
              </w:rPr>
            </w:pPr>
            <w:r>
              <w:rPr>
                <w:rFonts w:ascii="Arial" w:cs="Arial" w:eastAsia="Arial" w:hAnsi="Arial"/>
                <w:sz w:val="18"/>
                <w:szCs w:val="18"/>
                <w:b w:val="1"/>
                <w:bCs w:val="1"/>
                <w:color w:val="auto"/>
              </w:rPr>
              <w:t>Reviewed, Understood, and Accepted:</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429"/>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Joanne Curley, Ph.D.</w:t>
            </w:r>
          </w:p>
        </w:tc>
        <w:tc>
          <w:tcPr>
            <w:tcW w:w="7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7, 2021</w:t>
            </w:r>
          </w:p>
        </w:tc>
      </w:tr>
      <w:tr>
        <w:trPr>
          <w:trHeight w:val="221"/>
        </w:trPr>
        <w:tc>
          <w:tcPr>
            <w:tcW w:w="4360" w:type="dxa"/>
            <w:vAlign w:val="bottom"/>
          </w:tcPr>
          <w:p>
            <w:pPr>
              <w:spacing w:after="0"/>
              <w:rPr>
                <w:sz w:val="20"/>
                <w:szCs w:val="20"/>
                <w:color w:val="auto"/>
              </w:rPr>
            </w:pPr>
            <w:r>
              <w:rPr>
                <w:rFonts w:ascii="Arial" w:cs="Arial" w:eastAsia="Arial" w:hAnsi="Arial"/>
                <w:sz w:val="18"/>
                <w:szCs w:val="18"/>
                <w:color w:val="auto"/>
              </w:rPr>
              <w:t>Joanne Curley, Ph.D.</w:t>
            </w: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Date</w:t>
            </w:r>
          </w:p>
        </w:tc>
      </w:tr>
      <w:tr>
        <w:trPr>
          <w:trHeight w:val="534"/>
        </w:trPr>
        <w:tc>
          <w:tcPr>
            <w:tcW w:w="4360" w:type="dxa"/>
            <w:vAlign w:val="bottom"/>
          </w:tcPr>
          <w:p>
            <w:pPr>
              <w:spacing w:after="0"/>
              <w:rPr>
                <w:sz w:val="20"/>
                <w:szCs w:val="20"/>
                <w:color w:val="auto"/>
              </w:rPr>
            </w:pPr>
            <w:r>
              <w:rPr>
                <w:rFonts w:ascii="Arial" w:cs="Arial" w:eastAsia="Arial" w:hAnsi="Arial"/>
                <w:sz w:val="18"/>
                <w:szCs w:val="18"/>
                <w:b w:val="1"/>
                <w:bCs w:val="1"/>
                <w:color w:val="auto"/>
              </w:rPr>
              <w:t>Attachment 1: Form of Release</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sectPr>
          <w:pgSz w:w="11900" w:h="16838" w:orient="portrait"/>
          <w:cols w:equalWidth="0" w:num="1">
            <w:col w:w="10920"/>
          </w:cols>
          <w:pgMar w:left="480" w:top="272" w:right="499" w:bottom="1440" w:gutter="0" w:footer="0" w:header="0"/>
        </w:sectPr>
      </w:pPr>
    </w:p>
    <w:bookmarkStart w:id="433" w:name="page434"/>
    <w:bookmarkEnd w:id="433"/>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Celia Lin, M.D.</w:t>
      </w:r>
    </w:p>
    <w:p>
      <w:pPr>
        <w:spacing w:after="0" w:line="24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Employment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Celia:</w:t>
      </w:r>
    </w:p>
    <w:p>
      <w:pPr>
        <w:spacing w:after="0" w:line="2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Vera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 is pleased to offer you continued employment with the Company on the terms set forth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This Agreement is effective as of the effective date of the registration statement for the initial public offering of the Company’s Class A Common Stock (the “</w:t>
      </w:r>
      <w:r>
        <w:rPr>
          <w:rFonts w:ascii="Arial" w:cs="Arial" w:eastAsia="Arial" w:hAnsi="Arial"/>
          <w:sz w:val="18"/>
          <w:szCs w:val="18"/>
          <w:b w:val="1"/>
          <w:bCs w:val="1"/>
          <w:color w:val="auto"/>
        </w:rPr>
        <w:t>Effective Date</w:t>
      </w:r>
      <w:r>
        <w:rPr>
          <w:rFonts w:ascii="Arial" w:cs="Arial" w:eastAsia="Arial" w:hAnsi="Arial"/>
          <w:sz w:val="18"/>
          <w:szCs w:val="18"/>
          <w:color w:val="auto"/>
        </w:rPr>
        <w:t>”) and shall amend, and restate any prior offer letter or employment agreement between you and the Company, including your January 22, 2021 offer letter.</w:t>
      </w:r>
    </w:p>
    <w:p>
      <w:pPr>
        <w:spacing w:after="0" w:line="290" w:lineRule="exact"/>
        <w:rPr>
          <w:sz w:val="20"/>
          <w:szCs w:val="20"/>
          <w:color w:val="auto"/>
        </w:rPr>
      </w:pPr>
    </w:p>
    <w:p>
      <w:pPr>
        <w:ind w:left="320" w:hanging="313"/>
        <w:spacing w:after="0"/>
        <w:tabs>
          <w:tab w:leader="none" w:pos="32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by the Company.</w:t>
      </w:r>
    </w:p>
    <w:p>
      <w:pPr>
        <w:spacing w:after="0" w:line="113" w:lineRule="exact"/>
        <w:rPr>
          <w:rFonts w:ascii="Arial" w:cs="Arial" w:eastAsia="Arial" w:hAnsi="Arial"/>
          <w:sz w:val="18"/>
          <w:szCs w:val="18"/>
          <w:b w:val="1"/>
          <w:bCs w:val="1"/>
          <w:color w:val="auto"/>
        </w:rPr>
      </w:pPr>
    </w:p>
    <w:p>
      <w:pPr>
        <w:ind w:right="100" w:firstLine="444"/>
        <w:spacing w:after="0" w:line="273" w:lineRule="auto"/>
        <w:tabs>
          <w:tab w:leader="none" w:pos="822" w:val="left"/>
        </w:tabs>
        <w:numPr>
          <w:ilvl w:val="1"/>
          <w:numId w:val="4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Position. </w:t>
      </w:r>
      <w:r>
        <w:rPr>
          <w:rFonts w:ascii="Arial" w:cs="Arial" w:eastAsia="Arial" w:hAnsi="Arial"/>
          <w:sz w:val="17"/>
          <w:szCs w:val="17"/>
          <w:color w:val="auto"/>
        </w:rPr>
        <w:t>You will continue to serve as the Company’s Chief Medical Officer. During the term of your employment with the Company, you</w:t>
      </w:r>
      <w:r>
        <w:rPr>
          <w:rFonts w:ascii="Arial" w:cs="Arial" w:eastAsia="Arial" w:hAnsi="Arial"/>
          <w:sz w:val="17"/>
          <w:szCs w:val="17"/>
          <w:b w:val="1"/>
          <w:bCs w:val="1"/>
          <w:color w:val="auto"/>
        </w:rPr>
        <w:t xml:space="preserve"> </w:t>
      </w:r>
      <w:r>
        <w:rPr>
          <w:rFonts w:ascii="Arial" w:cs="Arial" w:eastAsia="Arial" w:hAnsi="Arial"/>
          <w:sz w:val="17"/>
          <w:szCs w:val="17"/>
          <w:color w:val="auto"/>
        </w:rPr>
        <w:t>will devote your best efforts and substantially all of your business time and attention to the business of the Company, except for approved vacation periods and reasonable periods of illness or other incapacities permitted by the Company’s general employment policies. It is anticipated that such business of the Company will include your providing services to entities that are subsidiaries of the Company or otherwise affiliated with the Company, without further or additional compensation or benefits other than as set forth in this Agreement.</w:t>
      </w:r>
    </w:p>
    <w:p>
      <w:pPr>
        <w:spacing w:after="0" w:line="172" w:lineRule="exact"/>
        <w:rPr>
          <w:rFonts w:ascii="Arial" w:cs="Arial" w:eastAsia="Arial" w:hAnsi="Arial"/>
          <w:sz w:val="17"/>
          <w:szCs w:val="17"/>
          <w:b w:val="1"/>
          <w:bCs w:val="1"/>
          <w:color w:val="auto"/>
        </w:rPr>
      </w:pPr>
    </w:p>
    <w:p>
      <w:pPr>
        <w:ind w:right="20" w:firstLine="444"/>
        <w:spacing w:after="0" w:line="253" w:lineRule="auto"/>
        <w:tabs>
          <w:tab w:leader="none" w:pos="832" w:val="left"/>
        </w:tabs>
        <w:numPr>
          <w:ilvl w:val="1"/>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and Location. </w:t>
      </w:r>
      <w:r>
        <w:rPr>
          <w:rFonts w:ascii="Arial" w:cs="Arial" w:eastAsia="Arial" w:hAnsi="Arial"/>
          <w:sz w:val="18"/>
          <w:szCs w:val="18"/>
          <w:color w:val="auto"/>
        </w:rPr>
        <w:t>You will perform those duties and responsibilities as are customary for your position and as may be directed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to whom you will report. While you may currently be working remotely while our offices are not fully open, your primary office location will be the Company’s office in South San Francisco, California. Notwithstanding the foregoing, the Company reserves the right to reasonably require you to perform your duties at places other than your primary office location from time to time, and to require reasonable business travel. The Company may modify your job title and duties as it deems necessary and appropriate in light of the Company’s needs and interests from time to time.</w:t>
      </w:r>
    </w:p>
    <w:p>
      <w:pPr>
        <w:spacing w:after="0" w:line="295" w:lineRule="exact"/>
        <w:rPr>
          <w:rFonts w:ascii="Arial" w:cs="Arial" w:eastAsia="Arial" w:hAnsi="Arial"/>
          <w:sz w:val="18"/>
          <w:szCs w:val="18"/>
          <w:b w:val="1"/>
          <w:bCs w:val="1"/>
          <w:color w:val="auto"/>
        </w:rPr>
      </w:pPr>
    </w:p>
    <w:p>
      <w:pPr>
        <w:ind w:left="320" w:hanging="313"/>
        <w:spacing w:after="0"/>
        <w:tabs>
          <w:tab w:leader="none" w:pos="32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 and Employee Benefits.</w:t>
      </w:r>
    </w:p>
    <w:p>
      <w:pPr>
        <w:spacing w:after="0" w:line="113" w:lineRule="exact"/>
        <w:rPr>
          <w:rFonts w:ascii="Arial" w:cs="Arial" w:eastAsia="Arial" w:hAnsi="Arial"/>
          <w:sz w:val="18"/>
          <w:szCs w:val="18"/>
          <w:b w:val="1"/>
          <w:bCs w:val="1"/>
          <w:color w:val="auto"/>
        </w:rPr>
      </w:pPr>
    </w:p>
    <w:p>
      <w:pPr>
        <w:ind w:right="180" w:firstLine="444"/>
        <w:spacing w:after="0" w:line="257" w:lineRule="auto"/>
        <w:tabs>
          <w:tab w:leader="none" w:pos="822" w:val="left"/>
        </w:tabs>
        <w:numPr>
          <w:ilvl w:val="1"/>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You will receive for services to be rendered hereunder base salary paid at the rate of $429,200 per year, less standard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and tax withholdings. Your base salary will be paid on the Company’s ordinary payroll cycle. As an exempt salaried employee, you will be required to work the Company’s normal business hours, and such additional time as appropriate for your work assignments and position, and you will not be entitled to overtime compensation.</w:t>
      </w:r>
    </w:p>
    <w:p>
      <w:pPr>
        <w:spacing w:after="0" w:line="183" w:lineRule="exact"/>
        <w:rPr>
          <w:rFonts w:ascii="Arial" w:cs="Arial" w:eastAsia="Arial" w:hAnsi="Arial"/>
          <w:sz w:val="18"/>
          <w:szCs w:val="18"/>
          <w:b w:val="1"/>
          <w:bCs w:val="1"/>
          <w:color w:val="auto"/>
        </w:rPr>
      </w:pPr>
    </w:p>
    <w:p>
      <w:pPr>
        <w:ind w:right="200" w:firstLine="444"/>
        <w:spacing w:after="0" w:line="275" w:lineRule="auto"/>
        <w:tabs>
          <w:tab w:leader="none" w:pos="832" w:val="left"/>
        </w:tabs>
        <w:numPr>
          <w:ilvl w:val="1"/>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Vacation. </w:t>
      </w:r>
      <w:r>
        <w:rPr>
          <w:rFonts w:ascii="Arial" w:cs="Arial" w:eastAsia="Arial" w:hAnsi="Arial"/>
          <w:sz w:val="18"/>
          <w:szCs w:val="18"/>
          <w:color w:val="auto"/>
        </w:rPr>
        <w:t>Your vacation days will be in accordance with the Company’s policy for Company executives. As with other Company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the vacation policy may be modified from time to time at the sole discretion of the Company.</w:t>
      </w:r>
    </w:p>
    <w:p>
      <w:pPr>
        <w:spacing w:after="0" w:line="167" w:lineRule="exact"/>
        <w:rPr>
          <w:rFonts w:ascii="Arial" w:cs="Arial" w:eastAsia="Arial" w:hAnsi="Arial"/>
          <w:sz w:val="18"/>
          <w:szCs w:val="18"/>
          <w:b w:val="1"/>
          <w:bCs w:val="1"/>
          <w:color w:val="auto"/>
        </w:rPr>
      </w:pPr>
    </w:p>
    <w:p>
      <w:pPr>
        <w:ind w:right="80" w:firstLine="444"/>
        <w:spacing w:after="0" w:line="289" w:lineRule="auto"/>
        <w:tabs>
          <w:tab w:leader="none" w:pos="812" w:val="left"/>
        </w:tabs>
        <w:numPr>
          <w:ilvl w:val="1"/>
          <w:numId w:val="4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color w:val="auto"/>
        </w:rPr>
        <w:t>The Company has previously granted to you the right to purchase and options to purchase shares of Class A Common Stock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(the “</w:t>
      </w:r>
      <w:r>
        <w:rPr>
          <w:rFonts w:ascii="Arial" w:cs="Arial" w:eastAsia="Arial" w:hAnsi="Arial"/>
          <w:sz w:val="16"/>
          <w:szCs w:val="16"/>
          <w:b w:val="1"/>
          <w:bCs w:val="1"/>
          <w:color w:val="auto"/>
        </w:rPr>
        <w:t>Prior Awards</w:t>
      </w:r>
      <w:r>
        <w:rPr>
          <w:rFonts w:ascii="Arial" w:cs="Arial" w:eastAsia="Arial" w:hAnsi="Arial"/>
          <w:sz w:val="16"/>
          <w:szCs w:val="16"/>
          <w:color w:val="auto"/>
        </w:rPr>
        <w:t>”). Each of the Prior Awards will continue to be governed by the agreement and plan under which it was granted. On the Effective Date, you will be granted an option to purchase 16,916 shares of Class A Common Stock of the Company, at a per share price equal to the fair market value of the Class A Common Stock on the date of grant (the “</w:t>
      </w:r>
      <w:r>
        <w:rPr>
          <w:rFonts w:ascii="Arial" w:cs="Arial" w:eastAsia="Arial" w:hAnsi="Arial"/>
          <w:sz w:val="16"/>
          <w:szCs w:val="16"/>
          <w:b w:val="1"/>
          <w:bCs w:val="1"/>
          <w:color w:val="auto"/>
        </w:rPr>
        <w:t>Option</w:t>
      </w:r>
      <w:r>
        <w:rPr>
          <w:rFonts w:ascii="Arial" w:cs="Arial" w:eastAsia="Arial" w:hAnsi="Arial"/>
          <w:sz w:val="16"/>
          <w:szCs w:val="16"/>
          <w:color w:val="auto"/>
        </w:rPr>
        <w:t>”), in accordance with and pursuant to the Company’s 2021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”)Subject to acceleration, as applicable, this grant will have a four-year vesting schedule with vesting to start on the Effective Date (“</w:t>
      </w:r>
      <w:r>
        <w:rPr>
          <w:rFonts w:ascii="Arial" w:cs="Arial" w:eastAsia="Arial" w:hAnsi="Arial"/>
          <w:sz w:val="16"/>
          <w:szCs w:val="16"/>
          <w:b w:val="1"/>
          <w:bCs w:val="1"/>
          <w:color w:val="auto"/>
        </w:rPr>
        <w:t>Vesting Commencement Date</w:t>
      </w:r>
      <w:r>
        <w:rPr>
          <w:rFonts w:ascii="Arial" w:cs="Arial" w:eastAsia="Arial" w:hAnsi="Arial"/>
          <w:sz w:val="16"/>
          <w:szCs w:val="16"/>
          <w:color w:val="auto"/>
        </w:rPr>
        <w:t>”), with 25% of the shares vesting on the first anniversary of the Vesting Commencement Date and the remaining shares vesting in 36 equal monthly installments on each monthly anniversary of the first anniversary of the Vesting Commencement Date.</w:t>
      </w:r>
    </w:p>
    <w:p>
      <w:pPr>
        <w:sectPr>
          <w:pgSz w:w="11900" w:h="16838" w:orient="portrait"/>
          <w:cols w:equalWidth="0" w:num="1">
            <w:col w:w="10920"/>
          </w:cols>
          <w:pgMar w:left="480" w:top="120" w:right="499" w:bottom="1440" w:gutter="0" w:footer="0" w:header="0"/>
        </w:sectPr>
      </w:pPr>
    </w:p>
    <w:bookmarkStart w:id="434" w:name="page435"/>
    <w:bookmarkEnd w:id="434"/>
    <w:p>
      <w:pPr>
        <w:ind w:left="-7" w:right="200" w:firstLine="444"/>
        <w:spacing w:after="0" w:line="261" w:lineRule="auto"/>
        <w:tabs>
          <w:tab w:leader="none" w:pos="825" w:val="left"/>
        </w:tabs>
        <w:numPr>
          <w:ilvl w:val="1"/>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Benefits. </w:t>
      </w:r>
      <w:r>
        <w:rPr>
          <w:rFonts w:ascii="Arial" w:cs="Arial" w:eastAsia="Arial" w:hAnsi="Arial"/>
          <w:sz w:val="18"/>
          <w:szCs w:val="18"/>
          <w:color w:val="auto"/>
        </w:rPr>
        <w:t>As a regular full-time employee, you will be eligible to participate in the Company’s standard employee benefits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the benefit plans and applicable policies, as may be amended from time to time), all of which are described in summary plan descriptions and policies that will be available or provided to you by the Company.</w:t>
      </w:r>
    </w:p>
    <w:p>
      <w:pPr>
        <w:spacing w:after="0" w:line="180" w:lineRule="exact"/>
        <w:rPr>
          <w:rFonts w:ascii="Arial" w:cs="Arial" w:eastAsia="Arial" w:hAnsi="Arial"/>
          <w:sz w:val="18"/>
          <w:szCs w:val="18"/>
          <w:b w:val="1"/>
          <w:bCs w:val="1"/>
          <w:color w:val="auto"/>
        </w:rPr>
      </w:pPr>
    </w:p>
    <w:p>
      <w:pPr>
        <w:ind w:left="-7" w:right="60" w:firstLine="7"/>
        <w:spacing w:after="0" w:line="269" w:lineRule="auto"/>
        <w:tabs>
          <w:tab w:leader="none" w:pos="304" w:val="left"/>
        </w:tabs>
        <w:numPr>
          <w:ilvl w:val="0"/>
          <w:numId w:val="4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Annual Bonus. </w:t>
      </w:r>
      <w:r>
        <w:rPr>
          <w:rFonts w:ascii="Arial" w:cs="Arial" w:eastAsia="Arial" w:hAnsi="Arial"/>
          <w:sz w:val="17"/>
          <w:szCs w:val="17"/>
          <w:color w:val="auto"/>
        </w:rPr>
        <w:t>You will be eligible to earn an annual performance bonus of up to 40% of your base salary rate (the “</w:t>
      </w:r>
      <w:r>
        <w:rPr>
          <w:rFonts w:ascii="Arial" w:cs="Arial" w:eastAsia="Arial" w:hAnsi="Arial"/>
          <w:sz w:val="17"/>
          <w:szCs w:val="17"/>
          <w:b w:val="1"/>
          <w:bCs w:val="1"/>
          <w:color w:val="auto"/>
        </w:rPr>
        <w:t>Annual Bonus</w:t>
      </w:r>
      <w:r>
        <w:rPr>
          <w:rFonts w:ascii="Arial" w:cs="Arial" w:eastAsia="Arial" w:hAnsi="Arial"/>
          <w:sz w:val="17"/>
          <w:szCs w:val="17"/>
          <w:color w:val="auto"/>
        </w:rPr>
        <w:t>”).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Bonus will be based upon the Company’s assessment of your performance and the Company’s attainment of written targeted goals as set by the Company in its sole discretion. Bonus payments, if any, will be subject to applicable payroll deductions and withholdings. Following the close of each calendar year, the Company will determine whether you have earned an Annual Bonus, and the amount of any such bonus, based on the achievement of such goals. No amount of Annual Bonus is guaranteed, and you must be an employee on the Annual Bonus payment date to be eligible to receive an Annual Bonus; no partial or prorated bonuses will be provided. The Annual Bonus, if earned, will be paid no later than March 15 of the calendar year after the applicable bonus year.</w:t>
      </w:r>
    </w:p>
    <w:p>
      <w:pPr>
        <w:spacing w:after="0" w:line="178" w:lineRule="exact"/>
        <w:rPr>
          <w:rFonts w:ascii="Arial" w:cs="Arial" w:eastAsia="Arial" w:hAnsi="Arial"/>
          <w:sz w:val="17"/>
          <w:szCs w:val="17"/>
          <w:b w:val="1"/>
          <w:bCs w:val="1"/>
          <w:color w:val="auto"/>
        </w:rPr>
      </w:pPr>
    </w:p>
    <w:p>
      <w:pPr>
        <w:ind w:left="-7" w:right="120" w:firstLine="7"/>
        <w:spacing w:after="0" w:line="340" w:lineRule="auto"/>
        <w:tabs>
          <w:tab w:leader="none" w:pos="304" w:val="left"/>
        </w:tabs>
        <w:numPr>
          <w:ilvl w:val="0"/>
          <w:numId w:val="4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The Company will reimburse you for reasonable travel, entertainment or other expenses incurred by you in furtherance or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performance of your duties hereunder, in accordance with the Company’s expense reimbursement policy as in effect from time to time.</w:t>
      </w:r>
    </w:p>
    <w:p>
      <w:pPr>
        <w:spacing w:after="0" w:line="120" w:lineRule="exact"/>
        <w:rPr>
          <w:rFonts w:ascii="Arial" w:cs="Arial" w:eastAsia="Arial" w:hAnsi="Arial"/>
          <w:sz w:val="16"/>
          <w:szCs w:val="16"/>
          <w:b w:val="1"/>
          <w:bCs w:val="1"/>
          <w:color w:val="auto"/>
        </w:rPr>
      </w:pPr>
    </w:p>
    <w:p>
      <w:pPr>
        <w:ind w:left="-7" w:right="160" w:firstLine="7"/>
        <w:spacing w:after="0" w:line="291" w:lineRule="auto"/>
        <w:tabs>
          <w:tab w:leader="none" w:pos="304" w:val="left"/>
        </w:tabs>
        <w:numPr>
          <w:ilvl w:val="0"/>
          <w:numId w:val="4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Confidentiality Information Agreement and Company Policies. </w:t>
      </w:r>
      <w:r>
        <w:rPr>
          <w:rFonts w:ascii="Arial" w:cs="Arial" w:eastAsia="Arial" w:hAnsi="Arial"/>
          <w:sz w:val="16"/>
          <w:szCs w:val="16"/>
          <w:color w:val="auto"/>
        </w:rPr>
        <w:t>As a condition of employment, you will continue to comply</w:t>
      </w:r>
      <w:r>
        <w:rPr>
          <w:rFonts w:ascii="Arial" w:cs="Arial" w:eastAsia="Arial" w:hAnsi="Arial"/>
          <w:sz w:val="16"/>
          <w:szCs w:val="16"/>
          <w:b w:val="1"/>
          <w:bCs w:val="1"/>
          <w:color w:val="auto"/>
        </w:rPr>
        <w:t xml:space="preserve"> </w:t>
      </w:r>
      <w:r>
        <w:rPr>
          <w:rFonts w:ascii="Arial" w:cs="Arial" w:eastAsia="Arial" w:hAnsi="Arial"/>
          <w:sz w:val="16"/>
          <w:szCs w:val="16"/>
          <w:color w:val="auto"/>
        </w:rPr>
        <w:t>with your Employee Confidential Information and Inventions Assignment Agreement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xml:space="preserve">”) with the Company. In addition, you are required to abide by the Company’s policies and procedures, as modified from time to time within the Company’s discretion, and acknowledge in writing that you have read and will continue to comply with the Company’s Employee Handbook (and provide additional such acknowledgements as the Employee Handbook may be modified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the terms of this Agreement differ from or are in conflict with the Company’s general employment policies or practices, this Agreement shall control.</w:t>
      </w:r>
    </w:p>
    <w:p>
      <w:pPr>
        <w:spacing w:after="0" w:line="159" w:lineRule="exact"/>
        <w:rPr>
          <w:rFonts w:ascii="Arial" w:cs="Arial" w:eastAsia="Arial" w:hAnsi="Arial"/>
          <w:sz w:val="16"/>
          <w:szCs w:val="16"/>
          <w:b w:val="1"/>
          <w:bCs w:val="1"/>
          <w:color w:val="auto"/>
        </w:rPr>
      </w:pPr>
    </w:p>
    <w:p>
      <w:pPr>
        <w:ind w:left="-7" w:right="40" w:firstLine="7"/>
        <w:spacing w:after="0" w:line="267" w:lineRule="auto"/>
        <w:tabs>
          <w:tab w:leader="none" w:pos="304" w:val="left"/>
        </w:tabs>
        <w:numPr>
          <w:ilvl w:val="0"/>
          <w:numId w:val="4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Protection of Third Party Information. </w:t>
      </w:r>
      <w:r>
        <w:rPr>
          <w:rFonts w:ascii="Arial" w:cs="Arial" w:eastAsia="Arial" w:hAnsi="Arial"/>
          <w:sz w:val="17"/>
          <w:szCs w:val="17"/>
          <w:color w:val="auto"/>
        </w:rPr>
        <w:t>In your work for the Company, you will be expected not to make any unauthorized use or disclosure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confidential or proprietary information, including trade secrets, of any former employer or other third party to whom you have contractual obligations to protect such information.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represent that you are able to perform your job duties within these guidelines, and you are not in unauthorized possession of any unpublished documents, materials, electronically-recorded information, or other property belonging to any former employer or other third party to whom you have a contractual obligation to protect such property. In addition, you represent and warrant that your employment by the Company will not conflict with any prior employment or consulting agreement or other agreement with any third party, that you will perform your duties to the Company without violating any such agreement(s), and that you have disclosed to the Company in writing any contract you have signed that may restrict your activities on behalf of the Company.</w:t>
      </w:r>
    </w:p>
    <w:p>
      <w:pPr>
        <w:spacing w:after="0" w:line="179" w:lineRule="exact"/>
        <w:rPr>
          <w:rFonts w:ascii="Arial" w:cs="Arial" w:eastAsia="Arial" w:hAnsi="Arial"/>
          <w:sz w:val="17"/>
          <w:szCs w:val="17"/>
          <w:b w:val="1"/>
          <w:bCs w:val="1"/>
          <w:color w:val="auto"/>
        </w:rPr>
      </w:pPr>
    </w:p>
    <w:p>
      <w:pPr>
        <w:ind w:left="-7" w:firstLine="7"/>
        <w:spacing w:after="0" w:line="261" w:lineRule="auto"/>
        <w:tabs>
          <w:tab w:leader="none" w:pos="304"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At-Will Employment Relationship. </w:t>
      </w:r>
      <w:r>
        <w:rPr>
          <w:rFonts w:ascii="Arial" w:cs="Arial" w:eastAsia="Arial" w:hAnsi="Arial"/>
          <w:sz w:val="18"/>
          <w:szCs w:val="18"/>
          <w:color w:val="auto"/>
        </w:rPr>
        <w:t>Your employment relationship with the Company is at-will. Accordingly, you may terminate your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at any time and for any reason whatsoever simply by notifying the Company; and the Company may terminate your employment at any time, with or without Cause or advance notice.</w:t>
      </w:r>
    </w:p>
    <w:p>
      <w:pPr>
        <w:sectPr>
          <w:pgSz w:w="11900" w:h="16838" w:orient="portrait"/>
          <w:cols w:equalWidth="0" w:num="1">
            <w:col w:w="10913"/>
          </w:cols>
          <w:pgMar w:left="487" w:top="268" w:right="499" w:bottom="1440" w:gutter="0" w:footer="0" w:header="0"/>
        </w:sectPr>
      </w:pPr>
    </w:p>
    <w:bookmarkStart w:id="435" w:name="page436"/>
    <w:bookmarkEnd w:id="435"/>
    <w:p>
      <w:pPr>
        <w:ind w:right="260" w:firstLine="7"/>
        <w:spacing w:after="0" w:line="286" w:lineRule="auto"/>
        <w:tabs>
          <w:tab w:leader="none" w:pos="312" w:val="left"/>
        </w:tabs>
        <w:numPr>
          <w:ilvl w:val="0"/>
          <w:numId w:val="40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Severance Absent a Change in Control. </w:t>
      </w:r>
      <w:r>
        <w:rPr>
          <w:rFonts w:ascii="Arial" w:cs="Arial" w:eastAsia="Arial" w:hAnsi="Arial"/>
          <w:sz w:val="16"/>
          <w:szCs w:val="16"/>
          <w:color w:val="auto"/>
        </w:rPr>
        <w:t>If (x) the Company terminates your employment without Cause (other than as a result of your death or</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or (y) you resign your employment with the Company for Good Reason (such terminations in “x” and “y” referred to as a “</w:t>
      </w:r>
      <w:r>
        <w:rPr>
          <w:rFonts w:ascii="Arial" w:cs="Arial" w:eastAsia="Arial" w:hAnsi="Arial"/>
          <w:sz w:val="16"/>
          <w:szCs w:val="16"/>
          <w:b w:val="1"/>
          <w:bCs w:val="1"/>
          <w:color w:val="auto"/>
        </w:rPr>
        <w:t>Qualifying</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w:t>
      </w:r>
      <w:r>
        <w:rPr>
          <w:rFonts w:ascii="Arial" w:cs="Arial" w:eastAsia="Arial" w:hAnsi="Arial"/>
          <w:sz w:val="16"/>
          <w:szCs w:val="16"/>
          <w:color w:val="auto"/>
        </w:rPr>
        <w:t>”), provided such termination or resignation constitutes a Separation from Service (as defined under Treasury Regulation</w:t>
      </w:r>
    </w:p>
    <w:p>
      <w:pPr>
        <w:spacing w:after="0" w:line="1" w:lineRule="exact"/>
        <w:rPr>
          <w:rFonts w:ascii="Arial" w:cs="Arial" w:eastAsia="Arial" w:hAnsi="Arial"/>
          <w:sz w:val="16"/>
          <w:szCs w:val="16"/>
          <w:b w:val="1"/>
          <w:bCs w:val="1"/>
          <w:color w:val="auto"/>
        </w:rPr>
      </w:pPr>
    </w:p>
    <w:p>
      <w:pPr>
        <w:ind w:right="18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Section 1.409A-1(h), without regard to any alternative definition thereunder, a “</w:t>
      </w:r>
      <w:r>
        <w:rPr>
          <w:rFonts w:ascii="Arial" w:cs="Arial" w:eastAsia="Arial" w:hAnsi="Arial"/>
          <w:sz w:val="18"/>
          <w:szCs w:val="18"/>
          <w:b w:val="1"/>
          <w:bCs w:val="1"/>
          <w:color w:val="auto"/>
        </w:rPr>
        <w:t>Separation from Service</w:t>
      </w:r>
      <w:r>
        <w:rPr>
          <w:rFonts w:ascii="Arial" w:cs="Arial" w:eastAsia="Arial" w:hAnsi="Arial"/>
          <w:sz w:val="18"/>
          <w:szCs w:val="18"/>
          <w:color w:val="auto"/>
        </w:rPr>
        <w:t>”), then subject to Sections 10, 12 and 13 below and your continued compliance with the terms of this Agreement (including without limitation Section 5 above), the Company will provide you with the following severance benefits (the “</w:t>
      </w:r>
      <w:r>
        <w:rPr>
          <w:rFonts w:ascii="Arial" w:cs="Arial" w:eastAsia="Arial" w:hAnsi="Arial"/>
          <w:sz w:val="18"/>
          <w:szCs w:val="18"/>
          <w:b w:val="1"/>
          <w:bCs w:val="1"/>
          <w:color w:val="auto"/>
        </w:rPr>
        <w:t>Non-CIC Severance Benefits</w:t>
      </w:r>
      <w:r>
        <w:rPr>
          <w:rFonts w:ascii="Arial" w:cs="Arial" w:eastAsia="Arial" w:hAnsi="Arial"/>
          <w:sz w:val="18"/>
          <w:szCs w:val="18"/>
          <w:color w:val="auto"/>
        </w:rPr>
        <w:t>”):</w:t>
      </w:r>
    </w:p>
    <w:p>
      <w:pPr>
        <w:spacing w:after="0" w:line="187" w:lineRule="exact"/>
        <w:rPr>
          <w:rFonts w:ascii="Arial" w:cs="Arial" w:eastAsia="Arial" w:hAnsi="Arial"/>
          <w:sz w:val="16"/>
          <w:szCs w:val="16"/>
          <w:b w:val="1"/>
          <w:bCs w:val="1"/>
          <w:color w:val="auto"/>
        </w:rPr>
      </w:pPr>
    </w:p>
    <w:p>
      <w:pPr>
        <w:ind w:right="100" w:firstLine="444"/>
        <w:spacing w:after="0" w:line="253" w:lineRule="auto"/>
        <w:tabs>
          <w:tab w:leader="none" w:pos="822" w:val="left"/>
        </w:tabs>
        <w:numPr>
          <w:ilvl w:val="1"/>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Cash Severance</w:t>
      </w:r>
      <w:r>
        <w:rPr>
          <w:rFonts w:ascii="Arial" w:cs="Arial" w:eastAsia="Arial" w:hAnsi="Arial"/>
          <w:sz w:val="18"/>
          <w:szCs w:val="18"/>
          <w:color w:val="auto"/>
        </w:rPr>
        <w:t>. The Company will pay you, as cash severance, nine months of your base salary in effect as of your Separation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date, less standard payroll deductions and tax withholdings (the “</w:t>
      </w:r>
      <w:r>
        <w:rPr>
          <w:rFonts w:ascii="Arial" w:cs="Arial" w:eastAsia="Arial" w:hAnsi="Arial"/>
          <w:sz w:val="18"/>
          <w:szCs w:val="18"/>
          <w:b w:val="1"/>
          <w:bCs w:val="1"/>
          <w:color w:val="auto"/>
        </w:rPr>
        <w:t>Severance</w:t>
      </w:r>
      <w:r>
        <w:rPr>
          <w:rFonts w:ascii="Arial" w:cs="Arial" w:eastAsia="Arial" w:hAnsi="Arial"/>
          <w:sz w:val="18"/>
          <w:szCs w:val="18"/>
          <w:color w:val="auto"/>
        </w:rPr>
        <w:t>”). The Severance will be paid in installments on the Company’s ordinary payroll dates, commencing on the Company’s first regular payroll date that is not more than 30 days following your Separation from Service date, provided the Release (as defined below) has become effective by such date, and shall be for any accrued base salary for the 30-day period plus the period from the 30</w:t>
      </w:r>
      <w:r>
        <w:rPr>
          <w:rFonts w:ascii="Arial" w:cs="Arial" w:eastAsia="Arial" w:hAnsi="Arial"/>
          <w:sz w:val="15"/>
          <w:szCs w:val="15"/>
          <w:color w:val="auto"/>
        </w:rPr>
        <w:t>th</w:t>
      </w:r>
      <w:r>
        <w:rPr>
          <w:rFonts w:ascii="Arial" w:cs="Arial" w:eastAsia="Arial" w:hAnsi="Arial"/>
          <w:sz w:val="18"/>
          <w:szCs w:val="18"/>
          <w:color w:val="auto"/>
        </w:rPr>
        <w:t xml:space="preserve"> day until the regular payroll date, if applicable, and all salary continuation payments thereafter, if any, shall be made in equal installments on the Company’s regular payroll dates.</w:t>
      </w:r>
    </w:p>
    <w:p>
      <w:pPr>
        <w:spacing w:after="0" w:line="188" w:lineRule="exact"/>
        <w:rPr>
          <w:rFonts w:ascii="Arial" w:cs="Arial" w:eastAsia="Arial" w:hAnsi="Arial"/>
          <w:sz w:val="18"/>
          <w:szCs w:val="18"/>
          <w:b w:val="1"/>
          <w:bCs w:val="1"/>
          <w:color w:val="auto"/>
        </w:rPr>
      </w:pPr>
    </w:p>
    <w:p>
      <w:pPr>
        <w:ind w:firstLine="444"/>
        <w:spacing w:after="0" w:line="266" w:lineRule="auto"/>
        <w:tabs>
          <w:tab w:leader="none" w:pos="832" w:val="left"/>
        </w:tabs>
        <w:numPr>
          <w:ilvl w:val="1"/>
          <w:numId w:val="405"/>
        </w:numPr>
        <w:rPr>
          <w:rFonts w:ascii="Arial" w:cs="Arial" w:eastAsia="Arial" w:hAnsi="Arial"/>
          <w:sz w:val="17"/>
          <w:szCs w:val="17"/>
          <w:b w:val="1"/>
          <w:bCs w:val="1"/>
          <w:color w:val="auto"/>
        </w:rPr>
      </w:pPr>
      <w:r>
        <w:rPr>
          <w:rFonts w:ascii="Arial" w:cs="Arial" w:eastAsia="Arial" w:hAnsi="Arial"/>
          <w:sz w:val="17"/>
          <w:szCs w:val="17"/>
          <w:b w:val="1"/>
          <w:bCs w:val="1"/>
          <w:color w:val="auto"/>
        </w:rPr>
        <w:t>COBRA Severance</w:t>
      </w:r>
      <w:r>
        <w:rPr>
          <w:rFonts w:ascii="Arial" w:cs="Arial" w:eastAsia="Arial" w:hAnsi="Arial"/>
          <w:sz w:val="17"/>
          <w:szCs w:val="17"/>
          <w:color w:val="auto"/>
        </w:rPr>
        <w:t>. As an additional severance benefit, the Company will continue to pay the cost of your and your dependents’ health care</w:t>
      </w:r>
      <w:r>
        <w:rPr>
          <w:rFonts w:ascii="Arial" w:cs="Arial" w:eastAsia="Arial" w:hAnsi="Arial"/>
          <w:sz w:val="17"/>
          <w:szCs w:val="17"/>
          <w:b w:val="1"/>
          <w:bCs w:val="1"/>
          <w:color w:val="auto"/>
        </w:rPr>
        <w:t xml:space="preserve"> </w:t>
      </w:r>
      <w:r>
        <w:rPr>
          <w:rFonts w:ascii="Arial" w:cs="Arial" w:eastAsia="Arial" w:hAnsi="Arial"/>
          <w:sz w:val="17"/>
          <w:szCs w:val="17"/>
          <w:color w:val="auto"/>
        </w:rPr>
        <w:t>coverage in effect at the time of your Separation from Service for a maximum of nine months, either under the Company’s regular health plan (if permitted), or by paying your and your dependents’ COBRA premiums (the “</w:t>
      </w:r>
      <w:r>
        <w:rPr>
          <w:rFonts w:ascii="Arial" w:cs="Arial" w:eastAsia="Arial" w:hAnsi="Arial"/>
          <w:sz w:val="17"/>
          <w:szCs w:val="17"/>
          <w:b w:val="1"/>
          <w:bCs w:val="1"/>
          <w:color w:val="auto"/>
        </w:rPr>
        <w:t>COBRA Severance</w:t>
      </w:r>
      <w:r>
        <w:rPr>
          <w:rFonts w:ascii="Arial" w:cs="Arial" w:eastAsia="Arial" w:hAnsi="Arial"/>
          <w:sz w:val="17"/>
          <w:szCs w:val="17"/>
          <w:color w:val="auto"/>
        </w:rPr>
        <w:t>”). The Company’s obligation to pay the COBRA Severance on your behalf will cease if you obtain health care coverage from another source (e.g., a new employer or spouse’s benefit plan), unless otherwise prohibited by applicable law. You must notify the Company within two weeks if you obtain coverage from a new source. This payment of COBRA Severance by the Company would not expand or extend the maximum period of COBRA coverage to which you would otherwise be entitled under applicable law. Notwithstanding the above, if the Company determines in its sole discretion that it cannot provide the foregoing COBRA Severance without potentially violating applicable law (including, without limitation, Section 2716 of the Public Health Service Act), the Company shall in lieu thereof provide to you a taxable monthly payment in an amount equal to the monthly COBRA premium that you would be required to pay to continue your and your dependents’ group health coverage in effect on the date of your termination (which amount shall be based on the premium for the first month of COBRA coverage), which payments shall be made on the last day of each month regardless of whether you elect COBRA continuation coverage and shall end on the earlier of (x) the date upon which you and your dependents obtain other coverage or (y) the last day of the ninth calendar month following your Separation from Service date.</w:t>
      </w:r>
    </w:p>
    <w:p>
      <w:pPr>
        <w:spacing w:after="0" w:line="179" w:lineRule="exact"/>
        <w:rPr>
          <w:rFonts w:ascii="Arial" w:cs="Arial" w:eastAsia="Arial" w:hAnsi="Arial"/>
          <w:sz w:val="17"/>
          <w:szCs w:val="17"/>
          <w:b w:val="1"/>
          <w:bCs w:val="1"/>
          <w:color w:val="auto"/>
        </w:rPr>
      </w:pPr>
    </w:p>
    <w:p>
      <w:pPr>
        <w:jc w:val="both"/>
        <w:ind w:right="40" w:firstLine="7"/>
        <w:spacing w:after="0" w:line="286" w:lineRule="auto"/>
        <w:tabs>
          <w:tab w:leader="none" w:pos="312" w:val="left"/>
        </w:tabs>
        <w:numPr>
          <w:ilvl w:val="0"/>
          <w:numId w:val="405"/>
        </w:numPr>
        <w:rPr>
          <w:rFonts w:ascii="Arial" w:cs="Arial" w:eastAsia="Arial" w:hAnsi="Arial"/>
          <w:sz w:val="16"/>
          <w:szCs w:val="16"/>
          <w:b w:val="1"/>
          <w:bCs w:val="1"/>
          <w:color w:val="auto"/>
        </w:rPr>
      </w:pPr>
      <w:r>
        <w:rPr>
          <w:rFonts w:ascii="Arial" w:cs="Arial" w:eastAsia="Arial" w:hAnsi="Arial"/>
          <w:sz w:val="16"/>
          <w:szCs w:val="16"/>
          <w:b w:val="1"/>
          <w:bCs w:val="1"/>
          <w:color w:val="auto"/>
        </w:rPr>
        <w:t>Change in Control Severance</w:t>
      </w:r>
      <w:r>
        <w:rPr>
          <w:rFonts w:ascii="Arial" w:cs="Arial" w:eastAsia="Arial" w:hAnsi="Arial"/>
          <w:sz w:val="16"/>
          <w:szCs w:val="16"/>
          <w:color w:val="auto"/>
        </w:rPr>
        <w:t>. In the event of a Qualifying Termination that occurs within three months prior to or within 12 months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of a Change in Control (as defined below), provided such Qualifying Termination constitutes a Separation from Service, then subject to Sections 10, 12 and 13 below and your continued compliance with the terms of this Agreement (including without limitation Section 5 above), the Company will</w:t>
      </w:r>
    </w:p>
    <w:p>
      <w:pPr>
        <w:spacing w:after="0" w:line="1" w:lineRule="exact"/>
        <w:rPr>
          <w:rFonts w:ascii="Arial" w:cs="Arial" w:eastAsia="Arial" w:hAnsi="Arial"/>
          <w:sz w:val="16"/>
          <w:szCs w:val="16"/>
          <w:b w:val="1"/>
          <w:bCs w:val="1"/>
          <w:color w:val="auto"/>
        </w:rPr>
      </w:pPr>
    </w:p>
    <w:p>
      <w:pPr>
        <w:ind w:right="20"/>
        <w:spacing w:after="0" w:line="250" w:lineRule="auto"/>
        <w:rPr>
          <w:rFonts w:ascii="Arial" w:cs="Arial" w:eastAsia="Arial" w:hAnsi="Arial"/>
          <w:sz w:val="16"/>
          <w:szCs w:val="16"/>
          <w:b w:val="1"/>
          <w:bCs w:val="1"/>
          <w:color w:val="auto"/>
        </w:rPr>
      </w:pPr>
      <w:r>
        <w:rPr>
          <w:rFonts w:ascii="Arial" w:cs="Arial" w:eastAsia="Arial" w:hAnsi="Arial"/>
          <w:sz w:val="18"/>
          <w:szCs w:val="18"/>
          <w:color w:val="auto"/>
        </w:rPr>
        <w:t>(a) accelerate the vesting of any of your then-unvested equity in the Company such that 100% of such equity shall be deemed immediately vested and exercisable as of your Separation from Service date; and (b) increase the amount of Severance described in Section 8(a) and COBRA Severance described in Section 8(b) to 12 months, and add to the cash component, as an additional severance benefit, an amount equal to your target Annual Bonus for the year of your Qualifying Termination, with such cash component to be paid in a single lump sum within ten business days after the effective date of the Release (the “</w:t>
      </w:r>
      <w:r>
        <w:rPr>
          <w:rFonts w:ascii="Arial" w:cs="Arial" w:eastAsia="Arial" w:hAnsi="Arial"/>
          <w:sz w:val="18"/>
          <w:szCs w:val="18"/>
          <w:b w:val="1"/>
          <w:bCs w:val="1"/>
          <w:color w:val="auto"/>
        </w:rPr>
        <w:t>CIC Severance Benefits</w:t>
      </w:r>
      <w:r>
        <w:rPr>
          <w:rFonts w:ascii="Arial" w:cs="Arial" w:eastAsia="Arial" w:hAnsi="Arial"/>
          <w:sz w:val="18"/>
          <w:szCs w:val="18"/>
          <w:color w:val="auto"/>
        </w:rPr>
        <w:t>”).</w:t>
      </w:r>
    </w:p>
    <w:p>
      <w:pPr>
        <w:spacing w:after="0" w:line="188" w:lineRule="exact"/>
        <w:rPr>
          <w:rFonts w:ascii="Arial" w:cs="Arial" w:eastAsia="Arial" w:hAnsi="Arial"/>
          <w:sz w:val="16"/>
          <w:szCs w:val="16"/>
          <w:b w:val="1"/>
          <w:bCs w:val="1"/>
          <w:color w:val="auto"/>
        </w:rPr>
      </w:pPr>
    </w:p>
    <w:p>
      <w:pPr>
        <w:jc w:val="both"/>
        <w:ind w:right="100" w:firstLine="7"/>
        <w:spacing w:after="0" w:line="309" w:lineRule="auto"/>
        <w:tabs>
          <w:tab w:leader="none" w:pos="401" w:val="left"/>
        </w:tabs>
        <w:numPr>
          <w:ilvl w:val="0"/>
          <w:numId w:val="405"/>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 on Severance Benefits / Clawback and Recovery</w:t>
      </w:r>
      <w:r>
        <w:rPr>
          <w:rFonts w:ascii="Arial" w:cs="Arial" w:eastAsia="Arial" w:hAnsi="Arial"/>
          <w:sz w:val="16"/>
          <w:szCs w:val="16"/>
          <w:color w:val="auto"/>
        </w:rPr>
        <w:t>. Under no circumstances will you be able to receive both the Non-CIC Severance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and the CIC Severance Benefits. Any and all Non-CIC Severance Benefits and CIC Severance Benefits provided under this Agreement will be subject to recoupment in accordance with any clawback policy that the Company adopts, including pursuant to the listing standards of any national</w:t>
      </w:r>
    </w:p>
    <w:p>
      <w:pPr>
        <w:sectPr>
          <w:pgSz w:w="11900" w:h="16838" w:orient="portrait"/>
          <w:cols w:equalWidth="0" w:num="1">
            <w:col w:w="10920"/>
          </w:cols>
          <w:pgMar w:left="480" w:top="268" w:right="499" w:bottom="1440" w:gutter="0" w:footer="0" w:header="0"/>
        </w:sectPr>
      </w:pPr>
    </w:p>
    <w:bookmarkStart w:id="436" w:name="page437"/>
    <w:bookmarkEnd w:id="436"/>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securities exchange or association on which the Company’s securities are listed or as is otherwise required by the Dodd-Frank Wall Street Reform and Consumer Protection Act or other applicable law. In addition,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may impose such other clawback, recovery or recoupment provisions as the Board determines necessary to comply with the Dodd-Frank Wall Street Reform and Consumer Protection Act or other applicable law, including but not limited to a reacquisition right in respect of previously acquired shares of common stock of the Company or other cash or property upon the occurrence of a termination of employment for Cause.</w:t>
      </w:r>
    </w:p>
    <w:p>
      <w:pPr>
        <w:spacing w:after="0" w:line="172" w:lineRule="exact"/>
        <w:rPr>
          <w:sz w:val="20"/>
          <w:szCs w:val="20"/>
          <w:color w:val="auto"/>
        </w:rPr>
      </w:pPr>
    </w:p>
    <w:p>
      <w:pPr>
        <w:ind w:firstLine="7"/>
        <w:spacing w:after="0" w:line="291" w:lineRule="auto"/>
        <w:tabs>
          <w:tab w:leader="none" w:pos="391" w:val="left"/>
        </w:tabs>
        <w:numPr>
          <w:ilvl w:val="0"/>
          <w:numId w:val="4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Resignation Without Good Reason; Death or Disability. </w:t>
      </w:r>
      <w:r>
        <w:rPr>
          <w:rFonts w:ascii="Arial" w:cs="Arial" w:eastAsia="Arial" w:hAnsi="Arial"/>
          <w:sz w:val="16"/>
          <w:szCs w:val="16"/>
          <w:color w:val="auto"/>
        </w:rPr>
        <w:t>If at any time (a) the Company terminates your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Cause, (b) you resign your employment without Good Reason, or (c) either party terminates your employment as a result of your death or disability, then in any such case you will receive only your base salary accrued through your last day of employment, as well as any unused vacation (if applicable) accrued through your last day of employment. Under these circumstances, you will not be entitled to any other form of compensation from the Company, including the Non-CIC Severance Benefits, the CIC Severance Benefits, or any other severance benefits, other than your rights to the vested portion of any equity and any other rights to which you are entitled under the Company’s benefit programs.</w:t>
      </w:r>
    </w:p>
    <w:p>
      <w:pPr>
        <w:spacing w:after="0" w:line="159" w:lineRule="exact"/>
        <w:rPr>
          <w:rFonts w:ascii="Arial" w:cs="Arial" w:eastAsia="Arial" w:hAnsi="Arial"/>
          <w:sz w:val="16"/>
          <w:szCs w:val="16"/>
          <w:b w:val="1"/>
          <w:bCs w:val="1"/>
          <w:color w:val="auto"/>
        </w:rPr>
      </w:pPr>
    </w:p>
    <w:p>
      <w:pPr>
        <w:ind w:left="400" w:hanging="393"/>
        <w:spacing w:after="0"/>
        <w:tabs>
          <w:tab w:leader="none" w:pos="400" w:val="left"/>
        </w:tabs>
        <w:numPr>
          <w:ilvl w:val="0"/>
          <w:numId w:val="4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Conditions to Receipt of the Non-CIC Severance Benefits and CIC Severance Benefits. </w:t>
      </w:r>
      <w:r>
        <w:rPr>
          <w:rFonts w:ascii="Arial" w:cs="Arial" w:eastAsia="Arial" w:hAnsi="Arial"/>
          <w:sz w:val="16"/>
          <w:szCs w:val="16"/>
          <w:color w:val="auto"/>
        </w:rPr>
        <w:t>Prior to and as a condition to your receipt of the</w:t>
      </w:r>
    </w:p>
    <w:p>
      <w:pPr>
        <w:spacing w:after="0" w:line="4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Non-CIC Severance Benefits or CIC Severance Benefits described above, you shall execute and deliver to the Company an effective release of claims in favor of the Company and substantially in the form attached as </w:t>
      </w:r>
      <w:r>
        <w:rPr>
          <w:rFonts w:ascii="Arial" w:cs="Arial" w:eastAsia="Arial" w:hAnsi="Arial"/>
          <w:sz w:val="17"/>
          <w:szCs w:val="17"/>
          <w:b w:val="1"/>
          <w:bCs w:val="1"/>
          <w:i w:val="1"/>
          <w:iCs w:val="1"/>
          <w:color w:val="auto"/>
        </w:rPr>
        <w:t>Attachment 1</w:t>
      </w:r>
      <w:r>
        <w:rPr>
          <w:rFonts w:ascii="Arial" w:cs="Arial" w:eastAsia="Arial" w:hAnsi="Arial"/>
          <w:sz w:val="17"/>
          <w:szCs w:val="17"/>
          <w:color w:val="auto"/>
        </w:rPr>
        <w:t xml:space="preserve"> to this Agreement (the “</w:t>
      </w:r>
      <w:r>
        <w:rPr>
          <w:rFonts w:ascii="Arial" w:cs="Arial" w:eastAsia="Arial" w:hAnsi="Arial"/>
          <w:sz w:val="17"/>
          <w:szCs w:val="17"/>
          <w:b w:val="1"/>
          <w:bCs w:val="1"/>
          <w:color w:val="auto"/>
        </w:rPr>
        <w:t>Release</w:t>
      </w:r>
      <w:r>
        <w:rPr>
          <w:rFonts w:ascii="Arial" w:cs="Arial" w:eastAsia="Arial" w:hAnsi="Arial"/>
          <w:sz w:val="17"/>
          <w:szCs w:val="17"/>
          <w:color w:val="auto"/>
        </w:rPr>
        <w:t>”) (which will include a non-disparagement covenant in favor of the Company) within the timeframe set forth therein, but not later than 21 days following your Separation from Service Date, and allow the Release to become effective according to its terms (by not invoking any legal right to revoke it) within any applicable time period set forth therein (such latest permitted effective date, the “</w:t>
      </w:r>
      <w:r>
        <w:rPr>
          <w:rFonts w:ascii="Arial" w:cs="Arial" w:eastAsia="Arial" w:hAnsi="Arial"/>
          <w:sz w:val="17"/>
          <w:szCs w:val="17"/>
          <w:b w:val="1"/>
          <w:bCs w:val="1"/>
          <w:color w:val="auto"/>
        </w:rPr>
        <w:t>Release Deadline</w:t>
      </w:r>
      <w:r>
        <w:rPr>
          <w:rFonts w:ascii="Arial" w:cs="Arial" w:eastAsia="Arial" w:hAnsi="Arial"/>
          <w:sz w:val="17"/>
          <w:szCs w:val="17"/>
          <w:color w:val="auto"/>
        </w:rPr>
        <w:t>”). The Release may be modified as required to conform to state-specific requirements, multiple-person terminations and/or changes in applicable state or federal law.</w:t>
      </w:r>
    </w:p>
    <w:p>
      <w:pPr>
        <w:spacing w:after="0" w:line="176" w:lineRule="exact"/>
        <w:rPr>
          <w:sz w:val="20"/>
          <w:szCs w:val="20"/>
          <w:color w:val="auto"/>
        </w:rPr>
      </w:pPr>
    </w:p>
    <w:p>
      <w:pPr>
        <w:ind w:right="40" w:firstLine="7"/>
        <w:spacing w:after="0" w:line="283" w:lineRule="auto"/>
        <w:tabs>
          <w:tab w:leader="none" w:pos="401" w:val="left"/>
        </w:tabs>
        <w:numPr>
          <w:ilvl w:val="0"/>
          <w:numId w:val="4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Return of Company Property. </w:t>
      </w:r>
      <w:r>
        <w:rPr>
          <w:rFonts w:ascii="Arial" w:cs="Arial" w:eastAsia="Arial" w:hAnsi="Arial"/>
          <w:sz w:val="16"/>
          <w:szCs w:val="16"/>
          <w:color w:val="auto"/>
        </w:rPr>
        <w:t>Within five business days after your Separation from Service Date (or earlier if requested by the Company), you</w:t>
      </w:r>
      <w:r>
        <w:rPr>
          <w:rFonts w:ascii="Arial" w:cs="Arial" w:eastAsia="Arial" w:hAnsi="Arial"/>
          <w:sz w:val="16"/>
          <w:szCs w:val="16"/>
          <w:b w:val="1"/>
          <w:bCs w:val="1"/>
          <w:color w:val="auto"/>
        </w:rPr>
        <w:t xml:space="preserve"> </w:t>
      </w:r>
      <w:r>
        <w:rPr>
          <w:rFonts w:ascii="Arial" w:cs="Arial" w:eastAsia="Arial" w:hAnsi="Arial"/>
          <w:sz w:val="16"/>
          <w:szCs w:val="16"/>
          <w:color w:val="auto"/>
        </w:rPr>
        <w:t>will return to the Company all Company documents (and all copies thereof) and other Company property within your possession, custody or control, including, but not limited to, Company files, notes, financial and operational information, customer lists and contact information, product and services information, research and development information, drawings, records, plans, forecasts, reports, payroll information, spreadsheets, studies, analyses, compilations of data, proposals, agreements, sales and marketing information, personnel information, specifications, code, software, databases, computer-recorded information, tangible property and equipment (including, but not limited to, computers,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You further agree that you will make a diligent search to locate any such documents, property and information and return them to the Company within the timeframe provided above. In addition, if you have used any personally-owned computer, server, or e-mail system to receive, store, review, prepare or transmit any confidential or proprietary data, materials or information of the Company, then within five business days after your Separation from Service date you will make best efforts to permanently delete and expunge such confidential or proprietary information from those systems without retaining any reproductions (in whole or in part). You shall deliver to the Company a signed statement certifying compliance with this Section 13 prior to the receipt of the Non-CIC Severance Benefits or CIC Severance Benefits.</w:t>
      </w:r>
    </w:p>
    <w:p>
      <w:pPr>
        <w:spacing w:after="0" w:line="172" w:lineRule="exact"/>
        <w:rPr>
          <w:rFonts w:ascii="Arial" w:cs="Arial" w:eastAsia="Arial" w:hAnsi="Arial"/>
          <w:sz w:val="16"/>
          <w:szCs w:val="16"/>
          <w:b w:val="1"/>
          <w:bCs w:val="1"/>
          <w:color w:val="auto"/>
        </w:rPr>
      </w:pPr>
    </w:p>
    <w:p>
      <w:pPr>
        <w:ind w:right="20" w:firstLine="7"/>
        <w:spacing w:after="0" w:line="277" w:lineRule="auto"/>
        <w:tabs>
          <w:tab w:leader="none" w:pos="401" w:val="left"/>
        </w:tabs>
        <w:numPr>
          <w:ilvl w:val="0"/>
          <w:numId w:val="4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Outside Activities. </w:t>
      </w:r>
      <w:r>
        <w:rPr>
          <w:rFonts w:ascii="Arial" w:cs="Arial" w:eastAsia="Arial" w:hAnsi="Arial"/>
          <w:sz w:val="17"/>
          <w:szCs w:val="17"/>
          <w:color w:val="auto"/>
        </w:rPr>
        <w:t>Throughout your employment with the Company, you may engage in civic and not-for-profit activities so long as such</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do not interfere with the performance of your duties hereunder or present a conflict of interest with the Company. Subject to the restrictions set forth herein and with the prior written consent of the Company, you may serve as a director of other corporations and may devote a reasonable amount of your time to other types of business or public activities not expressly mentioned in this paragraph. The Company</w:t>
      </w:r>
    </w:p>
    <w:p>
      <w:pPr>
        <w:sectPr>
          <w:pgSz w:w="11900" w:h="16838" w:orient="portrait"/>
          <w:cols w:equalWidth="0" w:num="1">
            <w:col w:w="10900"/>
          </w:cols>
          <w:pgMar w:left="480" w:top="272" w:right="519" w:bottom="1440" w:gutter="0" w:footer="0" w:header="0"/>
        </w:sectPr>
      </w:pPr>
    </w:p>
    <w:bookmarkStart w:id="437" w:name="page438"/>
    <w:bookmarkEnd w:id="43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may rescind its consent to your service as a director of all other corporations or participation in other business or public activities, if the Company, in its sole discretion, determines that such activities compromise or threaten to compromise the Company’s business interests or conflict with your duties to the Company.</w:t>
      </w:r>
    </w:p>
    <w:p>
      <w:pPr>
        <w:spacing w:after="0" w:line="18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1% of any class of securities of any enterprise (but without participating in the activities of such enterprise) if such securities are listed on any national or regional securities exchange.</w:t>
      </w:r>
    </w:p>
    <w:p>
      <w:pPr>
        <w:spacing w:after="0" w:line="190" w:lineRule="exact"/>
        <w:rPr>
          <w:sz w:val="20"/>
          <w:szCs w:val="20"/>
          <w:color w:val="auto"/>
        </w:rPr>
      </w:pPr>
    </w:p>
    <w:p>
      <w:pPr>
        <w:ind w:left="400" w:hanging="393"/>
        <w:spacing w:after="0"/>
        <w:tabs>
          <w:tab w:leader="none" w:pos="40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Agreement, the following terms shall have the following meanings:</w:t>
      </w:r>
    </w:p>
    <w:p>
      <w:pPr>
        <w:spacing w:after="0" w:line="22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Cause</w:t>
      </w:r>
      <w:r>
        <w:rPr>
          <w:rFonts w:ascii="Arial" w:cs="Arial" w:eastAsia="Arial" w:hAnsi="Arial"/>
          <w:sz w:val="16"/>
          <w:szCs w:val="16"/>
          <w:color w:val="auto"/>
        </w:rPr>
        <w:t>” for termination will mean your: (a) commission or conviction (including a guilty plea or plea of nolo contendere) of any felony or any other crime involving fraud, dishonesty or moral turpitude; (b) your commission or attempted commission of or participation in a fraud or act of dishonesty or misrepresentation against the Company; (c) willful and material breach of your duties to the Company;</w:t>
      </w:r>
    </w:p>
    <w:p>
      <w:pPr>
        <w:spacing w:after="0" w:line="1" w:lineRule="exact"/>
        <w:rPr>
          <w:sz w:val="20"/>
          <w:szCs w:val="20"/>
          <w:color w:val="auto"/>
        </w:rPr>
      </w:pPr>
    </w:p>
    <w:p>
      <w:pPr>
        <w:ind w:right="100" w:firstLine="7"/>
        <w:spacing w:after="0" w:line="286" w:lineRule="auto"/>
        <w:tabs>
          <w:tab w:leader="none" w:pos="252" w:val="left"/>
        </w:tabs>
        <w:numPr>
          <w:ilvl w:val="0"/>
          <w:numId w:val="409"/>
        </w:numPr>
        <w:rPr>
          <w:rFonts w:ascii="Arial" w:cs="Arial" w:eastAsia="Arial" w:hAnsi="Arial"/>
          <w:sz w:val="16"/>
          <w:szCs w:val="16"/>
          <w:color w:val="auto"/>
        </w:rPr>
      </w:pPr>
      <w:r>
        <w:rPr>
          <w:rFonts w:ascii="Arial" w:cs="Arial" w:eastAsia="Arial" w:hAnsi="Arial"/>
          <w:sz w:val="16"/>
          <w:szCs w:val="16"/>
          <w:color w:val="auto"/>
        </w:rPr>
        <w:t>willful damage to any property of the Company; (e) willful misconduct, or other willful violation of Company policy that causes harm; or (f) your material violation of any written and fully executed contract or agreement between you and the Company, including without limitation, material breach of your Confidentiality Agreement, or material breach of any Company policy, or of any statutory duty you owe to the Company; provided, however, that in the event of subparagraph (f) above, the Company will provide written notice of such alleged violation and breach and you will have 30 days from receipt of such notice to cure. For purposes of this definition of Cause, no act, or failure to act, on your part shall be considered “willful” unless it is done, or omitted to be done, by you intentionally and without reasonable belief that your action or omission was in the best interests of the Company.</w:t>
      </w:r>
    </w:p>
    <w:p>
      <w:pPr>
        <w:spacing w:after="0" w:line="166"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For purposes of this Agreement, you shall have “</w:t>
      </w:r>
      <w:r>
        <w:rPr>
          <w:rFonts w:ascii="Arial" w:cs="Arial" w:eastAsia="Arial" w:hAnsi="Arial"/>
          <w:sz w:val="17"/>
          <w:szCs w:val="17"/>
          <w:b w:val="1"/>
          <w:bCs w:val="1"/>
          <w:color w:val="auto"/>
        </w:rPr>
        <w:t>Good Reason</w:t>
      </w:r>
      <w:r>
        <w:rPr>
          <w:rFonts w:ascii="Arial" w:cs="Arial" w:eastAsia="Arial" w:hAnsi="Arial"/>
          <w:sz w:val="17"/>
          <w:szCs w:val="17"/>
          <w:color w:val="auto"/>
        </w:rPr>
        <w:t xml:space="preserve">” for resigning from employment with the Company if any of the following actions are taken by the Company without your prior written consent: (a) a material reduction in your base salary, which the parties agree is a reduction of at least 10% of your base salary (unless pursuant to a salary reduction program applicable generally to the Company’s similarly situated employees); (b) a material reduction in your duties (including responsibilities and/or authorities),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change in job position (including a change in title) shall not be deemed a “material reduction” in and of itself unless your new duties are materially reduced from the prior duties; or (c) relocation of your principal place of employment to a place that increases your one-way commute by more than 50 miles as compared to your then-current principal place of employment immediately prior to such relocation,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you work remotely during any period in which your regular principal place of employment at a Company office is closed, then neither your relocation to remote work or back to the office from remote work will be considered a relocation of your principal place of employment with the Company for purposes of this definition. In order to resign for Good Reason, you must provide written notice to the Chief Executive Officer or the Board within 30 days after each occurrence of the event giving rise to Good Reason setting forth the basis for your resignation, allow the Company at least 30 days from receipt of such written notice to cure such event, and if such event is not reasonably cured within such period, you must resign from all positions you then hold with the Company not later than 30 days after the expiration of the cure period.</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Change in Control</w:t>
      </w:r>
      <w:r>
        <w:rPr>
          <w:rFonts w:ascii="Arial" w:cs="Arial" w:eastAsia="Arial" w:hAnsi="Arial"/>
          <w:sz w:val="18"/>
          <w:szCs w:val="18"/>
          <w:color w:val="auto"/>
        </w:rPr>
        <w:t>” shall mean: (a)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 majority of the voting power of the surviving entity (or, if the surviving entity is a wholly owned subsidiary, its parent) immediately after such consolidation, merger or reorganization; (b) any transaction or series of related transactions to which the Company is a party in which in</w:t>
      </w:r>
    </w:p>
    <w:p>
      <w:pPr>
        <w:sectPr>
          <w:pgSz w:w="11900" w:h="16838" w:orient="portrait"/>
          <w:cols w:equalWidth="0" w:num="1">
            <w:col w:w="10920"/>
          </w:cols>
          <w:pgMar w:left="480" w:top="272" w:right="499" w:bottom="1440" w:gutter="0" w:footer="0" w:header="0"/>
        </w:sectPr>
      </w:pPr>
    </w:p>
    <w:bookmarkStart w:id="438" w:name="page439"/>
    <w:bookmarkEnd w:id="438"/>
    <w:p>
      <w:pPr>
        <w:ind w:right="60"/>
        <w:spacing w:after="0" w:line="30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excess of 50% of the Company’s voting power is transferred;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include any transaction or series of transactions principally for bona fide equity financing purposes in which cash is received by the Company or indebtedness of the Company is cancelled or converted or a combination thereof; or (c) a sale, lease, exclusive license or other disposition of all or substantially all of the assets of the Company.</w:t>
      </w:r>
    </w:p>
    <w:p>
      <w:pPr>
        <w:spacing w:after="0" w:line="146" w:lineRule="exact"/>
        <w:rPr>
          <w:sz w:val="20"/>
          <w:szCs w:val="20"/>
          <w:color w:val="auto"/>
        </w:rPr>
      </w:pPr>
    </w:p>
    <w:p>
      <w:pPr>
        <w:ind w:right="360" w:firstLine="7"/>
        <w:spacing w:after="0" w:line="284" w:lineRule="auto"/>
        <w:tabs>
          <w:tab w:leader="none" w:pos="401" w:val="left"/>
        </w:tabs>
        <w:numPr>
          <w:ilvl w:val="0"/>
          <w:numId w:val="4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Section 409A. </w:t>
      </w:r>
      <w:r>
        <w:rPr>
          <w:rFonts w:ascii="Arial" w:cs="Arial" w:eastAsia="Arial" w:hAnsi="Arial"/>
          <w:sz w:val="16"/>
          <w:szCs w:val="16"/>
          <w:color w:val="auto"/>
        </w:rPr>
        <w:t>It is intended that the Non-CIC Severance Benefits and CIC Severance Benefits set forth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satisfy, to the greatest extent possible, the exemptions from the application of Section 409A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(Section 409A, together with any state law of similar effect, “</w:t>
      </w:r>
      <w:r>
        <w:rPr>
          <w:rFonts w:ascii="Arial" w:cs="Arial" w:eastAsia="Arial" w:hAnsi="Arial"/>
          <w:sz w:val="16"/>
          <w:szCs w:val="16"/>
          <w:b w:val="1"/>
          <w:bCs w:val="1"/>
          <w:color w:val="auto"/>
        </w:rPr>
        <w:t>Section 409A</w:t>
      </w:r>
      <w:r>
        <w:rPr>
          <w:rFonts w:ascii="Arial" w:cs="Arial" w:eastAsia="Arial" w:hAnsi="Arial"/>
          <w:sz w:val="16"/>
          <w:szCs w:val="16"/>
          <w:color w:val="auto"/>
        </w:rPr>
        <w:t>”) provided under Treasury Regulations 1.409A-1(b)(4), 1.409A-1(b)(5) and 1.409A-1(b)(9). For purposes of Section 409A (including, without limitation, for purposes of Treasury Regulations</w:t>
      </w:r>
    </w:p>
    <w:p>
      <w:pPr>
        <w:spacing w:after="0" w:line="1" w:lineRule="exact"/>
        <w:rPr>
          <w:rFonts w:ascii="Arial" w:cs="Arial" w:eastAsia="Arial" w:hAnsi="Arial"/>
          <w:sz w:val="16"/>
          <w:szCs w:val="16"/>
          <w:b w:val="1"/>
          <w:bCs w:val="1"/>
          <w:color w:val="auto"/>
        </w:rPr>
      </w:pPr>
    </w:p>
    <w:p>
      <w:pPr>
        <w:ind w:right="20"/>
        <w:spacing w:after="0" w:line="279" w:lineRule="auto"/>
        <w:rPr>
          <w:rFonts w:ascii="Arial" w:cs="Arial" w:eastAsia="Arial" w:hAnsi="Arial"/>
          <w:sz w:val="16"/>
          <w:szCs w:val="16"/>
          <w:b w:val="1"/>
          <w:bCs w:val="1"/>
          <w:color w:val="auto"/>
        </w:rPr>
      </w:pPr>
      <w:r>
        <w:rPr>
          <w:rFonts w:ascii="Arial" w:cs="Arial" w:eastAsia="Arial" w:hAnsi="Arial"/>
          <w:sz w:val="16"/>
          <w:szCs w:val="16"/>
          <w:color w:val="auto"/>
        </w:rPr>
        <w:t>1.409A-2(b)(2)(iii)),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the Company (or, if applicable, the successor entity thereto) determines that the Non-CIC Severance Benefits or CIC Severance Benefits constitute “deferred compensation” under Section 409A and you are, on the date of your Separation from Service, a “specified employee” of the Company or any successor entity thereto, as such term is defined in Section 409A(a)(2)(B)(i) of the Code (a “</w:t>
      </w:r>
      <w:r>
        <w:rPr>
          <w:rFonts w:ascii="Arial" w:cs="Arial" w:eastAsia="Arial" w:hAnsi="Arial"/>
          <w:sz w:val="16"/>
          <w:szCs w:val="16"/>
          <w:b w:val="1"/>
          <w:bCs w:val="1"/>
          <w:color w:val="auto"/>
        </w:rPr>
        <w:t>Specified Employee</w:t>
      </w:r>
      <w:r>
        <w:rPr>
          <w:rFonts w:ascii="Arial" w:cs="Arial" w:eastAsia="Arial" w:hAnsi="Arial"/>
          <w:sz w:val="16"/>
          <w:szCs w:val="16"/>
          <w:color w:val="auto"/>
        </w:rPr>
        <w:t>”), then, solely to the extent necessary to avoid the incurrence of adverse personal tax consequences under Section 409A, the timing of the Non-CIC Severance Benefits or CIC Severance Benefits shall be delayed until the earliest of: (i) the date that is six months and one day after your Separation from Service date, (ii) the date of your death, or (iii) such earlier date as permitted under Section 409A without the imposition of adverse taxation. Upon the first business day following the expiration of such applicable Code Section 409A(a)</w:t>
      </w:r>
    </w:p>
    <w:p>
      <w:pPr>
        <w:ind w:right="60"/>
        <w:spacing w:after="0" w:line="266" w:lineRule="auto"/>
        <w:rPr>
          <w:rFonts w:ascii="Arial" w:cs="Arial" w:eastAsia="Arial" w:hAnsi="Arial"/>
          <w:sz w:val="16"/>
          <w:szCs w:val="16"/>
          <w:b w:val="1"/>
          <w:bCs w:val="1"/>
          <w:color w:val="auto"/>
        </w:rPr>
      </w:pPr>
      <w:r>
        <w:rPr>
          <w:rFonts w:ascii="Arial" w:cs="Arial" w:eastAsia="Arial" w:hAnsi="Arial"/>
          <w:sz w:val="17"/>
          <w:szCs w:val="17"/>
          <w:color w:val="auto"/>
        </w:rPr>
        <w:t>(2)(B)(i) period, all payments or benefits deferred pursuant to this section shall be paid in a lump sum or provided in full by the Company (or the successor entity thereto, as applicable), and any remaining payments due shall be paid as otherwise provided herein. No interest shall be due on any amounts so deferred. If the Non-CIC Severance Benefits or CIC Severance Benefits are not covered by one or more exemptions from the application of Section 409A and the Release could become effective in the calendar year following the calendar year in which you have a Separation from Service, the Release will not be deemed effective any earlier than the Release Deadline. The Non-CIC Severance Benefits and CIC Severance Benefits are intended to qualify for an exemption from application of Section 409A or comply with its requirements to the extent necessary to avoid adverse personal tax consequences under Section 409A, and any ambiguities herein shall be interpreted accordingly.</w:t>
      </w:r>
    </w:p>
    <w:p>
      <w:pPr>
        <w:spacing w:after="0" w:line="285" w:lineRule="exact"/>
        <w:rPr>
          <w:rFonts w:ascii="Arial" w:cs="Arial" w:eastAsia="Arial" w:hAnsi="Arial"/>
          <w:sz w:val="16"/>
          <w:szCs w:val="16"/>
          <w:b w:val="1"/>
          <w:bCs w:val="1"/>
          <w:color w:val="auto"/>
        </w:rPr>
      </w:pPr>
    </w:p>
    <w:p>
      <w:pPr>
        <w:ind w:left="400" w:hanging="393"/>
        <w:spacing w:after="0"/>
        <w:tabs>
          <w:tab w:leader="none" w:pos="400"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Section 280G; Parachute Payments.</w:t>
      </w:r>
    </w:p>
    <w:p>
      <w:pPr>
        <w:spacing w:after="0" w:line="113" w:lineRule="exact"/>
        <w:rPr>
          <w:rFonts w:ascii="Arial" w:cs="Arial" w:eastAsia="Arial" w:hAnsi="Arial"/>
          <w:sz w:val="18"/>
          <w:szCs w:val="18"/>
          <w:b w:val="1"/>
          <w:bCs w:val="1"/>
          <w:color w:val="auto"/>
        </w:rPr>
      </w:pPr>
    </w:p>
    <w:p>
      <w:pPr>
        <w:ind w:firstLine="444"/>
        <w:spacing w:after="0" w:line="267" w:lineRule="auto"/>
        <w:tabs>
          <w:tab w:leader="none" w:pos="822" w:val="left"/>
        </w:tabs>
        <w:numPr>
          <w:ilvl w:val="1"/>
          <w:numId w:val="410"/>
        </w:numPr>
        <w:rPr>
          <w:rFonts w:ascii="Arial" w:cs="Arial" w:eastAsia="Arial" w:hAnsi="Arial"/>
          <w:sz w:val="17"/>
          <w:szCs w:val="17"/>
          <w:b w:val="1"/>
          <w:bCs w:val="1"/>
          <w:color w:val="auto"/>
        </w:rPr>
      </w:pPr>
      <w:r>
        <w:rPr>
          <w:rFonts w:ascii="Arial" w:cs="Arial" w:eastAsia="Arial" w:hAnsi="Arial"/>
          <w:sz w:val="17"/>
          <w:szCs w:val="17"/>
          <w:color w:val="auto"/>
        </w:rPr>
        <w:t>If any payment or benefit you will or may receive from the Company or otherwise (a “</w:t>
      </w:r>
      <w:r>
        <w:rPr>
          <w:rFonts w:ascii="Arial" w:cs="Arial" w:eastAsia="Arial" w:hAnsi="Arial"/>
          <w:sz w:val="17"/>
          <w:szCs w:val="17"/>
          <w:b w:val="1"/>
          <w:bCs w:val="1"/>
          <w:color w:val="auto"/>
        </w:rPr>
        <w:t>280G Payment</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b w:val="1"/>
          <w:bCs w:val="1"/>
          <w:color w:val="auto"/>
        </w:rPr>
        <w:t>Excise Tax</w:t>
      </w:r>
      <w:r>
        <w:rPr>
          <w:rFonts w:ascii="Arial" w:cs="Arial" w:eastAsia="Arial" w:hAnsi="Arial"/>
          <w:sz w:val="17"/>
          <w:szCs w:val="17"/>
          <w:color w:val="auto"/>
        </w:rPr>
        <w:t>”), then any such 280G Payment provided pursuant to this Agreement (a “</w:t>
      </w:r>
      <w:r>
        <w:rPr>
          <w:rFonts w:ascii="Arial" w:cs="Arial" w:eastAsia="Arial" w:hAnsi="Arial"/>
          <w:sz w:val="17"/>
          <w:szCs w:val="17"/>
          <w:b w:val="1"/>
          <w:bCs w:val="1"/>
          <w:color w:val="auto"/>
        </w:rPr>
        <w:t>Payment</w:t>
      </w:r>
      <w:r>
        <w:rPr>
          <w:rFonts w:ascii="Arial" w:cs="Arial" w:eastAsia="Arial" w:hAnsi="Arial"/>
          <w:sz w:val="17"/>
          <w:szCs w:val="17"/>
          <w:color w:val="auto"/>
        </w:rPr>
        <w: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7"/>
          <w:szCs w:val="17"/>
          <w:b w:val="1"/>
          <w:bCs w:val="1"/>
          <w:color w:val="auto"/>
        </w:rPr>
        <w:t>Reduction Method</w:t>
      </w:r>
      <w:r>
        <w:rPr>
          <w:rFonts w:ascii="Arial" w:cs="Arial" w:eastAsia="Arial" w:hAnsi="Arial"/>
          <w:sz w:val="17"/>
          <w:szCs w:val="17"/>
          <w:color w:val="auto"/>
        </w:rPr>
        <w:t>”) that results in the greatest economic benefit for you. If more than one method of reduction will result in the same economic benefit, the items so reduced will be reduced pro rata (the “</w:t>
      </w:r>
      <w:r>
        <w:rPr>
          <w:rFonts w:ascii="Arial" w:cs="Arial" w:eastAsia="Arial" w:hAnsi="Arial"/>
          <w:sz w:val="17"/>
          <w:szCs w:val="17"/>
          <w:b w:val="1"/>
          <w:bCs w:val="1"/>
          <w:color w:val="auto"/>
        </w:rPr>
        <w:t>Pro Rata Reduction Method</w:t>
      </w:r>
      <w:r>
        <w:rPr>
          <w:rFonts w:ascii="Arial" w:cs="Arial" w:eastAsia="Arial" w:hAnsi="Arial"/>
          <w:sz w:val="17"/>
          <w:szCs w:val="17"/>
          <w:color w:val="auto"/>
        </w:rPr>
        <w:t>”).</w:t>
      </w:r>
    </w:p>
    <w:p>
      <w:pPr>
        <w:spacing w:after="0" w:line="179" w:lineRule="exact"/>
        <w:rPr>
          <w:rFonts w:ascii="Arial" w:cs="Arial" w:eastAsia="Arial" w:hAnsi="Arial"/>
          <w:sz w:val="17"/>
          <w:szCs w:val="17"/>
          <w:b w:val="1"/>
          <w:bCs w:val="1"/>
          <w:color w:val="auto"/>
        </w:rPr>
      </w:pPr>
    </w:p>
    <w:p>
      <w:pPr>
        <w:ind w:right="280" w:firstLine="444"/>
        <w:spacing w:after="0" w:line="271" w:lineRule="auto"/>
        <w:tabs>
          <w:tab w:leader="none" w:pos="832" w:val="left"/>
        </w:tabs>
        <w:numPr>
          <w:ilvl w:val="1"/>
          <w:numId w:val="410"/>
        </w:numPr>
        <w:rPr>
          <w:rFonts w:ascii="Arial" w:cs="Arial" w:eastAsia="Arial" w:hAnsi="Arial"/>
          <w:sz w:val="18"/>
          <w:szCs w:val="18"/>
          <w:b w:val="1"/>
          <w:bCs w:val="1"/>
          <w:color w:val="auto"/>
        </w:rPr>
      </w:pPr>
      <w:r>
        <w:rPr>
          <w:rFonts w:ascii="Arial" w:cs="Arial" w:eastAsia="Arial" w:hAnsi="Arial"/>
          <w:sz w:val="18"/>
          <w:szCs w:val="18"/>
          <w:color w:val="auto"/>
        </w:rPr>
        <w:t>Notwithstanding any provision of subsection (a) above to the contrary, if the Reduction Method or the Pro Rata Reduction Method would result in any portion of the Payment being subject to taxes pursuant to Section 409A</w:t>
      </w:r>
    </w:p>
    <w:p>
      <w:pPr>
        <w:sectPr>
          <w:pgSz w:w="11900" w:h="16838" w:orient="portrait"/>
          <w:cols w:equalWidth="0" w:num="1">
            <w:col w:w="10920"/>
          </w:cols>
          <w:pgMar w:left="480" w:top="272" w:right="499" w:bottom="1440" w:gutter="0" w:footer="0" w:header="0"/>
        </w:sectPr>
      </w:pPr>
    </w:p>
    <w:bookmarkStart w:id="439" w:name="page440"/>
    <w:bookmarkEnd w:id="439"/>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78" w:lineRule="exact"/>
        <w:rPr>
          <w:sz w:val="20"/>
          <w:szCs w:val="20"/>
          <w:color w:val="auto"/>
        </w:rPr>
      </w:pPr>
    </w:p>
    <w:p>
      <w:pPr>
        <w:ind w:firstLine="444"/>
        <w:spacing w:after="0" w:line="287" w:lineRule="auto"/>
        <w:tabs>
          <w:tab w:leader="none" w:pos="812" w:val="left"/>
        </w:tabs>
        <w:numPr>
          <w:ilvl w:val="1"/>
          <w:numId w:val="411"/>
        </w:numPr>
        <w:rPr>
          <w:rFonts w:ascii="Arial" w:cs="Arial" w:eastAsia="Arial" w:hAnsi="Arial"/>
          <w:sz w:val="16"/>
          <w:szCs w:val="16"/>
          <w:b w:val="1"/>
          <w:bCs w:val="1"/>
          <w:color w:val="auto"/>
        </w:rPr>
      </w:pPr>
      <w:r>
        <w:rPr>
          <w:rFonts w:ascii="Arial" w:cs="Arial" w:eastAsia="Arial" w:hAnsi="Arial"/>
          <w:sz w:val="16"/>
          <w:szCs w:val="16"/>
          <w:color w:val="auto"/>
        </w:rPr>
        <w:t>Unless you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17.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you and the Company within 15 calendar days after the date on which your right to a 280G Payment becomes reasonably likely to occur (if requested at that time by you or the Company) or such other time as requested by you or the Company.</w:t>
      </w:r>
    </w:p>
    <w:p>
      <w:pPr>
        <w:spacing w:after="0" w:line="165" w:lineRule="exact"/>
        <w:rPr>
          <w:rFonts w:ascii="Arial" w:cs="Arial" w:eastAsia="Arial" w:hAnsi="Arial"/>
          <w:sz w:val="16"/>
          <w:szCs w:val="16"/>
          <w:b w:val="1"/>
          <w:bCs w:val="1"/>
          <w:color w:val="auto"/>
        </w:rPr>
      </w:pPr>
    </w:p>
    <w:p>
      <w:pPr>
        <w:ind w:right="100" w:firstLine="444"/>
        <w:spacing w:after="0" w:line="272" w:lineRule="auto"/>
        <w:tabs>
          <w:tab w:leader="none" w:pos="832" w:val="left"/>
        </w:tabs>
        <w:numPr>
          <w:ilvl w:val="1"/>
          <w:numId w:val="411"/>
        </w:numPr>
        <w:rPr>
          <w:rFonts w:ascii="Arial" w:cs="Arial" w:eastAsia="Arial" w:hAnsi="Arial"/>
          <w:sz w:val="17"/>
          <w:szCs w:val="17"/>
          <w:b w:val="1"/>
          <w:bCs w:val="1"/>
          <w:color w:val="auto"/>
        </w:rPr>
      </w:pPr>
      <w:r>
        <w:rPr>
          <w:rFonts w:ascii="Arial" w:cs="Arial" w:eastAsia="Arial" w:hAnsi="Arial"/>
          <w:sz w:val="17"/>
          <w:szCs w:val="17"/>
          <w:color w:val="auto"/>
        </w:rPr>
        <w:t>If you receive a Payment for which the Reduced Amount was determined pursuant to clause (x) of Section 17(a) and the Internal Revenue Service determines thereafter that some portion of the Payment is subject to the Excise Tax, Executive agrees to promptly return to the Company a sufficient amount of the Payment (after reduction pursuant to clause (x) of Section 17(a)) so that no portion of the remaining Payment is subject to the Excise Tax. For the avoidance of doubt, if the Reduced Amount was determined pursuant to clause (y) of Section 17(a), you shall have no obligation to return any portion of the Payment pursuant to the preceding sentence.</w:t>
      </w:r>
    </w:p>
    <w:p>
      <w:pPr>
        <w:spacing w:after="0" w:line="172" w:lineRule="exact"/>
        <w:rPr>
          <w:rFonts w:ascii="Arial" w:cs="Arial" w:eastAsia="Arial" w:hAnsi="Arial"/>
          <w:sz w:val="17"/>
          <w:szCs w:val="17"/>
          <w:b w:val="1"/>
          <w:bCs w:val="1"/>
          <w:color w:val="auto"/>
        </w:rPr>
      </w:pPr>
    </w:p>
    <w:p>
      <w:pPr>
        <w:ind w:right="60" w:firstLine="7"/>
        <w:spacing w:after="0" w:line="282" w:lineRule="auto"/>
        <w:tabs>
          <w:tab w:leader="none" w:pos="401" w:val="left"/>
        </w:tabs>
        <w:numPr>
          <w:ilvl w:val="0"/>
          <w:numId w:val="4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Dispute Resolution. </w:t>
      </w:r>
      <w:r>
        <w:rPr>
          <w:rFonts w:ascii="Arial" w:cs="Arial" w:eastAsia="Arial" w:hAnsi="Arial"/>
          <w:sz w:val="16"/>
          <w:szCs w:val="16"/>
          <w:color w:val="auto"/>
        </w:rPr>
        <w:t>To ensure the timely and economical resolution of disputes that may arise in connection with your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you and the Company agree that any and all disputes, claims, or causes of action arising from or relating to the enforcement, breach, performance, negotiation, execution, or interpretation of this Agreement, your employment, or the termination of your employment, including but not limited to statutory claims, will be resolved pursuant to the Federal Arbitration Act, 9 U.S.C. § 1-16 to the fullest extent permitted by law by final, binding and confidential arbitration, by a single arbitrator, in San Francisco, California, conducted by JAMS, Inc. (“</w:t>
      </w:r>
      <w:r>
        <w:rPr>
          <w:rFonts w:ascii="Arial" w:cs="Arial" w:eastAsia="Arial" w:hAnsi="Arial"/>
          <w:sz w:val="16"/>
          <w:szCs w:val="16"/>
          <w:b w:val="1"/>
          <w:bCs w:val="1"/>
          <w:color w:val="auto"/>
        </w:rPr>
        <w:t>JAMS</w:t>
      </w:r>
      <w:r>
        <w:rPr>
          <w:rFonts w:ascii="Arial" w:cs="Arial" w:eastAsia="Arial" w:hAnsi="Arial"/>
          <w:sz w:val="16"/>
          <w:szCs w:val="16"/>
          <w:color w:val="auto"/>
        </w:rPr>
        <w:t xml:space="preserve">”) under the then-applicable JAMS rules (available at the following web address: </w:t>
      </w:r>
      <w:r>
        <w:rPr>
          <w:rFonts w:ascii="Arial" w:cs="Arial" w:eastAsia="Arial" w:hAnsi="Arial"/>
          <w:sz w:val="16"/>
          <w:szCs w:val="16"/>
          <w:u w:val="single" w:color="auto"/>
          <w:color w:val="auto"/>
        </w:rPr>
        <w:t>http://www.jamsadr.com/rules-employment-arbitration/</w:t>
      </w:r>
      <w:r>
        <w:rPr>
          <w:rFonts w:ascii="Arial" w:cs="Arial" w:eastAsia="Arial" w:hAnsi="Arial"/>
          <w:sz w:val="16"/>
          <w:szCs w:val="16"/>
          <w:color w:val="auto"/>
        </w:rPr>
        <w:t xml:space="preserve">, and which will be provided to you on request). </w:t>
      </w:r>
      <w:r>
        <w:rPr>
          <w:rFonts w:ascii="Arial" w:cs="Arial" w:eastAsia="Arial" w:hAnsi="Arial"/>
          <w:sz w:val="16"/>
          <w:szCs w:val="16"/>
          <w:b w:val="1"/>
          <w:bCs w:val="1"/>
          <w:color w:val="auto"/>
        </w:rPr>
        <w:t>By agreeing to this arbitration procedure, both you and the Company waive the right to resolve any such dispute through a trial by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jury or judge or administrative proceeding. </w:t>
      </w:r>
      <w:r>
        <w:rPr>
          <w:rFonts w:ascii="Arial" w:cs="Arial" w:eastAsia="Arial" w:hAnsi="Arial"/>
          <w:sz w:val="16"/>
          <w:szCs w:val="16"/>
          <w:color w:val="auto"/>
        </w:rPr>
        <w:t>You will have the right to be represented by legal counsel at any arbitration proceeding. In addition, all</w:t>
      </w:r>
      <w:r>
        <w:rPr>
          <w:rFonts w:ascii="Arial" w:cs="Arial" w:eastAsia="Arial" w:hAnsi="Arial"/>
          <w:sz w:val="16"/>
          <w:szCs w:val="16"/>
          <w:b w:val="1"/>
          <w:bCs w:val="1"/>
          <w:color w:val="auto"/>
        </w:rPr>
        <w:t xml:space="preserve"> </w:t>
      </w:r>
      <w:r>
        <w:rPr>
          <w:rFonts w:ascii="Arial" w:cs="Arial" w:eastAsia="Arial" w:hAnsi="Arial"/>
          <w:sz w:val="16"/>
          <w:szCs w:val="16"/>
          <w:color w:val="auto"/>
        </w:rPr>
        <w:t>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 otherwise invalid (collectively, the “</w:t>
      </w:r>
      <w:r>
        <w:rPr>
          <w:rFonts w:ascii="Arial" w:cs="Arial" w:eastAsia="Arial" w:hAnsi="Arial"/>
          <w:sz w:val="16"/>
          <w:szCs w:val="16"/>
          <w:b w:val="1"/>
          <w:bCs w:val="1"/>
          <w:color w:val="auto"/>
        </w:rPr>
        <w:t>Excluded Claims</w:t>
      </w:r>
      <w:r>
        <w:rPr>
          <w:rFonts w:ascii="Arial" w:cs="Arial" w:eastAsia="Arial" w:hAnsi="Arial"/>
          <w:sz w:val="16"/>
          <w:szCs w:val="16"/>
          <w:color w:val="auto"/>
        </w:rPr>
        <w:t>”). In the event you intend to bring multiple claims, including</w:t>
      </w:r>
    </w:p>
    <w:p>
      <w:pPr>
        <w:sectPr>
          <w:pgSz w:w="11900" w:h="16838" w:orient="portrait"/>
          <w:cols w:equalWidth="0" w:num="1">
            <w:col w:w="10900"/>
          </w:cols>
          <w:pgMar w:left="480" w:top="272" w:right="519" w:bottom="1440" w:gutter="0" w:footer="0" w:header="0"/>
        </w:sectPr>
      </w:pPr>
    </w:p>
    <w:bookmarkStart w:id="440" w:name="page441"/>
    <w:bookmarkEnd w:id="440"/>
    <w:p>
      <w:pPr>
        <w:ind w:right="1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one of the Excluded Claims listed above, the Excluded Claims may be filed with a court, while any other claims will remain subject to mandatory arbitration.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you or the Company would be entitled to seek in a court of law. The Company shall pay all JAMS’ arbitration fees in excess of the amount of court fees that would be required of you if the dispute were decided in a court of law. Nothing in this letter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76" w:lineRule="exact"/>
        <w:rPr>
          <w:sz w:val="20"/>
          <w:szCs w:val="20"/>
          <w:color w:val="auto"/>
        </w:rPr>
      </w:pPr>
    </w:p>
    <w:p>
      <w:pPr>
        <w:ind w:firstLine="7"/>
        <w:spacing w:after="0" w:line="266" w:lineRule="auto"/>
        <w:tabs>
          <w:tab w:leader="none" w:pos="401" w:val="left"/>
        </w:tabs>
        <w:numPr>
          <w:ilvl w:val="0"/>
          <w:numId w:val="4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This Agreement, together with your Confidentiality Agreement, forms the complete and exclusive statement of your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 the Company. It supersedes any other agreements or promises made to you by anyone, whether oral or written. Changes in your employment terms, other than those changes expressly reserved to the Company’s or Board’s discretion in this Agreement, require a written modification approved by the Company and signed by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executed in counterparts which shall be deemed to be part of one original, and facsimile and electronic image copies of signatures shall be equivalent to original signatures.</w:t>
      </w:r>
    </w:p>
    <w:p>
      <w:pPr>
        <w:spacing w:after="0" w:line="186"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We are delighted to be making this offer of continued employment and look forward to your favorable reply and continuing our productive and enjoyable work relationship.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Sincerely,</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455"/>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Marshall W. Fordyce, M.D.</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8"/>
                <w:szCs w:val="18"/>
                <w:color w:val="auto"/>
              </w:rPr>
              <w:t>Marshall W. Fordyce, M.D.</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455"/>
        </w:trPr>
        <w:tc>
          <w:tcPr>
            <w:tcW w:w="4360" w:type="dxa"/>
            <w:vAlign w:val="bottom"/>
          </w:tcPr>
          <w:p>
            <w:pPr>
              <w:spacing w:after="0"/>
              <w:rPr>
                <w:sz w:val="20"/>
                <w:szCs w:val="20"/>
                <w:color w:val="auto"/>
              </w:rPr>
            </w:pPr>
            <w:r>
              <w:rPr>
                <w:rFonts w:ascii="Arial" w:cs="Arial" w:eastAsia="Arial" w:hAnsi="Arial"/>
                <w:sz w:val="18"/>
                <w:szCs w:val="18"/>
                <w:b w:val="1"/>
                <w:bCs w:val="1"/>
                <w:color w:val="auto"/>
              </w:rPr>
              <w:t>Reviewed, Understood, and Accepted:</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389"/>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Celia Lin, M.D.</w:t>
            </w:r>
          </w:p>
        </w:tc>
        <w:tc>
          <w:tcPr>
            <w:tcW w:w="14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7, 2021</w:t>
            </w:r>
          </w:p>
        </w:tc>
      </w:tr>
      <w:tr>
        <w:trPr>
          <w:trHeight w:val="233"/>
        </w:trPr>
        <w:tc>
          <w:tcPr>
            <w:tcW w:w="4360" w:type="dxa"/>
            <w:vAlign w:val="bottom"/>
          </w:tcPr>
          <w:p>
            <w:pPr>
              <w:spacing w:after="0"/>
              <w:rPr>
                <w:sz w:val="20"/>
                <w:szCs w:val="20"/>
                <w:color w:val="auto"/>
              </w:rPr>
            </w:pPr>
            <w:r>
              <w:rPr>
                <w:rFonts w:ascii="Arial" w:cs="Arial" w:eastAsia="Arial" w:hAnsi="Arial"/>
                <w:sz w:val="18"/>
                <w:szCs w:val="18"/>
                <w:color w:val="auto"/>
              </w:rPr>
              <w:t>Celia Lin, M.D.</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Date</w:t>
            </w:r>
          </w:p>
        </w:tc>
      </w:tr>
      <w:tr>
        <w:trPr>
          <w:trHeight w:val="428"/>
        </w:trPr>
        <w:tc>
          <w:tcPr>
            <w:tcW w:w="4360" w:type="dxa"/>
            <w:vAlign w:val="bottom"/>
          </w:tcPr>
          <w:p>
            <w:pPr>
              <w:spacing w:after="0"/>
              <w:rPr>
                <w:sz w:val="20"/>
                <w:szCs w:val="20"/>
                <w:color w:val="auto"/>
              </w:rPr>
            </w:pPr>
            <w:r>
              <w:rPr>
                <w:rFonts w:ascii="Arial" w:cs="Arial" w:eastAsia="Arial" w:hAnsi="Arial"/>
                <w:sz w:val="18"/>
                <w:szCs w:val="18"/>
                <w:b w:val="1"/>
                <w:bCs w:val="1"/>
                <w:color w:val="auto"/>
              </w:rPr>
              <w:t>Attachment 1: Form of Release</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160" w:type="dxa"/>
            <w:vAlign w:val="bottom"/>
          </w:tcPr>
          <w:p>
            <w:pPr>
              <w:spacing w:after="0"/>
              <w:rPr>
                <w:sz w:val="24"/>
                <w:szCs w:val="24"/>
                <w:color w:val="auto"/>
              </w:rPr>
            </w:pPr>
          </w:p>
        </w:tc>
      </w:tr>
    </w:tbl>
    <w:p>
      <w:pPr>
        <w:sectPr>
          <w:pgSz w:w="11900" w:h="16838" w:orient="portrait"/>
          <w:cols w:equalWidth="0" w:num="1">
            <w:col w:w="10920"/>
          </w:cols>
          <w:pgMar w:left="480" w:top="272" w:right="499" w:bottom="1440" w:gutter="0" w:footer="0" w:header="0"/>
        </w:sectPr>
      </w:pPr>
    </w:p>
    <w:bookmarkStart w:id="441" w:name="page442"/>
    <w:bookmarkEnd w:id="441"/>
    <w:p>
      <w:pPr>
        <w:jc w:val="right"/>
        <w:spacing w:after="0"/>
        <w:rPr>
          <w:sz w:val="20"/>
          <w:szCs w:val="20"/>
          <w:color w:val="auto"/>
        </w:rPr>
      </w:pPr>
      <w:r>
        <w:rPr>
          <w:rFonts w:ascii="Arial" w:cs="Arial" w:eastAsia="Arial" w:hAnsi="Arial"/>
          <w:sz w:val="18"/>
          <w:szCs w:val="18"/>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Vera Therapeutics,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May 10, 2021</w:t>
      </w:r>
    </w:p>
    <w:sectPr>
      <w:pgSz w:w="11900" w:h="16838" w:orient="portrait"/>
      <w:cols w:equalWidth="0" w:num="1">
        <w:col w:w="10920"/>
      </w:cols>
      <w:pgMar w:left="48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502870"/>
    <w:multiLevelType w:val="hybridMultilevel"/>
    <w:lvl w:ilvl="0">
      <w:lvlJc w:val="left"/>
      <w:lvlText w:val="(%1)"/>
      <w:numFmt w:val="decimal"/>
      <w:start w:val="1"/>
    </w:lvl>
  </w:abstractNum>
  <w:abstractNum w:abstractNumId="1">
    <w:nsid w:val="1DE8725A"/>
    <w:multiLevelType w:val="hybridMultilevel"/>
    <w:lvl w:ilvl="0">
      <w:lvlJc w:val="left"/>
      <w:lvlText w:val="(%1)"/>
      <w:numFmt w:val="decimal"/>
      <w:start w:val="1"/>
    </w:lvl>
  </w:abstractNum>
  <w:abstractNum w:abstractNumId="2">
    <w:nsid w:val="6A37288A"/>
    <w:multiLevelType w:val="hybridMultilevel"/>
    <w:lvl w:ilvl="0">
      <w:lvlJc w:val="left"/>
      <w:lvlText w:val="∎"/>
      <w:numFmt w:val="bullet"/>
      <w:start w:val="1"/>
    </w:lvl>
  </w:abstractNum>
  <w:abstractNum w:abstractNumId="3">
    <w:nsid w:val="8F8B73F"/>
    <w:multiLevelType w:val="hybridMultilevel"/>
    <w:lvl w:ilvl="0">
      <w:lvlJc w:val="left"/>
      <w:lvlText w:val="∎"/>
      <w:numFmt w:val="bullet"/>
      <w:start w:val="1"/>
    </w:lvl>
  </w:abstractNum>
  <w:abstractNum w:abstractNumId="4">
    <w:nsid w:val="CA6B462"/>
    <w:multiLevelType w:val="hybridMultilevel"/>
    <w:lvl w:ilvl="0">
      <w:lvlJc w:val="left"/>
      <w:lvlText w:val="∎"/>
      <w:numFmt w:val="bullet"/>
      <w:start w:val="1"/>
    </w:lvl>
  </w:abstractNum>
  <w:abstractNum w:abstractNumId="5">
    <w:nsid w:val="763CB680"/>
    <w:multiLevelType w:val="hybridMultilevel"/>
    <w:lvl w:ilvl="0">
      <w:lvlJc w:val="left"/>
      <w:lvlText w:val="∎"/>
      <w:numFmt w:val="bullet"/>
      <w:start w:val="1"/>
    </w:lvl>
  </w:abstractNum>
  <w:abstractNum w:abstractNumId="6">
    <w:nsid w:val="15B71329"/>
    <w:multiLevelType w:val="hybridMultilevel"/>
    <w:lvl w:ilvl="0">
      <w:lvlJc w:val="left"/>
      <w:lvlText w:val="(%1)"/>
      <w:numFmt w:val="lowerRoman"/>
      <w:start w:val="2"/>
    </w:lvl>
    <w:lvl w:ilvl="1">
      <w:lvlJc w:val="left"/>
      <w:lvlText w:val="∎"/>
      <w:numFmt w:val="bullet"/>
      <w:start w:val="1"/>
    </w:lvl>
  </w:abstractNum>
  <w:abstractNum w:abstractNumId="7">
    <w:nsid w:val="3DA97044"/>
    <w:multiLevelType w:val="hybridMultilevel"/>
    <w:lvl w:ilvl="0">
      <w:lvlJc w:val="left"/>
      <w:lvlText w:val="∎"/>
      <w:numFmt w:val="bullet"/>
      <w:start w:val="1"/>
    </w:lvl>
  </w:abstractNum>
  <w:abstractNum w:abstractNumId="8">
    <w:nsid w:val="1CDCE2DE"/>
    <w:multiLevelType w:val="hybridMultilevel"/>
    <w:lvl w:ilvl="0">
      <w:lvlJc w:val="left"/>
      <w:lvlText w:val="∎"/>
      <w:numFmt w:val="bullet"/>
      <w:start w:val="1"/>
    </w:lvl>
  </w:abstractNum>
  <w:abstractNum w:abstractNumId="9">
    <w:nsid w:val="69D3947C"/>
    <w:multiLevelType w:val="hybridMultilevel"/>
    <w:lvl w:ilvl="0">
      <w:lvlJc w:val="left"/>
      <w:lvlText w:val="%1"/>
      <w:numFmt w:val="decimal"/>
      <w:start w:val="1"/>
    </w:lvl>
    <w:lvl w:ilvl="1">
      <w:lvlJc w:val="left"/>
      <w:lvlText w:val="(%2)"/>
      <w:numFmt w:val="decimal"/>
      <w:start w:val="1"/>
    </w:lvl>
  </w:abstractNum>
  <w:abstractNum w:abstractNumId="10">
    <w:nsid w:val="2539DFA5"/>
    <w:multiLevelType w:val="hybridMultilevel"/>
    <w:lvl w:ilvl="0">
      <w:lvlJc w:val="left"/>
      <w:lvlText w:val="(%1)"/>
      <w:numFmt w:val="decimal"/>
      <w:start w:val="2"/>
    </w:lvl>
    <w:lvl w:ilvl="1">
      <w:lvlJc w:val="left"/>
      <w:lvlText w:val="%2"/>
      <w:numFmt w:val="decimal"/>
      <w:start w:val="1"/>
    </w:lvl>
  </w:abstractNum>
  <w:abstractNum w:abstractNumId="11">
    <w:nsid w:val="2DB88089"/>
    <w:multiLevelType w:val="hybridMultilevel"/>
    <w:lvl w:ilvl="0">
      <w:lvlJc w:val="left"/>
      <w:lvlText w:val="(%1)"/>
      <w:numFmt w:val="decimal"/>
      <w:start w:val="1"/>
    </w:lvl>
  </w:abstractNum>
  <w:abstractNum w:abstractNumId="12">
    <w:nsid w:val="706B674E"/>
    <w:multiLevelType w:val="hybridMultilevel"/>
    <w:lvl w:ilvl="0">
      <w:lvlJc w:val="left"/>
      <w:lvlText w:val="∎"/>
      <w:numFmt w:val="bullet"/>
      <w:start w:val="1"/>
    </w:lvl>
  </w:abstractNum>
  <w:abstractNum w:abstractNumId="13">
    <w:nsid w:val="2C106A57"/>
    <w:multiLevelType w:val="hybridMultilevel"/>
    <w:lvl w:ilvl="0">
      <w:lvlJc w:val="left"/>
      <w:lvlText w:val="∎"/>
      <w:numFmt w:val="bullet"/>
      <w:start w:val="1"/>
    </w:lvl>
  </w:abstractNum>
  <w:abstractNum w:abstractNumId="14">
    <w:nsid w:val="684EED59"/>
    <w:multiLevelType w:val="hybridMultilevel"/>
    <w:lvl w:ilvl="0">
      <w:lvlJc w:val="left"/>
      <w:lvlText w:val="∎"/>
      <w:numFmt w:val="bullet"/>
      <w:start w:val="1"/>
    </w:lvl>
  </w:abstractNum>
  <w:abstractNum w:abstractNumId="15">
    <w:nsid w:val="545EE5D3"/>
    <w:multiLevelType w:val="hybridMultilevel"/>
    <w:lvl w:ilvl="0">
      <w:lvlJc w:val="left"/>
      <w:lvlText w:val="∎"/>
      <w:numFmt w:val="bullet"/>
      <w:start w:val="1"/>
    </w:lvl>
  </w:abstractNum>
  <w:abstractNum w:abstractNumId="16">
    <w:nsid w:val="4A66051"/>
    <w:multiLevelType w:val="hybridMultilevel"/>
    <w:lvl w:ilvl="0">
      <w:lvlJc w:val="left"/>
      <w:lvlText w:val="∎"/>
      <w:numFmt w:val="bullet"/>
      <w:start w:val="1"/>
    </w:lvl>
  </w:abstractNum>
  <w:abstractNum w:abstractNumId="17">
    <w:nsid w:val="20F4BDAD"/>
    <w:multiLevelType w:val="hybridMultilevel"/>
    <w:lvl w:ilvl="0">
      <w:lvlJc w:val="left"/>
      <w:lvlText w:val="∎"/>
      <w:numFmt w:val="bullet"/>
      <w:start w:val="1"/>
    </w:lvl>
  </w:abstractNum>
  <w:abstractNum w:abstractNumId="18">
    <w:nsid w:val="639DEFAC"/>
    <w:multiLevelType w:val="hybridMultilevel"/>
    <w:lvl w:ilvl="0">
      <w:lvlJc w:val="left"/>
      <w:lvlText w:val="∎"/>
      <w:numFmt w:val="bullet"/>
      <w:start w:val="1"/>
    </w:lvl>
  </w:abstractNum>
  <w:abstractNum w:abstractNumId="19">
    <w:nsid w:val="501F9786"/>
    <w:multiLevelType w:val="hybridMultilevel"/>
    <w:lvl w:ilvl="0">
      <w:lvlJc w:val="left"/>
      <w:lvlText w:val="∎"/>
      <w:numFmt w:val="bullet"/>
      <w:start w:val="1"/>
    </w:lvl>
  </w:abstractNum>
  <w:abstractNum w:abstractNumId="20">
    <w:nsid w:val="6B057295"/>
    <w:multiLevelType w:val="hybridMultilevel"/>
    <w:lvl w:ilvl="0">
      <w:lvlJc w:val="left"/>
      <w:lvlText w:val="∎"/>
      <w:numFmt w:val="bullet"/>
      <w:start w:val="1"/>
    </w:lvl>
  </w:abstractNum>
  <w:abstractNum w:abstractNumId="21">
    <w:nsid w:val="2771AC80"/>
    <w:multiLevelType w:val="hybridMultilevel"/>
    <w:lvl w:ilvl="0">
      <w:lvlJc w:val="left"/>
      <w:lvlText w:val="∎"/>
      <w:numFmt w:val="bullet"/>
      <w:start w:val="1"/>
    </w:lvl>
  </w:abstractNum>
  <w:abstractNum w:abstractNumId="22">
    <w:nsid w:val="1C4A08EC"/>
    <w:multiLevelType w:val="hybridMultilevel"/>
    <w:lvl w:ilvl="0">
      <w:lvlJc w:val="left"/>
      <w:lvlText w:val="∎"/>
      <w:numFmt w:val="bullet"/>
      <w:start w:val="1"/>
    </w:lvl>
  </w:abstractNum>
  <w:abstractNum w:abstractNumId="23">
    <w:nsid w:val="1958BD17"/>
    <w:multiLevelType w:val="hybridMultilevel"/>
    <w:lvl w:ilvl="0">
      <w:lvlJc w:val="left"/>
      <w:lvlText w:val="∎"/>
      <w:numFmt w:val="bullet"/>
      <w:start w:val="1"/>
    </w:lvl>
  </w:abstractNum>
  <w:abstractNum w:abstractNumId="24">
    <w:nsid w:val="4E647FE4"/>
    <w:multiLevelType w:val="hybridMultilevel"/>
    <w:lvl w:ilvl="0">
      <w:lvlJc w:val="left"/>
      <w:lvlText w:val="∎"/>
      <w:numFmt w:val="bullet"/>
      <w:start w:val="1"/>
    </w:lvl>
  </w:abstractNum>
  <w:abstractNum w:abstractNumId="25">
    <w:nsid w:val="E0BB885"/>
    <w:multiLevelType w:val="hybridMultilevel"/>
    <w:lvl w:ilvl="0">
      <w:lvlJc w:val="left"/>
      <w:lvlText w:val="∎"/>
      <w:numFmt w:val="bullet"/>
      <w:start w:val="1"/>
    </w:lvl>
  </w:abstractNum>
  <w:abstractNum w:abstractNumId="26">
    <w:nsid w:val="565976F1"/>
    <w:multiLevelType w:val="hybridMultilevel"/>
    <w:lvl w:ilvl="0">
      <w:lvlJc w:val="left"/>
      <w:lvlText w:val="∎"/>
      <w:numFmt w:val="bullet"/>
      <w:start w:val="1"/>
    </w:lvl>
  </w:abstractNum>
  <w:abstractNum w:abstractNumId="27">
    <w:nsid w:val="64212B8C"/>
    <w:multiLevelType w:val="hybridMultilevel"/>
    <w:lvl w:ilvl="0">
      <w:lvlJc w:val="left"/>
      <w:lvlText w:val="∎"/>
      <w:numFmt w:val="bullet"/>
      <w:start w:val="1"/>
    </w:lvl>
  </w:abstractNum>
  <w:abstractNum w:abstractNumId="28">
    <w:nsid w:val="5C17530C"/>
    <w:multiLevelType w:val="hybridMultilevel"/>
    <w:lvl w:ilvl="0">
      <w:lvlJc w:val="left"/>
      <w:lvlText w:val="∎"/>
      <w:numFmt w:val="bullet"/>
      <w:start w:val="1"/>
    </w:lvl>
  </w:abstractNum>
  <w:abstractNum w:abstractNumId="29">
    <w:nsid w:val="19A52566"/>
    <w:multiLevelType w:val="hybridMultilevel"/>
    <w:lvl w:ilvl="0">
      <w:lvlJc w:val="left"/>
      <w:lvlText w:val="∎"/>
      <w:numFmt w:val="bullet"/>
      <w:start w:val="1"/>
    </w:lvl>
  </w:abstractNum>
  <w:abstractNum w:abstractNumId="30">
    <w:nsid w:val="335A1DF1"/>
    <w:multiLevelType w:val="hybridMultilevel"/>
    <w:lvl w:ilvl="0">
      <w:lvlJc w:val="left"/>
      <w:lvlText w:val="∎"/>
      <w:numFmt w:val="bullet"/>
      <w:start w:val="1"/>
    </w:lvl>
  </w:abstractNum>
  <w:abstractNum w:abstractNumId="31">
    <w:nsid w:val="28677B7C"/>
    <w:multiLevelType w:val="hybridMultilevel"/>
    <w:lvl w:ilvl="0">
      <w:lvlJc w:val="left"/>
      <w:lvlText w:val="∎"/>
      <w:numFmt w:val="bullet"/>
      <w:start w:val="1"/>
    </w:lvl>
  </w:abstractNum>
  <w:abstractNum w:abstractNumId="32">
    <w:nsid w:val="378D97C0"/>
    <w:multiLevelType w:val="hybridMultilevel"/>
    <w:lvl w:ilvl="0">
      <w:lvlJc w:val="left"/>
      <w:lvlText w:val="∎"/>
      <w:numFmt w:val="bullet"/>
      <w:start w:val="1"/>
    </w:lvl>
  </w:abstractNum>
  <w:abstractNum w:abstractNumId="33">
    <w:nsid w:val="1D91467C"/>
    <w:multiLevelType w:val="hybridMultilevel"/>
    <w:lvl w:ilvl="0">
      <w:lvlJc w:val="left"/>
      <w:lvlText w:val="∎"/>
      <w:numFmt w:val="bullet"/>
      <w:start w:val="1"/>
    </w:lvl>
  </w:abstractNum>
  <w:abstractNum w:abstractNumId="34">
    <w:nsid w:val="316032BB"/>
    <w:multiLevelType w:val="hybridMultilevel"/>
    <w:lvl w:ilvl="0">
      <w:lvlJc w:val="left"/>
      <w:lvlText w:val="∎"/>
      <w:numFmt w:val="bullet"/>
      <w:start w:val="1"/>
    </w:lvl>
  </w:abstractNum>
  <w:abstractNum w:abstractNumId="35">
    <w:nsid w:val="44344C22"/>
    <w:multiLevelType w:val="hybridMultilevel"/>
    <w:lvl w:ilvl="0">
      <w:lvlJc w:val="left"/>
      <w:lvlText w:val="∎"/>
      <w:numFmt w:val="bullet"/>
      <w:start w:val="1"/>
    </w:lvl>
  </w:abstractNum>
  <w:abstractNum w:abstractNumId="36">
    <w:nsid w:val="13CDFCFC"/>
    <w:multiLevelType w:val="hybridMultilevel"/>
    <w:lvl w:ilvl="0">
      <w:lvlJc w:val="left"/>
      <w:lvlText w:val="∎"/>
      <w:numFmt w:val="bullet"/>
      <w:start w:val="1"/>
    </w:lvl>
  </w:abstractNum>
  <w:abstractNum w:abstractNumId="37">
    <w:nsid w:val="471745E4"/>
    <w:multiLevelType w:val="hybridMultilevel"/>
    <w:lvl w:ilvl="0">
      <w:lvlJc w:val="left"/>
      <w:lvlText w:val="∎"/>
      <w:numFmt w:val="bullet"/>
      <w:start w:val="1"/>
    </w:lvl>
  </w:abstractNum>
  <w:abstractNum w:abstractNumId="38">
    <w:nsid w:val="1DDBC66"/>
    <w:multiLevelType w:val="hybridMultilevel"/>
    <w:lvl w:ilvl="0">
      <w:lvlJc w:val="left"/>
      <w:lvlText w:val="∎"/>
      <w:numFmt w:val="bullet"/>
      <w:start w:val="1"/>
    </w:lvl>
  </w:abstractNum>
  <w:abstractNum w:abstractNumId="39">
    <w:nsid w:val="30AADFDA"/>
    <w:multiLevelType w:val="hybridMultilevel"/>
    <w:lvl w:ilvl="0">
      <w:lvlJc w:val="left"/>
      <w:lvlText w:val="∎"/>
      <w:numFmt w:val="bullet"/>
      <w:start w:val="1"/>
    </w:lvl>
  </w:abstractNum>
  <w:abstractNum w:abstractNumId="40">
    <w:nsid w:val="30EADA61"/>
    <w:multiLevelType w:val="hybridMultilevel"/>
    <w:lvl w:ilvl="0">
      <w:lvlJc w:val="left"/>
      <w:lvlText w:val="∎"/>
      <w:numFmt w:val="bullet"/>
      <w:start w:val="1"/>
    </w:lvl>
  </w:abstractNum>
  <w:abstractNum w:abstractNumId="41">
    <w:nsid w:val="27179C0B"/>
    <w:multiLevelType w:val="hybridMultilevel"/>
    <w:lvl w:ilvl="0">
      <w:lvlJc w:val="left"/>
      <w:lvlText w:val="∎"/>
      <w:numFmt w:val="bullet"/>
      <w:start w:val="1"/>
    </w:lvl>
  </w:abstractNum>
  <w:abstractNum w:abstractNumId="42">
    <w:nsid w:val="5E636063"/>
    <w:multiLevelType w:val="hybridMultilevel"/>
    <w:lvl w:ilvl="0">
      <w:lvlJc w:val="left"/>
      <w:lvlText w:val="∎"/>
      <w:numFmt w:val="bullet"/>
      <w:start w:val="1"/>
    </w:lvl>
  </w:abstractNum>
  <w:abstractNum w:abstractNumId="43">
    <w:nsid w:val="215641AF"/>
    <w:multiLevelType w:val="hybridMultilevel"/>
    <w:lvl w:ilvl="0">
      <w:lvlJc w:val="left"/>
      <w:lvlText w:val="∎"/>
      <w:numFmt w:val="bullet"/>
      <w:start w:val="1"/>
    </w:lvl>
  </w:abstractNum>
  <w:abstractNum w:abstractNumId="44">
    <w:nsid w:val="53280662"/>
    <w:multiLevelType w:val="hybridMultilevel"/>
    <w:lvl w:ilvl="0">
      <w:lvlJc w:val="left"/>
      <w:lvlText w:val="∎"/>
      <w:numFmt w:val="bullet"/>
      <w:start w:val="1"/>
    </w:lvl>
  </w:abstractNum>
  <w:abstractNum w:abstractNumId="45">
    <w:nsid w:val="46B24DBC"/>
    <w:multiLevelType w:val="hybridMultilevel"/>
    <w:lvl w:ilvl="0">
      <w:lvlJc w:val="left"/>
      <w:lvlText w:val="∎"/>
      <w:numFmt w:val="bullet"/>
      <w:start w:val="1"/>
    </w:lvl>
  </w:abstractNum>
  <w:abstractNum w:abstractNumId="46">
    <w:nsid w:val="75B52783"/>
    <w:multiLevelType w:val="hybridMultilevel"/>
    <w:lvl w:ilvl="0">
      <w:lvlJc w:val="left"/>
      <w:lvlText w:val="∎"/>
      <w:numFmt w:val="bullet"/>
      <w:start w:val="1"/>
    </w:lvl>
  </w:abstractNum>
  <w:abstractNum w:abstractNumId="47">
    <w:nsid w:val="57CE66B4"/>
    <w:multiLevelType w:val="hybridMultilevel"/>
    <w:lvl w:ilvl="0">
      <w:lvlJc w:val="left"/>
      <w:lvlText w:val="∎"/>
      <w:numFmt w:val="bullet"/>
      <w:start w:val="1"/>
    </w:lvl>
  </w:abstractNum>
  <w:abstractNum w:abstractNumId="48">
    <w:nsid w:val="67A70B69"/>
    <w:multiLevelType w:val="hybridMultilevel"/>
    <w:lvl w:ilvl="0">
      <w:lvlJc w:val="left"/>
      <w:lvlText w:val="∎"/>
      <w:numFmt w:val="bullet"/>
      <w:start w:val="1"/>
    </w:lvl>
  </w:abstractNum>
  <w:abstractNum w:abstractNumId="49">
    <w:nsid w:val="5953172F"/>
    <w:multiLevelType w:val="hybridMultilevel"/>
    <w:lvl w:ilvl="0">
      <w:lvlJc w:val="left"/>
      <w:lvlText w:val="∎"/>
      <w:numFmt w:val="bullet"/>
      <w:start w:val="1"/>
    </w:lvl>
  </w:abstractNum>
  <w:abstractNum w:abstractNumId="50">
    <w:nsid w:val="27EDFE3A"/>
    <w:multiLevelType w:val="hybridMultilevel"/>
    <w:lvl w:ilvl="0">
      <w:lvlJc w:val="left"/>
      <w:lvlText w:val="∎"/>
      <w:numFmt w:val="bullet"/>
      <w:start w:val="1"/>
    </w:lvl>
  </w:abstractNum>
  <w:abstractNum w:abstractNumId="51">
    <w:nsid w:val="52AC7DFF"/>
    <w:multiLevelType w:val="hybridMultilevel"/>
    <w:lvl w:ilvl="0">
      <w:lvlJc w:val="left"/>
      <w:lvlText w:val="∎"/>
      <w:numFmt w:val="bullet"/>
      <w:start w:val="1"/>
    </w:lvl>
  </w:abstractNum>
  <w:abstractNum w:abstractNumId="52">
    <w:nsid w:val="C4C3AF"/>
    <w:multiLevelType w:val="hybridMultilevel"/>
    <w:lvl w:ilvl="0">
      <w:lvlJc w:val="left"/>
      <w:lvlText w:val="∎"/>
      <w:numFmt w:val="bullet"/>
      <w:start w:val="1"/>
    </w:lvl>
  </w:abstractNum>
  <w:abstractNum w:abstractNumId="53">
    <w:nsid w:val="44380727"/>
    <w:multiLevelType w:val="hybridMultilevel"/>
    <w:lvl w:ilvl="0">
      <w:lvlJc w:val="left"/>
      <w:lvlText w:val="∎"/>
      <w:numFmt w:val="bullet"/>
      <w:start w:val="1"/>
    </w:lvl>
  </w:abstractNum>
  <w:abstractNum w:abstractNumId="54">
    <w:nsid w:val="6C053B16"/>
    <w:multiLevelType w:val="hybridMultilevel"/>
    <w:lvl w:ilvl="0">
      <w:lvlJc w:val="left"/>
      <w:lvlText w:val="∎"/>
      <w:numFmt w:val="bullet"/>
      <w:start w:val="1"/>
    </w:lvl>
  </w:abstractNum>
  <w:abstractNum w:abstractNumId="55">
    <w:nsid w:val="4F294393"/>
    <w:multiLevelType w:val="hybridMultilevel"/>
    <w:lvl w:ilvl="0">
      <w:lvlJc w:val="left"/>
      <w:lvlText w:val="∎"/>
      <w:numFmt w:val="bullet"/>
      <w:start w:val="1"/>
    </w:lvl>
  </w:abstractNum>
  <w:abstractNum w:abstractNumId="56">
    <w:nsid w:val="5243BFAC"/>
    <w:multiLevelType w:val="hybridMultilevel"/>
    <w:lvl w:ilvl="0">
      <w:lvlJc w:val="left"/>
      <w:lvlText w:val="∎"/>
      <w:numFmt w:val="bullet"/>
      <w:start w:val="1"/>
    </w:lvl>
  </w:abstractNum>
  <w:abstractNum w:abstractNumId="57">
    <w:nsid w:val="425EB207"/>
    <w:multiLevelType w:val="hybridMultilevel"/>
    <w:lvl w:ilvl="0">
      <w:lvlJc w:val="left"/>
      <w:lvlText w:val="∎"/>
      <w:numFmt w:val="bullet"/>
      <w:start w:val="1"/>
    </w:lvl>
  </w:abstractNum>
  <w:abstractNum w:abstractNumId="58">
    <w:nsid w:val="334A6F1F"/>
    <w:multiLevelType w:val="hybridMultilevel"/>
    <w:lvl w:ilvl="0">
      <w:lvlJc w:val="left"/>
      <w:lvlText w:val="∎"/>
      <w:numFmt w:val="bullet"/>
      <w:start w:val="1"/>
    </w:lvl>
  </w:abstractNum>
  <w:abstractNum w:abstractNumId="59">
    <w:nsid w:val="2E5B12B8"/>
    <w:multiLevelType w:val="hybridMultilevel"/>
    <w:lvl w:ilvl="0">
      <w:lvlJc w:val="left"/>
      <w:lvlText w:val="∎"/>
      <w:numFmt w:val="bullet"/>
      <w:start w:val="1"/>
    </w:lvl>
  </w:abstractNum>
  <w:abstractNum w:abstractNumId="60">
    <w:nsid w:val="5C03D76D"/>
    <w:multiLevelType w:val="hybridMultilevel"/>
    <w:lvl w:ilvl="0">
      <w:lvlJc w:val="left"/>
      <w:lvlText w:val="∎"/>
      <w:numFmt w:val="bullet"/>
      <w:start w:val="1"/>
    </w:lvl>
  </w:abstractNum>
  <w:abstractNum w:abstractNumId="61">
    <w:nsid w:val="66A48D11"/>
    <w:multiLevelType w:val="hybridMultilevel"/>
    <w:lvl w:ilvl="0">
      <w:lvlJc w:val="left"/>
      <w:lvlText w:val="∎"/>
      <w:numFmt w:val="bullet"/>
      <w:start w:val="1"/>
    </w:lvl>
  </w:abstractNum>
  <w:abstractNum w:abstractNumId="62">
    <w:nsid w:val="56C28E34"/>
    <w:multiLevelType w:val="hybridMultilevel"/>
    <w:lvl w:ilvl="0">
      <w:lvlJc w:val="left"/>
      <w:lvlText w:val="∎"/>
      <w:numFmt w:val="bullet"/>
      <w:start w:val="1"/>
    </w:lvl>
  </w:abstractNum>
  <w:abstractNum w:abstractNumId="63">
    <w:nsid w:val="13916F2D"/>
    <w:multiLevelType w:val="hybridMultilevel"/>
    <w:lvl w:ilvl="0">
      <w:lvlJc w:val="left"/>
      <w:lvlText w:val="∎"/>
      <w:numFmt w:val="bullet"/>
      <w:start w:val="1"/>
    </w:lvl>
  </w:abstractNum>
  <w:abstractNum w:abstractNumId="64">
    <w:nsid w:val="435D38D"/>
    <w:multiLevelType w:val="hybridMultilevel"/>
    <w:lvl w:ilvl="0">
      <w:lvlJc w:val="left"/>
      <w:lvlText w:val="∎"/>
      <w:numFmt w:val="bullet"/>
      <w:start w:val="1"/>
    </w:lvl>
  </w:abstractNum>
  <w:abstractNum w:abstractNumId="65">
    <w:nsid w:val="822C0EF"/>
    <w:multiLevelType w:val="hybridMultilevel"/>
    <w:lvl w:ilvl="0">
      <w:lvlJc w:val="left"/>
      <w:lvlText w:val="∎"/>
      <w:numFmt w:val="bullet"/>
      <w:start w:val="1"/>
    </w:lvl>
  </w:abstractNum>
  <w:abstractNum w:abstractNumId="66">
    <w:nsid w:val="57C5BB4F"/>
    <w:multiLevelType w:val="hybridMultilevel"/>
    <w:lvl w:ilvl="0">
      <w:lvlJc w:val="left"/>
      <w:lvlText w:val="∎"/>
      <w:numFmt w:val="bullet"/>
      <w:start w:val="1"/>
    </w:lvl>
  </w:abstractNum>
  <w:abstractNum w:abstractNumId="67">
    <w:nsid w:val="1803D089"/>
    <w:multiLevelType w:val="hybridMultilevel"/>
    <w:lvl w:ilvl="0">
      <w:lvlJc w:val="left"/>
      <w:lvlText w:val="∎"/>
      <w:numFmt w:val="bullet"/>
      <w:start w:val="1"/>
    </w:lvl>
  </w:abstractNum>
  <w:abstractNum w:abstractNumId="68">
    <w:nsid w:val="4F3A06D4"/>
    <w:multiLevelType w:val="hybridMultilevel"/>
    <w:lvl w:ilvl="0">
      <w:lvlJc w:val="left"/>
      <w:lvlText w:val="(%1)"/>
      <w:numFmt w:val="lowerRoman"/>
      <w:start w:val="3"/>
    </w:lvl>
  </w:abstractNum>
  <w:abstractNum w:abstractNumId="69">
    <w:nsid w:val="59A377B6"/>
    <w:multiLevelType w:val="hybridMultilevel"/>
    <w:lvl w:ilvl="0">
      <w:lvlJc w:val="left"/>
      <w:lvlText w:val="∎"/>
      <w:numFmt w:val="bullet"/>
      <w:start w:val="1"/>
    </w:lvl>
  </w:abstractNum>
  <w:abstractNum w:abstractNumId="70">
    <w:nsid w:val="48AEB063"/>
    <w:multiLevelType w:val="hybridMultilevel"/>
    <w:lvl w:ilvl="0">
      <w:lvlJc w:val="left"/>
      <w:lvlText w:val="∎"/>
      <w:numFmt w:val="bullet"/>
      <w:start w:val="1"/>
    </w:lvl>
  </w:abstractNum>
  <w:abstractNum w:abstractNumId="71">
    <w:nsid w:val="24E135"/>
    <w:multiLevelType w:val="hybridMultilevel"/>
    <w:lvl w:ilvl="0">
      <w:lvlJc w:val="left"/>
      <w:lvlText w:val="∎"/>
      <w:numFmt w:val="bullet"/>
      <w:start w:val="1"/>
    </w:lvl>
  </w:abstractNum>
  <w:abstractNum w:abstractNumId="72">
    <w:nsid w:val="BB13C1"/>
    <w:multiLevelType w:val="hybridMultilevel"/>
    <w:lvl w:ilvl="0">
      <w:lvlJc w:val="left"/>
      <w:lvlText w:val="∎"/>
      <w:numFmt w:val="bullet"/>
      <w:start w:val="1"/>
    </w:lvl>
  </w:abstractNum>
  <w:abstractNum w:abstractNumId="73">
    <w:nsid w:val="271210C7"/>
    <w:multiLevelType w:val="hybridMultilevel"/>
    <w:lvl w:ilvl="0">
      <w:lvlJc w:val="left"/>
      <w:lvlText w:val="∎"/>
      <w:numFmt w:val="bullet"/>
      <w:start w:val="1"/>
    </w:lvl>
  </w:abstractNum>
  <w:abstractNum w:abstractNumId="74">
    <w:nsid w:val="217B22E4"/>
    <w:multiLevelType w:val="hybridMultilevel"/>
    <w:lvl w:ilvl="0">
      <w:lvlJc w:val="left"/>
      <w:lvlText w:val="(%1)"/>
      <w:numFmt w:val="decimal"/>
      <w:start w:val="1"/>
    </w:lvl>
  </w:abstractNum>
  <w:abstractNum w:abstractNumId="75">
    <w:nsid w:val="53E31A24"/>
    <w:multiLevelType w:val="hybridMultilevel"/>
    <w:lvl w:ilvl="0">
      <w:lvlJc w:val="left"/>
      <w:lvlText w:val="∎"/>
      <w:numFmt w:val="bullet"/>
      <w:start w:val="1"/>
    </w:lvl>
  </w:abstractNum>
  <w:abstractNum w:abstractNumId="76">
    <w:nsid w:val="6DC45E83"/>
    <w:multiLevelType w:val="hybridMultilevel"/>
    <w:lvl w:ilvl="0">
      <w:lvlJc w:val="left"/>
      <w:lvlText w:val="∎"/>
      <w:numFmt w:val="bullet"/>
      <w:start w:val="1"/>
    </w:lvl>
  </w:abstractNum>
  <w:abstractNum w:abstractNumId="77">
    <w:nsid w:val="17304A67"/>
    <w:multiLevelType w:val="hybridMultilevel"/>
    <w:lvl w:ilvl="0">
      <w:lvlJc w:val="left"/>
      <w:lvlText w:val="∎"/>
      <w:numFmt w:val="bullet"/>
      <w:start w:val="1"/>
    </w:lvl>
  </w:abstractNum>
  <w:abstractNum w:abstractNumId="78">
    <w:nsid w:val="2BB180D8"/>
    <w:multiLevelType w:val="hybridMultilevel"/>
    <w:lvl w:ilvl="0">
      <w:lvlJc w:val="left"/>
      <w:lvlText w:val="∎"/>
      <w:numFmt w:val="bullet"/>
      <w:start w:val="1"/>
    </w:lvl>
  </w:abstractNum>
  <w:abstractNum w:abstractNumId="79">
    <w:nsid w:val="556B69ED"/>
    <w:multiLevelType w:val="hybridMultilevel"/>
    <w:lvl w:ilvl="0">
      <w:lvlJc w:val="left"/>
      <w:lvlText w:val="∎"/>
      <w:numFmt w:val="bullet"/>
      <w:start w:val="1"/>
    </w:lvl>
  </w:abstractNum>
  <w:abstractNum w:abstractNumId="80">
    <w:nsid w:val="70836196"/>
    <w:multiLevelType w:val="hybridMultilevel"/>
    <w:lvl w:ilvl="0">
      <w:lvlJc w:val="left"/>
      <w:lvlText w:val="(%1)"/>
      <w:numFmt w:val="decimal"/>
      <w:start w:val="1"/>
    </w:lvl>
  </w:abstractNum>
  <w:abstractNum w:abstractNumId="81">
    <w:nsid w:val="539F7F12"/>
    <w:multiLevelType w:val="hybridMultilevel"/>
    <w:lvl w:ilvl="0">
      <w:lvlJc w:val="left"/>
      <w:lvlText w:val="∎"/>
      <w:numFmt w:val="bullet"/>
      <w:start w:val="1"/>
    </w:lvl>
  </w:abstractNum>
  <w:abstractNum w:abstractNumId="82">
    <w:nsid w:val="2817E7EC"/>
    <w:multiLevelType w:val="hybridMultilevel"/>
    <w:lvl w:ilvl="0">
      <w:lvlJc w:val="left"/>
      <w:lvlText w:val="∎"/>
      <w:numFmt w:val="bullet"/>
      <w:start w:val="1"/>
    </w:lvl>
  </w:abstractNum>
  <w:abstractNum w:abstractNumId="83">
    <w:nsid w:val="71482545"/>
    <w:multiLevelType w:val="hybridMultilevel"/>
    <w:lvl w:ilvl="0">
      <w:lvlJc w:val="left"/>
      <w:lvlText w:val="(%1)"/>
      <w:numFmt w:val="decimal"/>
      <w:start w:val="1"/>
    </w:lvl>
  </w:abstractNum>
  <w:abstractNum w:abstractNumId="84">
    <w:nsid w:val="17D78639"/>
    <w:multiLevelType w:val="hybridMultilevel"/>
    <w:lvl w:ilvl="0">
      <w:lvlJc w:val="left"/>
      <w:lvlText w:val="(%1)"/>
      <w:numFmt w:val="decimal"/>
      <w:start w:val="1"/>
    </w:lvl>
  </w:abstractNum>
  <w:abstractNum w:abstractNumId="85">
    <w:nsid w:val="141D2302"/>
    <w:multiLevelType w:val="hybridMultilevel"/>
    <w:lvl w:ilvl="0">
      <w:lvlJc w:val="left"/>
      <w:lvlText w:val="(%1)"/>
      <w:numFmt w:val="decimal"/>
      <w:start w:val="1"/>
    </w:lvl>
  </w:abstractNum>
  <w:abstractNum w:abstractNumId="86">
    <w:nsid w:val="407168D8"/>
    <w:multiLevelType w:val="hybridMultilevel"/>
    <w:lvl w:ilvl="0">
      <w:lvlJc w:val="left"/>
      <w:lvlText w:val="(%1)"/>
      <w:numFmt w:val="decimal"/>
      <w:start w:val="3"/>
    </w:lvl>
  </w:abstractNum>
  <w:abstractNum w:abstractNumId="87">
    <w:nsid w:val="6A1B45E5"/>
    <w:multiLevelType w:val="hybridMultilevel"/>
    <w:lvl w:ilvl="0">
      <w:lvlJc w:val="left"/>
      <w:lvlText w:val="∎"/>
      <w:numFmt w:val="bullet"/>
      <w:start w:val="1"/>
    </w:lvl>
  </w:abstractNum>
  <w:abstractNum w:abstractNumId="88">
    <w:nsid w:val="567BD50A"/>
    <w:multiLevelType w:val="hybridMultilevel"/>
    <w:lvl w:ilvl="0">
      <w:lvlJc w:val="left"/>
      <w:lvlText w:val="(%1)"/>
      <w:numFmt w:val="lowerRoman"/>
      <w:start w:val="2"/>
    </w:lvl>
  </w:abstractNum>
  <w:abstractNum w:abstractNumId="89">
    <w:nsid w:val="73BBD7F8"/>
    <w:multiLevelType w:val="hybridMultilevel"/>
    <w:lvl w:ilvl="0">
      <w:lvlJc w:val="left"/>
      <w:lvlText w:val="(%1)"/>
      <w:numFmt w:val="lowerRoman"/>
      <w:start w:val="4"/>
    </w:lvl>
  </w:abstractNum>
  <w:abstractNum w:abstractNumId="90">
    <w:nsid w:val="1876589D"/>
    <w:multiLevelType w:val="hybridMultilevel"/>
    <w:lvl w:ilvl="0">
      <w:lvlJc w:val="left"/>
      <w:lvlText w:val="∎"/>
      <w:numFmt w:val="bullet"/>
      <w:start w:val="1"/>
    </w:lvl>
  </w:abstractNum>
  <w:abstractNum w:abstractNumId="91">
    <w:nsid w:val="327FAC77"/>
    <w:multiLevelType w:val="hybridMultilevel"/>
    <w:lvl w:ilvl="0">
      <w:lvlJc w:val="left"/>
      <w:lvlText w:val="∎"/>
      <w:numFmt w:val="bullet"/>
      <w:start w:val="1"/>
    </w:lvl>
  </w:abstractNum>
  <w:abstractNum w:abstractNumId="92">
    <w:nsid w:val="5A606509"/>
    <w:multiLevelType w:val="hybridMultilevel"/>
    <w:lvl w:ilvl="0">
      <w:lvlJc w:val="left"/>
      <w:lvlText w:val="(%1)"/>
      <w:numFmt w:val="decimal"/>
      <w:start w:val="1"/>
    </w:lvl>
  </w:abstractNum>
  <w:abstractNum w:abstractNumId="93">
    <w:nsid w:val="6F38E6D1"/>
    <w:multiLevelType w:val="hybridMultilevel"/>
    <w:lvl w:ilvl="0">
      <w:lvlJc w:val="left"/>
      <w:lvlText w:val="(%1)"/>
      <w:numFmt w:val="decimal"/>
      <w:start w:val="1"/>
    </w:lvl>
    <w:lvl w:ilvl="1">
      <w:lvlJc w:val="left"/>
      <w:lvlText w:val="(%2)"/>
      <w:numFmt w:val="decimal"/>
      <w:start w:val="8"/>
    </w:lvl>
  </w:abstractNum>
  <w:abstractNum w:abstractNumId="94">
    <w:nsid w:val="46111BA5"/>
    <w:multiLevelType w:val="hybridMultilevel"/>
    <w:lvl w:ilvl="0">
      <w:lvlJc w:val="left"/>
      <w:lvlText w:val="(%1)"/>
      <w:numFmt w:val="decimal"/>
      <w:start w:val="9"/>
    </w:lvl>
  </w:abstractNum>
  <w:abstractNum w:abstractNumId="95">
    <w:nsid w:val="5E963896"/>
    <w:multiLevelType w:val="hybridMultilevel"/>
    <w:lvl w:ilvl="0">
      <w:lvlJc w:val="left"/>
      <w:lvlText w:val="∎"/>
      <w:numFmt w:val="bullet"/>
      <w:start w:val="1"/>
    </w:lvl>
  </w:abstractNum>
  <w:abstractNum w:abstractNumId="96">
    <w:nsid w:val="775BA7C1"/>
    <w:multiLevelType w:val="hybridMultilevel"/>
    <w:lvl w:ilvl="0">
      <w:lvlJc w:val="left"/>
      <w:lvlText w:val="(%1)"/>
      <w:numFmt w:val="decimal"/>
    </w:lvl>
    <w:lvl w:ilvl="1">
      <w:lvlJc w:val="left"/>
      <w:lvlText w:val="*"/>
      <w:numFmt w:val="bullet"/>
      <w:start w:val="1"/>
    </w:lvl>
  </w:abstractNum>
  <w:abstractNum w:abstractNumId="97">
    <w:nsid w:val="1DD6D6F4"/>
    <w:multiLevelType w:val="hybridMultilevel"/>
    <w:lvl w:ilvl="0">
      <w:lvlJc w:val="left"/>
      <w:lvlText w:val="(%1)"/>
      <w:numFmt w:val="decimal"/>
      <w:start w:val="3"/>
    </w:lvl>
  </w:abstractNum>
  <w:abstractNum w:abstractNumId="98">
    <w:nsid w:val="769A091F"/>
    <w:multiLevelType w:val="hybridMultilevel"/>
    <w:lvl w:ilvl="0">
      <w:lvlJc w:val="left"/>
      <w:lvlText w:val="(%1)"/>
      <w:numFmt w:val="decimal"/>
      <w:start w:val="10"/>
    </w:lvl>
  </w:abstractNum>
  <w:abstractNum w:abstractNumId="99">
    <w:nsid w:val="4695AE95"/>
    <w:multiLevelType w:val="hybridMultilevel"/>
    <w:lvl w:ilvl="0">
      <w:lvlJc w:val="left"/>
      <w:lvlText w:val="∎"/>
      <w:numFmt w:val="bullet"/>
      <w:start w:val="1"/>
    </w:lvl>
  </w:abstractNum>
  <w:abstractNum w:abstractNumId="100">
    <w:nsid w:val="777A4EAA"/>
    <w:multiLevelType w:val="hybridMultilevel"/>
    <w:lvl w:ilvl="0">
      <w:lvlJc w:val="left"/>
      <w:lvlText w:val="∎"/>
      <w:numFmt w:val="bullet"/>
      <w:start w:val="1"/>
    </w:lvl>
  </w:abstractNum>
  <w:abstractNum w:abstractNumId="101">
    <w:nsid w:val="3F48B982"/>
    <w:multiLevelType w:val="hybridMultilevel"/>
    <w:lvl w:ilvl="0">
      <w:lvlJc w:val="left"/>
      <w:lvlText w:val="∎"/>
      <w:numFmt w:val="bullet"/>
      <w:start w:val="1"/>
    </w:lvl>
  </w:abstractNum>
  <w:abstractNum w:abstractNumId="102">
    <w:nsid w:val="46BA8FCA"/>
    <w:multiLevelType w:val="hybridMultilevel"/>
    <w:lvl w:ilvl="0">
      <w:lvlJc w:val="left"/>
      <w:lvlText w:val="∎"/>
      <w:numFmt w:val="bullet"/>
      <w:start w:val="1"/>
    </w:lvl>
  </w:abstractNum>
  <w:abstractNum w:abstractNumId="103">
    <w:nsid w:val="7835626C"/>
    <w:multiLevelType w:val="hybridMultilevel"/>
    <w:lvl w:ilvl="0">
      <w:lvlJc w:val="left"/>
      <w:lvlText w:val="∎"/>
      <w:numFmt w:val="bullet"/>
      <w:start w:val="1"/>
    </w:lvl>
  </w:abstractNum>
  <w:abstractNum w:abstractNumId="104">
    <w:nsid w:val="665ACA49"/>
    <w:multiLevelType w:val="hybridMultilevel"/>
    <w:lvl w:ilvl="0">
      <w:lvlJc w:val="left"/>
      <w:lvlText w:val="∎"/>
      <w:numFmt w:val="bullet"/>
      <w:start w:val="1"/>
    </w:lvl>
  </w:abstractNum>
  <w:abstractNum w:abstractNumId="105">
    <w:nsid w:val="6835B2AE"/>
    <w:multiLevelType w:val="hybridMultilevel"/>
    <w:lvl w:ilvl="0">
      <w:lvlJc w:val="left"/>
      <w:lvlText w:val="(%1)"/>
      <w:numFmt w:val="upperLetter"/>
      <w:start w:val="2"/>
    </w:lvl>
    <w:lvl w:ilvl="1">
      <w:lvlJc w:val="left"/>
      <w:lvlText w:val="∎"/>
      <w:numFmt w:val="bullet"/>
      <w:start w:val="1"/>
    </w:lvl>
  </w:abstractNum>
  <w:abstractNum w:abstractNumId="106">
    <w:nsid w:val="4C187C90"/>
    <w:multiLevelType w:val="hybridMultilevel"/>
    <w:lvl w:ilvl="0">
      <w:lvlJc w:val="left"/>
      <w:lvlText w:val="%1."/>
      <w:numFmt w:val="upperLetter"/>
      <w:start w:val="1"/>
    </w:lvl>
  </w:abstractNum>
  <w:abstractNum w:abstractNumId="107">
    <w:nsid w:val="541F28CD"/>
    <w:multiLevelType w:val="hybridMultilevel"/>
    <w:lvl w:ilvl="0">
      <w:lvlJc w:val="left"/>
      <w:lvlText w:val="%1."/>
      <w:numFmt w:val="upperLetter"/>
      <w:start w:val="2"/>
    </w:lvl>
  </w:abstractNum>
  <w:abstractNum w:abstractNumId="108">
    <w:nsid w:val="7F65FD16"/>
    <w:multiLevelType w:val="hybridMultilevel"/>
    <w:lvl w:ilvl="0">
      <w:lvlJc w:val="left"/>
      <w:lvlText w:val="(%1)"/>
      <w:numFmt w:val="lowerLetter"/>
      <w:start w:val="1"/>
    </w:lvl>
  </w:abstractNum>
  <w:abstractNum w:abstractNumId="109">
    <w:nsid w:val="77C9FD68"/>
    <w:multiLevelType w:val="hybridMultilevel"/>
    <w:lvl w:ilvl="0">
      <w:lvlJc w:val="left"/>
      <w:lvlText w:val="(%1)"/>
      <w:numFmt w:val="lowerLetter"/>
      <w:start w:val="1"/>
    </w:lvl>
  </w:abstractNum>
  <w:abstractNum w:abstractNumId="110">
    <w:nsid w:val="298A92BA"/>
    <w:multiLevelType w:val="hybridMultilevel"/>
    <w:lvl w:ilvl="0">
      <w:lvlJc w:val="left"/>
      <w:lvlText w:val="(%1)"/>
      <w:numFmt w:val="lowerRoman"/>
      <w:start w:val="1"/>
    </w:lvl>
  </w:abstractNum>
  <w:abstractNum w:abstractNumId="111">
    <w:nsid w:val="6FE95EAC"/>
    <w:multiLevelType w:val="hybridMultilevel"/>
    <w:lvl w:ilvl="0">
      <w:lvlJc w:val="left"/>
      <w:lvlText w:val="(%1)"/>
      <w:numFmt w:val="lowerRoman"/>
      <w:start w:val="4"/>
    </w:lvl>
  </w:abstractNum>
  <w:abstractNum w:abstractNumId="112">
    <w:nsid w:val="4B697C7A"/>
    <w:multiLevelType w:val="hybridMultilevel"/>
    <w:lvl w:ilvl="0">
      <w:lvlJc w:val="left"/>
      <w:lvlText w:val="(%1)"/>
      <w:numFmt w:val="lowerLetter"/>
      <w:start w:val="1"/>
    </w:lvl>
  </w:abstractNum>
  <w:abstractNum w:abstractNumId="113">
    <w:nsid w:val="51A27AA6"/>
    <w:multiLevelType w:val="hybridMultilevel"/>
    <w:lvl w:ilvl="0">
      <w:lvlJc w:val="left"/>
      <w:lvlText w:val="%1."/>
      <w:numFmt w:val="decimal"/>
      <w:start w:val="1"/>
    </w:lvl>
  </w:abstractNum>
  <w:abstractNum w:abstractNumId="114">
    <w:nsid w:val="613183F2"/>
    <w:multiLevelType w:val="hybridMultilevel"/>
    <w:lvl w:ilvl="0">
      <w:lvlJc w:val="left"/>
      <w:lvlText w:val="%1."/>
      <w:numFmt w:val="decimal"/>
      <w:start w:val="2"/>
    </w:lvl>
  </w:abstractNum>
  <w:abstractNum w:abstractNumId="115">
    <w:nsid w:val="634102B4"/>
    <w:multiLevelType w:val="hybridMultilevel"/>
    <w:lvl w:ilvl="0">
      <w:lvlJc w:val="left"/>
      <w:lvlText w:val="(%1)"/>
      <w:numFmt w:val="decimal"/>
      <w:start w:val="1"/>
    </w:lvl>
  </w:abstractNum>
  <w:abstractNum w:abstractNumId="116">
    <w:nsid w:val="65BF9DA8"/>
    <w:multiLevelType w:val="hybridMultilevel"/>
    <w:lvl w:ilvl="0">
      <w:lvlJc w:val="left"/>
      <w:lvlText w:val="%1."/>
      <w:numFmt w:val="decimal"/>
      <w:start w:val="3"/>
    </w:lvl>
  </w:abstractNum>
  <w:abstractNum w:abstractNumId="117">
    <w:nsid w:val="21A2ECCA"/>
    <w:multiLevelType w:val="hybridMultilevel"/>
    <w:lvl w:ilvl="0">
      <w:lvlJc w:val="left"/>
      <w:lvlText w:val="%1."/>
      <w:numFmt w:val="decimal"/>
      <w:start w:val="7"/>
    </w:lvl>
  </w:abstractNum>
  <w:abstractNum w:abstractNumId="118">
    <w:nsid w:val="4D5C4899"/>
    <w:multiLevelType w:val="hybridMultilevel"/>
    <w:lvl w:ilvl="0">
      <w:lvlJc w:val="left"/>
      <w:lvlText w:val="(%1)"/>
      <w:numFmt w:val="lowerRoman"/>
      <w:start w:val="1"/>
    </w:lvl>
  </w:abstractNum>
  <w:abstractNum w:abstractNumId="119">
    <w:nsid w:val="3C3B72B2"/>
    <w:multiLevelType w:val="hybridMultilevel"/>
    <w:lvl w:ilvl="0">
      <w:lvlJc w:val="left"/>
      <w:lvlText w:val="(%1)"/>
      <w:numFmt w:val="decimal"/>
      <w:start w:val="1"/>
    </w:lvl>
  </w:abstractNum>
  <w:abstractNum w:abstractNumId="120">
    <w:nsid w:val="155EC4C2"/>
    <w:multiLevelType w:val="hybridMultilevel"/>
    <w:lvl w:ilvl="0">
      <w:lvlJc w:val="left"/>
      <w:lvlText w:val="%1."/>
      <w:numFmt w:val="decimal"/>
      <w:start w:val="16"/>
    </w:lvl>
  </w:abstractNum>
  <w:abstractNum w:abstractNumId="121">
    <w:nsid w:val="65D2A137"/>
    <w:multiLevelType w:val="hybridMultilevel"/>
    <w:lvl w:ilvl="0">
      <w:lvlJc w:val="left"/>
      <w:lvlText w:val="$"/>
      <w:numFmt w:val="bullet"/>
      <w:start w:val="1"/>
    </w:lvl>
  </w:abstractNum>
  <w:abstractNum w:abstractNumId="122">
    <w:nsid w:val="6EBB1F2A"/>
    <w:multiLevelType w:val="hybridMultilevel"/>
    <w:lvl w:ilvl="0">
      <w:lvlJc w:val="left"/>
      <w:lvlText w:val="%1."/>
      <w:numFmt w:val="decimal"/>
      <w:start w:val="1"/>
    </w:lvl>
  </w:abstractNum>
  <w:abstractNum w:abstractNumId="123">
    <w:nsid w:val="6FBF29CB"/>
    <w:multiLevelType w:val="hybridMultilevel"/>
    <w:lvl w:ilvl="0">
      <w:lvlJc w:val="left"/>
      <w:lvlText w:val="%1."/>
      <w:numFmt w:val="decimal"/>
      <w:start w:val="3"/>
    </w:lvl>
  </w:abstractNum>
  <w:abstractNum w:abstractNumId="124">
    <w:nsid w:val="550B8808"/>
    <w:multiLevelType w:val="hybridMultilevel"/>
    <w:lvl w:ilvl="0">
      <w:lvlJc w:val="left"/>
      <w:lvlText w:val="†"/>
      <w:numFmt w:val="bullet"/>
      <w:start w:val="1"/>
    </w:lvl>
  </w:abstractNum>
  <w:abstractNum w:abstractNumId="125">
    <w:nsid w:val="34CC3ACF"/>
    <w:multiLevelType w:val="hybridMultilevel"/>
    <w:lvl w:ilvl="0">
      <w:lvlJc w:val="left"/>
      <w:lvlText w:val="*"/>
      <w:numFmt w:val="bullet"/>
      <w:start w:val="1"/>
    </w:lvl>
  </w:abstractNum>
  <w:abstractNum w:abstractNumId="126">
    <w:nsid w:val="4E556261"/>
    <w:multiLevelType w:val="hybridMultilevel"/>
    <w:lvl w:ilvl="0">
      <w:lvlJc w:val="left"/>
      <w:lvlText w:val="¥"/>
      <w:numFmt w:val="bullet"/>
      <w:start w:val="1"/>
    </w:lvl>
  </w:abstractNum>
  <w:abstractNum w:abstractNumId="127">
    <w:nsid w:val="4C672FC9"/>
    <w:multiLevelType w:val="hybridMultilevel"/>
    <w:lvl w:ilvl="0">
      <w:lvlJc w:val="left"/>
      <w:lvlText w:val="(%1)"/>
      <w:numFmt w:val="lowerLetter"/>
      <w:start w:val="1"/>
    </w:lvl>
  </w:abstractNum>
  <w:abstractNum w:abstractNumId="128">
    <w:nsid w:val="52A311C3"/>
    <w:multiLevelType w:val="hybridMultilevel"/>
    <w:lvl w:ilvl="0">
      <w:lvlJc w:val="left"/>
      <w:lvlText w:val="(%1)"/>
      <w:numFmt w:val="decimal"/>
      <w:start w:val="1"/>
    </w:lvl>
  </w:abstractNum>
  <w:abstractNum w:abstractNumId="129">
    <w:nsid w:val="44EF6B80"/>
    <w:multiLevelType w:val="hybridMultilevel"/>
    <w:lvl w:ilvl="0">
      <w:lvlJc w:val="left"/>
      <w:lvlText w:val="["/>
      <w:numFmt w:val="bullet"/>
      <w:start w:val="1"/>
    </w:lvl>
  </w:abstractNum>
  <w:abstractNum w:abstractNumId="130">
    <w:nsid w:val="12FCDE5E"/>
    <w:multiLevelType w:val="hybridMultilevel"/>
    <w:lvl w:ilvl="0">
      <w:lvlJc w:val="left"/>
      <w:lvlText w:val="(%1)"/>
      <w:numFmt w:val="lowerLetter"/>
      <w:start w:val="1"/>
    </w:lvl>
  </w:abstractNum>
  <w:abstractNum w:abstractNumId="131">
    <w:nsid w:val="4A1D606E"/>
    <w:multiLevelType w:val="hybridMultilevel"/>
    <w:lvl w:ilvl="0">
      <w:lvlJc w:val="left"/>
      <w:lvlText w:val="%1"/>
      <w:numFmt w:val="lowerLetter"/>
      <w:start w:val="1"/>
    </w:lvl>
    <w:lvl w:ilvl="1">
      <w:lvlJc w:val="left"/>
      <w:lvlText w:val="(%2)"/>
      <w:numFmt w:val="lowerLetter"/>
      <w:start w:val="4"/>
    </w:lvl>
  </w:abstractNum>
  <w:abstractNum w:abstractNumId="132">
    <w:nsid w:val="4382503"/>
    <w:multiLevelType w:val="hybridMultilevel"/>
    <w:lvl w:ilvl="0">
      <w:lvlJc w:val="left"/>
      <w:lvlText w:val="(%1)"/>
      <w:numFmt w:val="lowerLetter"/>
      <w:start w:val="9"/>
    </w:lvl>
    <w:lvl w:ilvl="1">
      <w:lvlJc w:val="left"/>
      <w:lvlText w:val="%2"/>
      <w:numFmt w:val="lowerLetter"/>
      <w:start w:val="1"/>
    </w:lvl>
  </w:abstractNum>
  <w:abstractNum w:abstractNumId="133">
    <w:nsid w:val="59B76E28"/>
    <w:multiLevelType w:val="hybridMultilevel"/>
    <w:lvl w:ilvl="0">
      <w:lvlJc w:val="left"/>
      <w:lvlText w:val="(%1)"/>
      <w:numFmt w:val="lowerLetter"/>
      <w:start w:val="10"/>
    </w:lvl>
  </w:abstractNum>
  <w:abstractNum w:abstractNumId="134">
    <w:nsid w:val="4252C2DA"/>
    <w:multiLevelType w:val="hybridMultilevel"/>
    <w:lvl w:ilvl="0">
      <w:lvlJc w:val="left"/>
      <w:lvlText w:val="%1"/>
      <w:numFmt w:val="lowerLetter"/>
      <w:start w:val="1"/>
    </w:lvl>
    <w:lvl w:ilvl="1">
      <w:lvlJc w:val="left"/>
      <w:lvlText w:val="(%2)"/>
      <w:numFmt w:val="lowerLetter"/>
      <w:start w:val="13"/>
    </w:lvl>
  </w:abstractNum>
  <w:abstractNum w:abstractNumId="135">
    <w:nsid w:val="6A92EF4C"/>
    <w:multiLevelType w:val="hybridMultilevel"/>
    <w:lvl w:ilvl="0">
      <w:lvlJc w:val="left"/>
      <w:lvlText w:val="(%1)"/>
      <w:numFmt w:val="lowerLetter"/>
      <w:start w:val="35"/>
    </w:lvl>
    <w:lvl w:ilvl="1">
      <w:lvlJc w:val="left"/>
      <w:lvlText w:val="(%2)"/>
      <w:numFmt w:val="lowerLetter"/>
      <w:start w:val="14"/>
    </w:lvl>
  </w:abstractNum>
  <w:abstractNum w:abstractNumId="136">
    <w:nsid w:val="41ED20D7"/>
    <w:multiLevelType w:val="hybridMultilevel"/>
    <w:lvl w:ilvl="0">
      <w:lvlJc w:val="left"/>
      <w:lvlText w:val="(%1)"/>
      <w:numFmt w:val="lowerLetter"/>
      <w:start w:val="17"/>
    </w:lvl>
  </w:abstractNum>
  <w:abstractNum w:abstractNumId="137">
    <w:nsid w:val="E6B3F6A"/>
    <w:multiLevelType w:val="hybridMultilevel"/>
    <w:lvl w:ilvl="0">
      <w:lvlJc w:val="left"/>
      <w:lvlText w:val="(%1)"/>
      <w:numFmt w:val="lowerLetter"/>
      <w:start w:val="21"/>
    </w:lvl>
  </w:abstractNum>
  <w:abstractNum w:abstractNumId="138">
    <w:nsid w:val="3EB21819"/>
    <w:multiLevelType w:val="hybridMultilevel"/>
    <w:lvl w:ilvl="0">
      <w:lvlJc w:val="left"/>
      <w:lvlText w:val="(%1)"/>
      <w:numFmt w:val="lowerLetter"/>
      <w:start w:val="23"/>
    </w:lvl>
  </w:abstractNum>
  <w:abstractNum w:abstractNumId="139">
    <w:nsid w:val="41531DED"/>
    <w:multiLevelType w:val="hybridMultilevel"/>
    <w:lvl w:ilvl="0">
      <w:lvlJc w:val="left"/>
      <w:lvlText w:val="(%1)"/>
      <w:numFmt w:val="lowerLetter"/>
      <w:start w:val="27"/>
    </w:lvl>
  </w:abstractNum>
  <w:abstractNum w:abstractNumId="140">
    <w:nsid w:val="6353CD2"/>
    <w:multiLevelType w:val="hybridMultilevel"/>
    <w:lvl w:ilvl="0">
      <w:lvlJc w:val="left"/>
      <w:lvlText w:val="%1"/>
      <w:numFmt w:val="lowerLetter"/>
      <w:start w:val="1"/>
    </w:lvl>
    <w:lvl w:ilvl="1">
      <w:lvlJc w:val="left"/>
      <w:lvlText w:val="(%2)"/>
      <w:numFmt w:val="lowerLetter"/>
      <w:start w:val="33"/>
    </w:lvl>
  </w:abstractNum>
  <w:abstractNum w:abstractNumId="141">
    <w:nsid w:val="683CAAD3"/>
    <w:multiLevelType w:val="hybridMultilevel"/>
    <w:lvl w:ilvl="0">
      <w:lvlJc w:val="left"/>
      <w:lvlText w:val="(%1)"/>
      <w:numFmt w:val="lowerLetter"/>
      <w:start w:val="9"/>
    </w:lvl>
    <w:lvl w:ilvl="1">
      <w:lvlJc w:val="left"/>
      <w:lvlText w:val="(%2)"/>
      <w:numFmt w:val="lowerLetter"/>
      <w:start w:val="36"/>
    </w:lvl>
  </w:abstractNum>
  <w:abstractNum w:abstractNumId="142">
    <w:nsid w:val="313C7C99"/>
    <w:multiLevelType w:val="hybridMultilevel"/>
    <w:lvl w:ilvl="0">
      <w:lvlJc w:val="left"/>
      <w:lvlText w:val="(%1)"/>
      <w:numFmt w:val="lowerLetter"/>
      <w:start w:val="38"/>
    </w:lvl>
  </w:abstractNum>
  <w:abstractNum w:abstractNumId="143">
    <w:nsid w:val="519EB94C"/>
    <w:multiLevelType w:val="hybridMultilevel"/>
    <w:lvl w:ilvl="0">
      <w:lvlJc w:val="left"/>
      <w:lvlText w:val="(%1)"/>
      <w:numFmt w:val="lowerLetter"/>
      <w:start w:val="42"/>
    </w:lvl>
  </w:abstractNum>
  <w:abstractNum w:abstractNumId="144">
    <w:nsid w:val="39DF2579"/>
    <w:multiLevelType w:val="hybridMultilevel"/>
    <w:lvl w:ilvl="0">
      <w:lvlJc w:val="left"/>
      <w:lvlText w:val="(%1)"/>
      <w:numFmt w:val="lowerLetter"/>
      <w:start w:val="46"/>
    </w:lvl>
  </w:abstractNum>
  <w:abstractNum w:abstractNumId="145">
    <w:nsid w:val="126E008B"/>
    <w:multiLevelType w:val="hybridMultilevel"/>
    <w:lvl w:ilvl="0">
      <w:lvlJc w:val="left"/>
      <w:lvlText w:val="(%1)"/>
      <w:numFmt w:val="lowerLetter"/>
      <w:start w:val="1"/>
    </w:lvl>
  </w:abstractNum>
  <w:abstractNum w:abstractNumId="146">
    <w:nsid w:val="34DFBC00"/>
    <w:multiLevelType w:val="hybridMultilevel"/>
    <w:lvl w:ilvl="0">
      <w:lvlJc w:val="left"/>
      <w:lvlText w:val="(%1)"/>
      <w:numFmt w:val="lowerLetter"/>
      <w:start w:val="4"/>
    </w:lvl>
    <w:lvl w:ilvl="1">
      <w:lvlJc w:val="left"/>
      <w:lvlText w:val="(%2)"/>
      <w:numFmt w:val="lowerLetter"/>
      <w:start w:val="35"/>
    </w:lvl>
  </w:abstractNum>
  <w:abstractNum w:abstractNumId="147">
    <w:nsid w:val="1F9EC322"/>
    <w:multiLevelType w:val="hybridMultilevel"/>
    <w:lvl w:ilvl="0">
      <w:lvlJc w:val="left"/>
      <w:lvlText w:val="(%1)"/>
      <w:numFmt w:val="lowerLetter"/>
      <w:start w:val="1"/>
    </w:lvl>
  </w:abstractNum>
  <w:abstractNum w:abstractNumId="148">
    <w:nsid w:val="3410ED56"/>
    <w:multiLevelType w:val="hybridMultilevel"/>
    <w:lvl w:ilvl="0">
      <w:lvlJc w:val="left"/>
      <w:lvlText w:val="(%1)"/>
      <w:numFmt w:val="lowerLetter"/>
      <w:start w:val="3"/>
    </w:lvl>
  </w:abstractNum>
  <w:abstractNum w:abstractNumId="149">
    <w:nsid w:val="23C049A"/>
    <w:multiLevelType w:val="hybridMultilevel"/>
    <w:lvl w:ilvl="0">
      <w:lvlJc w:val="left"/>
      <w:lvlText w:val="(%1)"/>
      <w:numFmt w:val="lowerLetter"/>
      <w:start w:val="6"/>
    </w:lvl>
  </w:abstractNum>
  <w:abstractNum w:abstractNumId="150">
    <w:nsid w:val="5BDA35D4"/>
    <w:multiLevelType w:val="hybridMultilevel"/>
    <w:lvl w:ilvl="0">
      <w:lvlJc w:val="left"/>
      <w:lvlText w:val="(%1)"/>
      <w:numFmt w:val="lowerLetter"/>
      <w:start w:val="9"/>
    </w:lvl>
  </w:abstractNum>
  <w:abstractNum w:abstractNumId="151">
    <w:nsid w:val="496FB218"/>
    <w:multiLevelType w:val="hybridMultilevel"/>
    <w:lvl w:ilvl="0">
      <w:lvlJc w:val="left"/>
      <w:lvlText w:val="(%1)"/>
      <w:numFmt w:val="lowerLetter"/>
      <w:start w:val="16"/>
    </w:lvl>
  </w:abstractNum>
  <w:abstractNum w:abstractNumId="152">
    <w:nsid w:val="680EA5D1"/>
    <w:multiLevelType w:val="hybridMultilevel"/>
    <w:lvl w:ilvl="0">
      <w:lvlJc w:val="left"/>
      <w:lvlText w:val="(%1)"/>
      <w:numFmt w:val="lowerLetter"/>
      <w:start w:val="17"/>
    </w:lvl>
  </w:abstractNum>
  <w:abstractNum w:abstractNumId="153">
    <w:nsid w:val="4A9554FE"/>
    <w:multiLevelType w:val="hybridMultilevel"/>
    <w:lvl w:ilvl="0">
      <w:lvlJc w:val="left"/>
      <w:lvlText w:val="(%1)"/>
      <w:numFmt w:val="lowerLetter"/>
      <w:start w:val="23"/>
    </w:lvl>
  </w:abstractNum>
  <w:abstractNum w:abstractNumId="154">
    <w:nsid w:val="392EDBE4"/>
    <w:multiLevelType w:val="hybridMultilevel"/>
    <w:lvl w:ilvl="0">
      <w:lvlJc w:val="left"/>
      <w:lvlText w:val="(%1)"/>
      <w:numFmt w:val="lowerRoman"/>
      <w:start w:val="4"/>
    </w:lvl>
  </w:abstractNum>
  <w:abstractNum w:abstractNumId="155">
    <w:nsid w:val="3D1A2DD9"/>
    <w:multiLevelType w:val="hybridMultilevel"/>
    <w:lvl w:ilvl="0">
      <w:lvlJc w:val="left"/>
      <w:lvlText w:val="(%1)"/>
      <w:numFmt w:val="lowerLetter"/>
      <w:start w:val="1"/>
    </w:lvl>
    <w:lvl w:ilvl="1">
      <w:lvlJc w:val="left"/>
      <w:lvlText w:val="(%2)"/>
      <w:numFmt w:val="lowerRoman"/>
      <w:start w:val="1"/>
    </w:lvl>
  </w:abstractNum>
  <w:abstractNum w:abstractNumId="156">
    <w:nsid w:val="7F618FCD"/>
    <w:multiLevelType w:val="hybridMultilevel"/>
    <w:lvl w:ilvl="0">
      <w:lvlJc w:val="left"/>
      <w:lvlText w:val="%1"/>
      <w:numFmt w:val="lowerLetter"/>
      <w:start w:val="1"/>
    </w:lvl>
    <w:lvl w:ilvl="1">
      <w:lvlJc w:val="left"/>
      <w:lvlText w:val="(%2)"/>
      <w:numFmt w:val="lowerLetter"/>
      <w:start w:val="61"/>
    </w:lvl>
  </w:abstractNum>
  <w:abstractNum w:abstractNumId="157">
    <w:nsid w:val="7843E45"/>
    <w:multiLevelType w:val="hybridMultilevel"/>
    <w:lvl w:ilvl="0">
      <w:lvlJc w:val="left"/>
      <w:lvlText w:val="(%1)"/>
      <w:numFmt w:val="lowerLetter"/>
      <w:start w:val="3"/>
    </w:lvl>
    <w:lvl w:ilvl="1">
      <w:lvlJc w:val="left"/>
      <w:lvlText w:val="(%2)"/>
      <w:numFmt w:val="lowerLetter"/>
      <w:start w:val="9"/>
    </w:lvl>
  </w:abstractNum>
  <w:abstractNum w:abstractNumId="158">
    <w:nsid w:val="9815DA3"/>
    <w:multiLevelType w:val="hybridMultilevel"/>
    <w:lvl w:ilvl="0">
      <w:lvlJc w:val="left"/>
      <w:lvlText w:val="%1"/>
      <w:numFmt w:val="lowerLetter"/>
      <w:start w:val="1"/>
    </w:lvl>
    <w:lvl w:ilvl="1">
      <w:lvlJc w:val="left"/>
      <w:lvlText w:val="(%2)"/>
      <w:numFmt w:val="lowerLetter"/>
      <w:start w:val="35"/>
    </w:lvl>
  </w:abstractNum>
  <w:abstractNum w:abstractNumId="159">
    <w:nsid w:val="5204A191"/>
    <w:multiLevelType w:val="hybridMultilevel"/>
    <w:lvl w:ilvl="0">
      <w:lvlJc w:val="left"/>
      <w:lvlText w:val="(%1)"/>
      <w:numFmt w:val="lowerLetter"/>
      <w:start w:val="4"/>
    </w:lvl>
    <w:lvl w:ilvl="1">
      <w:lvlJc w:val="left"/>
      <w:lvlText w:val="%2"/>
      <w:numFmt w:val="lowerLetter"/>
      <w:start w:val="1"/>
    </w:lvl>
  </w:abstractNum>
  <w:abstractNum w:abstractNumId="160">
    <w:nsid w:val="4C73A9C6"/>
    <w:multiLevelType w:val="hybridMultilevel"/>
    <w:lvl w:ilvl="0">
      <w:lvlJc w:val="left"/>
      <w:lvlText w:val="(%1)"/>
      <w:numFmt w:val="lowerLetter"/>
      <w:start w:val="6"/>
    </w:lvl>
    <w:lvl w:ilvl="1">
      <w:lvlJc w:val="left"/>
      <w:lvlText w:val="(%2)"/>
      <w:numFmt w:val="lowerRoman"/>
      <w:start w:val="1"/>
    </w:lvl>
  </w:abstractNum>
  <w:abstractNum w:abstractNumId="161">
    <w:nsid w:val="1C7E3C01"/>
    <w:multiLevelType w:val="hybridMultilevel"/>
    <w:lvl w:ilvl="0">
      <w:lvlJc w:val="left"/>
      <w:lvlText w:val="(%1)"/>
      <w:numFmt w:val="lowerLetter"/>
      <w:start w:val="9"/>
    </w:lvl>
  </w:abstractNum>
  <w:abstractNum w:abstractNumId="162">
    <w:nsid w:val="1C2201FF"/>
    <w:multiLevelType w:val="hybridMultilevel"/>
    <w:lvl w:ilvl="0">
      <w:lvlJc w:val="left"/>
      <w:lvlText w:val="(%1)"/>
      <w:numFmt w:val="lowerLetter"/>
      <w:start w:val="1"/>
    </w:lvl>
  </w:abstractNum>
  <w:abstractNum w:abstractNumId="163">
    <w:nsid w:val="50ABCEC9"/>
    <w:multiLevelType w:val="hybridMultilevel"/>
    <w:lvl w:ilvl="0">
      <w:lvlJc w:val="left"/>
      <w:lvlText w:val="(%1)"/>
      <w:numFmt w:val="lowerLetter"/>
      <w:start w:val="3"/>
    </w:lvl>
  </w:abstractNum>
  <w:abstractNum w:abstractNumId="164">
    <w:nsid w:val="7635AA2A"/>
    <w:multiLevelType w:val="hybridMultilevel"/>
    <w:lvl w:ilvl="0">
      <w:lvlJc w:val="left"/>
      <w:lvlText w:val="(%1)"/>
      <w:numFmt w:val="lowerLetter"/>
      <w:start w:val="35"/>
    </w:lvl>
    <w:lvl w:ilvl="1">
      <w:lvlJc w:val="left"/>
      <w:lvlText w:val="(%2)"/>
      <w:numFmt w:val="lowerLetter"/>
      <w:start w:val="4"/>
    </w:lvl>
  </w:abstractNum>
  <w:abstractNum w:abstractNumId="165">
    <w:nsid w:val="5E74C4D9"/>
    <w:multiLevelType w:val="hybridMultilevel"/>
    <w:lvl w:ilvl="0">
      <w:lvlJc w:val="left"/>
      <w:lvlText w:val="(%1)"/>
      <w:numFmt w:val="lowerRoman"/>
      <w:start w:val="2"/>
    </w:lvl>
  </w:abstractNum>
  <w:abstractNum w:abstractNumId="166">
    <w:nsid w:val="3B3EBE15"/>
    <w:multiLevelType w:val="hybridMultilevel"/>
    <w:lvl w:ilvl="0">
      <w:lvlJc w:val="left"/>
      <w:lvlText w:val="(%1)"/>
      <w:numFmt w:val="lowerLetter"/>
      <w:start w:val="1"/>
    </w:lvl>
  </w:abstractNum>
  <w:abstractNum w:abstractNumId="167">
    <w:nsid w:val="3822CB01"/>
    <w:multiLevelType w:val="hybridMultilevel"/>
    <w:lvl w:ilvl="0">
      <w:lvlJc w:val="left"/>
      <w:lvlText w:val="•"/>
      <w:numFmt w:val="bullet"/>
      <w:start w:val="1"/>
    </w:lvl>
  </w:abstractNum>
  <w:abstractNum w:abstractNumId="168">
    <w:nsid w:val="6CE00443"/>
    <w:multiLevelType w:val="hybridMultilevel"/>
    <w:lvl w:ilvl="0">
      <w:lvlJc w:val="left"/>
      <w:lvlText w:val="%1."/>
      <w:numFmt w:val="lowerRoman"/>
      <w:start w:val="1"/>
    </w:lvl>
  </w:abstractNum>
  <w:abstractNum w:abstractNumId="169">
    <w:nsid w:val="79F0D62F"/>
    <w:multiLevelType w:val="hybridMultilevel"/>
    <w:lvl w:ilvl="0">
      <w:lvlJc w:val="left"/>
      <w:lvlText w:val="%1."/>
      <w:numFmt w:val="lowerRoman"/>
      <w:start w:val="7"/>
    </w:lvl>
  </w:abstractNum>
  <w:abstractNum w:abstractNumId="170">
    <w:nsid w:val="7975E8EE"/>
    <w:multiLevelType w:val="hybridMultilevel"/>
    <w:lvl w:ilvl="0">
      <w:lvlJc w:val="left"/>
      <w:lvlText w:val="•"/>
      <w:numFmt w:val="bullet"/>
      <w:start w:val="1"/>
    </w:lvl>
  </w:abstractNum>
  <w:abstractNum w:abstractNumId="171">
    <w:nsid w:val="73154115"/>
    <w:multiLevelType w:val="hybridMultilevel"/>
    <w:lvl w:ilvl="0">
      <w:lvlJc w:val="left"/>
      <w:lvlText w:val="(%1)"/>
      <w:numFmt w:val="lowerLetter"/>
      <w:start w:val="2"/>
    </w:lvl>
  </w:abstractNum>
  <w:abstractNum w:abstractNumId="172">
    <w:nsid w:val="622D8102"/>
    <w:multiLevelType w:val="hybridMultilevel"/>
    <w:lvl w:ilvl="0">
      <w:lvlJc w:val="left"/>
      <w:lvlText w:val="\endash "/>
      <w:numFmt w:val="bullet"/>
      <w:start w:val="1"/>
    </w:lvl>
  </w:abstractNum>
  <w:abstractNum w:abstractNumId="173">
    <w:nsid w:val="2AB26587"/>
    <w:multiLevelType w:val="hybridMultilevel"/>
    <w:lvl w:ilvl="0">
      <w:lvlJc w:val="left"/>
      <w:lvlText w:val="%1."/>
      <w:numFmt w:val="decimal"/>
      <w:start w:val="1"/>
    </w:lvl>
  </w:abstractNum>
  <w:abstractNum w:abstractNumId="174">
    <w:nsid w:val="44B3FA61"/>
    <w:multiLevelType w:val="hybridMultilevel"/>
    <w:lvl w:ilvl="0">
      <w:lvlJc w:val="left"/>
      <w:lvlText w:val="%1."/>
      <w:numFmt w:val="decimal"/>
      <w:start w:val="1"/>
    </w:lvl>
  </w:abstractNum>
  <w:abstractNum w:abstractNumId="175">
    <w:nsid w:val="1C0CA67C"/>
    <w:multiLevelType w:val="hybridMultilevel"/>
    <w:lvl w:ilvl="0">
      <w:lvlJc w:val="left"/>
      <w:lvlText w:val="%1."/>
      <w:numFmt w:val="decimal"/>
      <w:start w:val="2"/>
    </w:lvl>
  </w:abstractNum>
  <w:abstractNum w:abstractNumId="176">
    <w:nsid w:val="3D206613"/>
    <w:multiLevelType w:val="hybridMultilevel"/>
    <w:lvl w:ilvl="0">
      <w:lvlJc w:val="left"/>
      <w:lvlText w:val="%1."/>
      <w:numFmt w:val="decimal"/>
      <w:start w:val="3"/>
    </w:lvl>
  </w:abstractNum>
  <w:abstractNum w:abstractNumId="177">
    <w:nsid w:val="7993B662"/>
    <w:multiLevelType w:val="hybridMultilevel"/>
    <w:lvl w:ilvl="0">
      <w:lvlJc w:val="left"/>
      <w:lvlText w:val="%1"/>
      <w:numFmt w:val="lowerRoman"/>
      <w:start w:val="1"/>
    </w:lvl>
    <w:lvl w:ilvl="1">
      <w:lvlJc w:val="left"/>
      <w:lvlText w:val="%2."/>
      <w:numFmt w:val="decimal"/>
      <w:start w:val="1"/>
    </w:lvl>
  </w:abstractNum>
  <w:abstractNum w:abstractNumId="178">
    <w:nsid w:val="3BAB699E"/>
    <w:multiLevelType w:val="hybridMultilevel"/>
    <w:lvl w:ilvl="0">
      <w:lvlJc w:val="left"/>
      <w:lvlText w:val="(%1)"/>
      <w:numFmt w:val="lowerRoman"/>
      <w:start w:val="1"/>
    </w:lvl>
    <w:lvl w:ilvl="1">
      <w:lvlJc w:val="left"/>
      <w:lvlText w:val="%2."/>
      <w:numFmt w:val="decimal"/>
      <w:start w:val="2"/>
    </w:lvl>
  </w:abstractNum>
  <w:abstractNum w:abstractNumId="179">
    <w:nsid w:val="71315369"/>
    <w:multiLevelType w:val="hybridMultilevel"/>
    <w:lvl w:ilvl="0">
      <w:lvlJc w:val="left"/>
      <w:lvlText w:val="(%1)"/>
      <w:numFmt w:val="lowerLetter"/>
      <w:start w:val="1"/>
    </w:lvl>
    <w:lvl w:ilvl="1">
      <w:lvlJc w:val="left"/>
      <w:lvlText w:val="(%2)"/>
      <w:numFmt w:val="lowerLetter"/>
      <w:start w:val="9"/>
    </w:lvl>
  </w:abstractNum>
  <w:abstractNum w:abstractNumId="180">
    <w:nsid w:val="7BCFBAF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81">
    <w:nsid w:val="17859F7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82">
    <w:nsid w:val="3AA10581"/>
    <w:multiLevelType w:val="hybridMultilevel"/>
    <w:lvl w:ilvl="0">
      <w:lvlJc w:val="left"/>
      <w:lvlText w:val="(%1)"/>
      <w:numFmt w:val="lowerLetter"/>
      <w:start w:val="1"/>
    </w:lvl>
  </w:abstractNum>
  <w:abstractNum w:abstractNumId="183">
    <w:nsid w:val="63DE60CD"/>
    <w:multiLevelType w:val="hybridMultilevel"/>
    <w:lvl w:ilvl="0">
      <w:lvlJc w:val="left"/>
      <w:lvlText w:val="(%1)"/>
      <w:numFmt w:val="lowerLetter"/>
      <w:start w:val="3"/>
    </w:lvl>
  </w:abstractNum>
  <w:abstractNum w:abstractNumId="184">
    <w:nsid w:val="621AF471"/>
    <w:multiLevelType w:val="hybridMultilevel"/>
    <w:lvl w:ilvl="0">
      <w:lvlJc w:val="left"/>
      <w:lvlText w:val="%1."/>
      <w:numFmt w:val="decimal"/>
      <w:start w:val="3"/>
    </w:lvl>
  </w:abstractNum>
  <w:abstractNum w:abstractNumId="185">
    <w:nsid w:val="73CFE16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86">
    <w:nsid w:val="20F88EA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7">
    <w:nsid w:val="617C843E"/>
    <w:multiLevelType w:val="hybridMultilevel"/>
    <w:lvl w:ilvl="0">
      <w:lvlJc w:val="left"/>
      <w:lvlText w:val="(%1)"/>
      <w:numFmt w:val="lowerRoman"/>
      <w:start w:val="3"/>
    </w:lvl>
  </w:abstractNum>
  <w:abstractNum w:abstractNumId="188">
    <w:nsid w:val="7B541FAB"/>
    <w:multiLevelType w:val="hybridMultilevel"/>
    <w:lvl w:ilvl="0">
      <w:lvlJc w:val="left"/>
      <w:lvlText w:val="(%1)"/>
      <w:numFmt w:val="lowerRoman"/>
      <w:start w:val="5"/>
    </w:lvl>
  </w:abstractNum>
  <w:abstractNum w:abstractNumId="189">
    <w:nsid w:val="2A79EC49"/>
    <w:multiLevelType w:val="hybridMultilevel"/>
    <w:lvl w:ilvl="0">
      <w:lvlJc w:val="left"/>
      <w:lvlText w:val="(%1)"/>
      <w:numFmt w:val="lowerLetter"/>
      <w:start w:val="1"/>
    </w:lvl>
  </w:abstractNum>
  <w:abstractNum w:abstractNumId="190">
    <w:nsid w:val="338125CF"/>
    <w:multiLevelType w:val="hybridMultilevel"/>
    <w:lvl w:ilvl="0">
      <w:lvlJc w:val="left"/>
      <w:lvlText w:val="(%1)"/>
      <w:numFmt w:val="lowerLetter"/>
      <w:start w:val="2"/>
    </w:lvl>
  </w:abstractNum>
  <w:abstractNum w:abstractNumId="191">
    <w:nsid w:val="47C7C971"/>
    <w:multiLevelType w:val="hybridMultilevel"/>
    <w:lvl w:ilvl="0">
      <w:lvlJc w:val="left"/>
      <w:lvlText w:val="(%1)"/>
      <w:numFmt w:val="lowerLetter"/>
      <w:start w:val="1"/>
    </w:lvl>
  </w:abstractNum>
  <w:abstractNum w:abstractNumId="192">
    <w:nsid w:val="46F8284B"/>
    <w:multiLevelType w:val="hybridMultilevel"/>
    <w:lvl w:ilvl="0">
      <w:lvlJc w:val="left"/>
      <w:lvlText w:val="(%1)"/>
      <w:numFmt w:val="lowerLetter"/>
      <w:start w:val="1"/>
    </w:lvl>
  </w:abstractNum>
  <w:abstractNum w:abstractNumId="193">
    <w:nsid w:val="4FA327C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94">
    <w:nsid w:val="1873983A"/>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95">
    <w:nsid w:val="3D2DD275"/>
    <w:multiLevelType w:val="hybridMultilevel"/>
    <w:lvl w:ilvl="0">
      <w:lvlJc w:val="left"/>
      <w:lvlText w:val="(%1)"/>
      <w:numFmt w:val="decimal"/>
      <w:start w:val="1"/>
    </w:lvl>
  </w:abstractNum>
  <w:abstractNum w:abstractNumId="196">
    <w:nsid w:val="2E17ECA7"/>
    <w:multiLevelType w:val="hybridMultilevel"/>
    <w:lvl w:ilvl="0">
      <w:lvlJc w:val="left"/>
      <w:lvlText w:val="(%1)"/>
      <w:numFmt w:val="lowerLetter"/>
      <w:start w:val="1"/>
    </w:lvl>
  </w:abstractNum>
  <w:abstractNum w:abstractNumId="197">
    <w:nsid w:val="53B2564F"/>
    <w:multiLevelType w:val="hybridMultilevel"/>
    <w:lvl w:ilvl="0">
      <w:lvlJc w:val="left"/>
      <w:lvlText w:val="%1."/>
      <w:numFmt w:val="decimal"/>
      <w:start w:val="5"/>
    </w:lvl>
  </w:abstractNum>
  <w:abstractNum w:abstractNumId="198">
    <w:nsid w:val="75509D76"/>
    <w:multiLevelType w:val="hybridMultilevel"/>
    <w:lvl w:ilvl="0">
      <w:lvlJc w:val="left"/>
      <w:lvlText w:val="(%1)"/>
      <w:numFmt w:val="decimal"/>
      <w:start w:val="2"/>
    </w:lvl>
    <w:lvl w:ilvl="1">
      <w:lvlJc w:val="left"/>
      <w:lvlText w:val="%2."/>
      <w:numFmt w:val="decimal"/>
      <w:start w:val="6"/>
    </w:lvl>
  </w:abstractNum>
  <w:abstractNum w:abstractNumId="199">
    <w:nsid w:val="1AF7F0EA"/>
    <w:multiLevelType w:val="hybridMultilevel"/>
    <w:lvl w:ilvl="0">
      <w:lvlJc w:val="left"/>
      <w:lvlText w:val="%1"/>
      <w:numFmt w:val="lowerRoman"/>
      <w:start w:val="1"/>
    </w:lvl>
    <w:lvl w:ilvl="1">
      <w:lvlJc w:val="left"/>
      <w:lvlText w:val="%2."/>
      <w:numFmt w:val="decimal"/>
      <w:start w:val="7"/>
    </w:lvl>
  </w:abstractNum>
  <w:abstractNum w:abstractNumId="200">
    <w:nsid w:val="4DA32C7E"/>
    <w:multiLevelType w:val="hybridMultilevel"/>
    <w:lvl w:ilvl="0">
      <w:lvlJc w:val="left"/>
      <w:lvlText w:val="(%1)"/>
      <w:numFmt w:val="lowerRoman"/>
      <w:start w:val="2"/>
    </w:lvl>
    <w:lvl w:ilvl="1">
      <w:lvlJc w:val="left"/>
      <w:lvlText w:val="%2."/>
      <w:numFmt w:val="decimal"/>
      <w:start w:val="8"/>
    </w:lvl>
  </w:abstractNum>
  <w:abstractNum w:abstractNumId="201">
    <w:nsid w:val="6EC68664"/>
    <w:multiLevelType w:val="hybridMultilevel"/>
    <w:lvl w:ilvl="0">
      <w:lvlJc w:val="left"/>
      <w:lvlText w:val="(%1)"/>
      <w:numFmt w:val="lowerRoman"/>
      <w:start w:val="1"/>
    </w:lvl>
  </w:abstractNum>
  <w:abstractNum w:abstractNumId="202">
    <w:nsid w:val="E0D31FF"/>
    <w:multiLevelType w:val="hybridMultilevel"/>
    <w:lvl w:ilvl="0">
      <w:lvlJc w:val="left"/>
      <w:lvlText w:val="(%1)"/>
      <w:numFmt w:val="lowerRoman"/>
      <w:start w:val="1"/>
    </w:lvl>
  </w:abstractNum>
  <w:abstractNum w:abstractNumId="203">
    <w:nsid w:val="2FD0AD81"/>
    <w:multiLevelType w:val="hybridMultilevel"/>
    <w:lvl w:ilvl="0">
      <w:lvlJc w:val="left"/>
      <w:lvlText w:val="%1."/>
      <w:numFmt w:val="decimal"/>
      <w:start w:val="4"/>
    </w:lvl>
  </w:abstractNum>
  <w:abstractNum w:abstractNumId="204">
    <w:nsid w:val="1978EBEB"/>
    <w:multiLevelType w:val="hybridMultilevel"/>
    <w:lvl w:ilvl="0">
      <w:lvlJc w:val="left"/>
      <w:lvlText w:val="%1."/>
      <w:numFmt w:val="decimal"/>
      <w:start w:val="1"/>
    </w:lvl>
  </w:abstractNum>
  <w:abstractNum w:abstractNumId="205">
    <w:nsid w:val="52C12C61"/>
    <w:multiLevelType w:val="hybridMultilevel"/>
    <w:lvl w:ilvl="0">
      <w:lvlJc w:val="left"/>
      <w:lvlText w:val="%1."/>
      <w:numFmt w:val="decimal"/>
      <w:start w:val="4"/>
    </w:lvl>
  </w:abstractNum>
  <w:abstractNum w:abstractNumId="206">
    <w:nsid w:val="4BDD53FD"/>
    <w:multiLevelType w:val="hybridMultilevel"/>
    <w:lvl w:ilvl="0">
      <w:lvlJc w:val="left"/>
      <w:lvlText w:val="(%1)"/>
      <w:numFmt w:val="decimal"/>
      <w:start w:val="2"/>
    </w:lvl>
  </w:abstractNum>
  <w:abstractNum w:abstractNumId="207">
    <w:nsid w:val="569951FE"/>
    <w:multiLevelType w:val="hybridMultilevel"/>
    <w:lvl w:ilvl="0">
      <w:lvlJc w:val="left"/>
      <w:lvlText w:val="%1."/>
      <w:numFmt w:val="upperLetter"/>
      <w:start w:val="4"/>
    </w:lvl>
  </w:abstractNum>
  <w:abstractNum w:abstractNumId="208">
    <w:nsid w:val="4C54E2C3"/>
    <w:multiLevelType w:val="hybridMultilevel"/>
    <w:lvl w:ilvl="0">
      <w:lvlJc w:val="left"/>
      <w:lvlText w:val="%1."/>
      <w:numFmt w:val="decimal"/>
      <w:start w:val="1"/>
    </w:lvl>
  </w:abstractNum>
  <w:abstractNum w:abstractNumId="209">
    <w:nsid w:val="788BD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10">
    <w:nsid w:val="47CAA5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11">
    <w:nsid w:val="48249DB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35"/>
    </w:lvl>
  </w:abstractNum>
  <w:abstractNum w:abstractNumId="212">
    <w:nsid w:val="1F0E5D0D"/>
    <w:multiLevelType w:val="hybridMultilevel"/>
    <w:lvl w:ilvl="0">
      <w:lvlJc w:val="left"/>
      <w:lvlText w:val="(%1)"/>
      <w:numFmt w:val="lowerRoman"/>
      <w:start w:val="3"/>
    </w:lvl>
  </w:abstractNum>
  <w:abstractNum w:abstractNumId="213">
    <w:nsid w:val="26BAAE9"/>
    <w:multiLevelType w:val="hybridMultilevel"/>
    <w:lvl w:ilvl="0">
      <w:lvlJc w:val="left"/>
      <w:lvlText w:val="(%1)"/>
      <w:numFmt w:val="lowerLetter"/>
      <w:start w:val="3"/>
    </w:lvl>
  </w:abstractNum>
  <w:abstractNum w:abstractNumId="214">
    <w:nsid w:val="2C02FE8C"/>
    <w:multiLevelType w:val="hybridMultilevel"/>
    <w:lvl w:ilvl="0">
      <w:lvlJc w:val="left"/>
      <w:lvlText w:val="(%1)"/>
      <w:numFmt w:val="lowerLetter"/>
      <w:start w:val="7"/>
    </w:lvl>
    <w:lvl w:ilvl="1">
      <w:lvlJc w:val="left"/>
      <w:lvlText w:val="(%2)"/>
      <w:numFmt w:val="lowerLetter"/>
      <w:start w:val="9"/>
    </w:lvl>
  </w:abstractNum>
  <w:abstractNum w:abstractNumId="215">
    <w:nsid w:val="129517E"/>
    <w:multiLevelType w:val="hybridMultilevel"/>
    <w:lvl w:ilvl="0">
      <w:lvlJc w:val="left"/>
      <w:lvlText w:val="%1"/>
      <w:numFmt w:val="decimal"/>
      <w:start w:val="1"/>
    </w:lvl>
    <w:lvl w:ilvl="1">
      <w:lvlJc w:val="left"/>
      <w:lvlText w:val="(%2)"/>
      <w:numFmt w:val="lowerRoman"/>
      <w:start w:val="2"/>
    </w:lvl>
  </w:abstractNum>
  <w:abstractNum w:abstractNumId="216">
    <w:nsid w:val="763B8C4E"/>
    <w:multiLevelType w:val="hybridMultilevel"/>
    <w:lvl w:ilvl="0">
      <w:lvlJc w:val="left"/>
      <w:lvlText w:val="(%1)"/>
      <w:numFmt w:val="decimal"/>
      <w:start w:val="1"/>
    </w:lvl>
    <w:lvl w:ilvl="1">
      <w:lvlJc w:val="left"/>
      <w:lvlText w:val="%2"/>
      <w:numFmt w:val="lowerRoman"/>
      <w:start w:val="1"/>
    </w:lvl>
  </w:abstractNum>
  <w:abstractNum w:abstractNumId="217">
    <w:nsid w:val="4CFB8D32"/>
    <w:multiLevelType w:val="hybridMultilevel"/>
    <w:lvl w:ilvl="0">
      <w:lvlJc w:val="left"/>
      <w:lvlText w:val="(%1)"/>
      <w:numFmt w:val="lowerRoman"/>
      <w:start w:val="5"/>
    </w:lvl>
  </w:abstractNum>
  <w:abstractNum w:abstractNumId="218">
    <w:nsid w:val="62A5D5BD"/>
    <w:multiLevelType w:val="hybridMultilevel"/>
    <w:lvl w:ilvl="0">
      <w:lvlJc w:val="left"/>
      <w:lvlText w:val="(%1)"/>
      <w:numFmt w:val="lowerLetter"/>
      <w:start w:val="1"/>
    </w:lvl>
  </w:abstractNum>
  <w:abstractNum w:abstractNumId="219">
    <w:nsid w:val="718FABF9"/>
    <w:multiLevelType w:val="hybridMultilevel"/>
    <w:lvl w:ilvl="0">
      <w:lvlJc w:val="left"/>
      <w:lvlText w:val="(%1)"/>
      <w:numFmt w:val="lowerLetter"/>
      <w:start w:val="2"/>
    </w:lvl>
  </w:abstractNum>
  <w:abstractNum w:abstractNumId="220">
    <w:nsid w:val="7775797C"/>
    <w:multiLevelType w:val="hybridMultilevel"/>
    <w:lvl w:ilvl="0">
      <w:lvlJc w:val="left"/>
      <w:lvlText w:val="(%1)"/>
      <w:numFmt w:val="lowerLetter"/>
      <w:start w:val="1"/>
    </w:lvl>
  </w:abstractNum>
  <w:abstractNum w:abstractNumId="221">
    <w:nsid w:val="1626FB8C"/>
    <w:multiLevelType w:val="hybridMultilevel"/>
    <w:lvl w:ilvl="0">
      <w:lvlJc w:val="left"/>
      <w:lvlText w:val="(%1)"/>
      <w:numFmt w:val="lowerLetter"/>
      <w:start w:val="1"/>
    </w:lvl>
  </w:abstractNum>
  <w:abstractNum w:abstractNumId="222">
    <w:nsid w:val="3957756A"/>
    <w:multiLevelType w:val="hybridMultilevel"/>
    <w:lvl w:ilvl="0">
      <w:lvlJc w:val="left"/>
      <w:lvlText w:val="(%1)"/>
      <w:numFmt w:val="lowerLetter"/>
      <w:start w:val="1"/>
    </w:lvl>
  </w:abstractNum>
  <w:abstractNum w:abstractNumId="223">
    <w:nsid w:val="3E6DA1C7"/>
    <w:multiLevelType w:val="hybridMultilevel"/>
    <w:lvl w:ilvl="0">
      <w:lvlJc w:val="left"/>
      <w:lvlText w:val="(%1)"/>
      <w:numFmt w:val="lowerLetter"/>
      <w:start w:val="2"/>
    </w:lvl>
  </w:abstractNum>
  <w:abstractNum w:abstractNumId="224">
    <w:nsid w:val="65CA235B"/>
    <w:multiLevelType w:val="hybridMultilevel"/>
    <w:lvl w:ilvl="0">
      <w:lvlJc w:val="left"/>
      <w:lvlText w:val="(%1)"/>
      <w:numFmt w:val="lowerLetter"/>
      <w:start w:val="1"/>
    </w:lvl>
  </w:abstractNum>
  <w:abstractNum w:abstractNumId="225">
    <w:nsid w:val="51CB0DA4"/>
    <w:multiLevelType w:val="hybridMultilevel"/>
    <w:lvl w:ilvl="0">
      <w:lvlJc w:val="left"/>
      <w:lvlText w:val="%1"/>
      <w:numFmt w:val="lowerLetter"/>
      <w:start w:val="1"/>
    </w:lvl>
    <w:lvl w:ilvl="1">
      <w:lvlJc w:val="left"/>
      <w:lvlText w:val="(%2)"/>
      <w:numFmt w:val="lowerLetter"/>
      <w:start w:val="1"/>
    </w:lvl>
  </w:abstractNum>
  <w:abstractNum w:abstractNumId="226">
    <w:nsid w:val="7B9B743C"/>
    <w:multiLevelType w:val="hybridMultilevel"/>
    <w:lvl w:ilvl="0">
      <w:lvlJc w:val="left"/>
      <w:lvlText w:val="(%1)"/>
      <w:numFmt w:val="lowerLetter"/>
      <w:start w:val="9"/>
    </w:lvl>
    <w:lvl w:ilvl="1">
      <w:lvlJc w:val="left"/>
      <w:lvlText w:val="(%2)"/>
      <w:numFmt w:val="lowerLetter"/>
      <w:start w:val="2"/>
    </w:lvl>
  </w:abstractNum>
  <w:abstractNum w:abstractNumId="227">
    <w:nsid w:val="13E21002"/>
    <w:multiLevelType w:val="hybridMultilevel"/>
    <w:lvl w:ilvl="0">
      <w:lvlJc w:val="left"/>
      <w:lvlText w:val="(%1)"/>
      <w:numFmt w:val="lowerLetter"/>
      <w:start w:val="4"/>
    </w:lvl>
  </w:abstractNum>
  <w:abstractNum w:abstractNumId="228">
    <w:nsid w:val="257D63F4"/>
    <w:multiLevelType w:val="hybridMultilevel"/>
    <w:lvl w:ilvl="0">
      <w:lvlJc w:val="left"/>
      <w:lvlText w:val="(%1)"/>
      <w:numFmt w:val="lowerLetter"/>
      <w:start w:val="1"/>
    </w:lvl>
  </w:abstractNum>
  <w:abstractNum w:abstractNumId="229">
    <w:nsid w:val="70EC11B2"/>
    <w:multiLevelType w:val="hybridMultilevel"/>
    <w:lvl w:ilvl="0">
      <w:lvlJc w:val="left"/>
      <w:lvlText w:val="(%1)"/>
      <w:numFmt w:val="lowerLetter"/>
      <w:start w:val="1"/>
    </w:lvl>
  </w:abstractNum>
  <w:abstractNum w:abstractNumId="230">
    <w:nsid w:val="2EDA00ED"/>
    <w:multiLevelType w:val="hybridMultilevel"/>
    <w:lvl w:ilvl="0">
      <w:lvlJc w:val="left"/>
      <w:lvlText w:val="(%1)"/>
      <w:numFmt w:val="lowerLetter"/>
      <w:start w:val="5"/>
    </w:lvl>
  </w:abstractNum>
  <w:abstractNum w:abstractNumId="231">
    <w:nsid w:val="73209072"/>
    <w:multiLevelType w:val="hybridMultilevel"/>
    <w:lvl w:ilvl="0">
      <w:lvlJc w:val="left"/>
      <w:lvlText w:val="(%1)"/>
      <w:numFmt w:val="lowerLetter"/>
      <w:start w:val="1"/>
    </w:lvl>
  </w:abstractNum>
  <w:abstractNum w:abstractNumId="232">
    <w:nsid w:val="5FB29816"/>
    <w:multiLevelType w:val="hybridMultilevel"/>
    <w:lvl w:ilvl="0">
      <w:lvlJc w:val="left"/>
      <w:lvlText w:val="(%1)"/>
      <w:numFmt w:val="lowerLetter"/>
      <w:start w:val="1"/>
    </w:lvl>
  </w:abstractNum>
  <w:abstractNum w:abstractNumId="233">
    <w:nsid w:val="3CE732EC"/>
    <w:multiLevelType w:val="hybridMultilevel"/>
    <w:lvl w:ilvl="0">
      <w:lvlJc w:val="left"/>
      <w:lvlText w:val="(%1)"/>
      <w:numFmt w:val="lowerLetter"/>
      <w:start w:val="3"/>
    </w:lvl>
  </w:abstractNum>
  <w:abstractNum w:abstractNumId="234">
    <w:nsid w:val="22F13DF3"/>
    <w:multiLevelType w:val="hybridMultilevel"/>
    <w:lvl w:ilvl="0">
      <w:lvlJc w:val="left"/>
      <w:lvlText w:val="(%1)"/>
      <w:numFmt w:val="lowerLetter"/>
      <w:start w:val="1"/>
    </w:lvl>
  </w:abstractNum>
  <w:abstractNum w:abstractNumId="235">
    <w:nsid w:val="792B8401"/>
    <w:multiLevelType w:val="hybridMultilevel"/>
    <w:lvl w:ilvl="0">
      <w:lvlJc w:val="left"/>
      <w:lvlText w:val="(%1)"/>
      <w:numFmt w:val="lowerLetter"/>
      <w:start w:val="4"/>
    </w:lvl>
    <w:lvl w:ilvl="1">
      <w:lvlJc w:val="left"/>
      <w:lvlText w:val="(%2)"/>
      <w:numFmt w:val="lowerLetter"/>
      <w:start w:val="2"/>
    </w:lvl>
  </w:abstractNum>
  <w:abstractNum w:abstractNumId="236">
    <w:nsid w:val="FA85F4D"/>
    <w:multiLevelType w:val="hybridMultilevel"/>
    <w:lvl w:ilvl="0">
      <w:lvlJc w:val="left"/>
      <w:lvlText w:val="(%1)"/>
      <w:numFmt w:val="lowerLetter"/>
      <w:start w:val="4"/>
    </w:lvl>
  </w:abstractNum>
  <w:abstractNum w:abstractNumId="237">
    <w:nsid w:val="6ECE91F0"/>
    <w:multiLevelType w:val="hybridMultilevel"/>
    <w:lvl w:ilvl="0">
      <w:lvlJc w:val="left"/>
      <w:lvlText w:val="(%1)"/>
      <w:numFmt w:val="lowerLetter"/>
      <w:start w:val="5"/>
    </w:lvl>
  </w:abstractNum>
  <w:abstractNum w:abstractNumId="238">
    <w:nsid w:val="4FC4D600"/>
    <w:multiLevelType w:val="hybridMultilevel"/>
    <w:lvl w:ilvl="0">
      <w:lvlJc w:val="left"/>
      <w:lvlText w:val="(%1)"/>
      <w:numFmt w:val="lowerLetter"/>
      <w:start w:val="9"/>
    </w:lvl>
  </w:abstractNum>
  <w:abstractNum w:abstractNumId="239">
    <w:nsid w:val="5BFD4210"/>
    <w:multiLevelType w:val="hybridMultilevel"/>
    <w:lvl w:ilvl="0">
      <w:lvlJc w:val="left"/>
      <w:lvlText w:val="(%1)"/>
      <w:numFmt w:val="lowerRoman"/>
      <w:start w:val="1"/>
    </w:lvl>
  </w:abstractNum>
  <w:abstractNum w:abstractNumId="240">
    <w:nsid w:val="76574F8B"/>
    <w:multiLevelType w:val="hybridMultilevel"/>
    <w:lvl w:ilvl="0">
      <w:lvlJc w:val="left"/>
      <w:lvlText w:val="(%1)"/>
      <w:numFmt w:val="lowerLetter"/>
      <w:start w:val="1"/>
    </w:lvl>
  </w:abstractNum>
  <w:abstractNum w:abstractNumId="241">
    <w:nsid w:val="178F7B67"/>
    <w:multiLevelType w:val="hybridMultilevel"/>
    <w:lvl w:ilvl="0">
      <w:lvlJc w:val="left"/>
      <w:lvlText w:val="(%1)"/>
      <w:numFmt w:val="lowerLetter"/>
      <w:start w:val="3"/>
    </w:lvl>
  </w:abstractNum>
  <w:abstractNum w:abstractNumId="242">
    <w:nsid w:val="2421DFCF"/>
    <w:multiLevelType w:val="hybridMultilevel"/>
    <w:lvl w:ilvl="0">
      <w:lvlJc w:val="left"/>
      <w:lvlText w:val="%1:"/>
      <w:numFmt w:val="upperLetter"/>
      <w:start w:val="20"/>
    </w:lvl>
  </w:abstractNum>
  <w:abstractNum w:abstractNumId="243">
    <w:nsid w:val="1565AC9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44">
    <w:nsid w:val="19FB26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45">
    <w:nsid w:val="5024DE5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6">
    <w:nsid w:val="168EFE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47">
    <w:nsid w:val="1036B29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48">
    <w:nsid w:val="1D206B8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49">
    <w:nsid w:val="7934D3D4"/>
    <w:multiLevelType w:val="hybridMultilevel"/>
    <w:lvl w:ilvl="0">
      <w:lvlJc w:val="left"/>
      <w:lvlText w:val="(%1)"/>
      <w:numFmt w:val="lowerLetter"/>
      <w:start w:val="1"/>
    </w:lvl>
  </w:abstractNum>
  <w:abstractNum w:abstractNumId="250">
    <w:nsid w:val="1C65E98"/>
    <w:multiLevelType w:val="hybridMultilevel"/>
    <w:lvl w:ilvl="0">
      <w:lvlJc w:val="left"/>
      <w:lvlText w:val="(%1)"/>
      <w:numFmt w:val="lowerLetter"/>
      <w:start w:val="3"/>
    </w:lvl>
    <w:lvl w:ilvl="1">
      <w:lvlJc w:val="left"/>
      <w:lvlText w:val="(%2)"/>
      <w:numFmt w:val="lowerRoman"/>
      <w:start w:val="1"/>
    </w:lvl>
  </w:abstractNum>
  <w:abstractNum w:abstractNumId="251">
    <w:nsid w:val="1495E50A"/>
    <w:multiLevelType w:val="hybridMultilevel"/>
    <w:lvl w:ilvl="0">
      <w:lvlJc w:val="left"/>
      <w:lvlText w:val="(%1)"/>
      <w:numFmt w:val="lowerLetter"/>
      <w:start w:val="5"/>
    </w:lvl>
    <w:lvl w:ilvl="1">
      <w:lvlJc w:val="left"/>
      <w:lvlText w:val="(%2)"/>
      <w:numFmt w:val="lowerRoman"/>
      <w:start w:val="1"/>
    </w:lvl>
  </w:abstractNum>
  <w:abstractNum w:abstractNumId="252">
    <w:nsid w:val="F5BCF61"/>
    <w:multiLevelType w:val="hybridMultilevel"/>
    <w:lvl w:ilvl="0">
      <w:lvlJc w:val="left"/>
      <w:lvlText w:val="(%1)"/>
      <w:numFmt w:val="lowerRoman"/>
      <w:start w:val="2"/>
    </w:lvl>
  </w:abstractNum>
  <w:abstractNum w:abstractNumId="253">
    <w:nsid w:val="3B1DD403"/>
    <w:multiLevelType w:val="hybridMultilevel"/>
    <w:lvl w:ilvl="0">
      <w:lvlJc w:val="left"/>
      <w:lvlText w:val="(%1)"/>
      <w:numFmt w:val="lowerLetter"/>
      <w:start w:val="9"/>
    </w:lvl>
  </w:abstractNum>
  <w:abstractNum w:abstractNumId="254">
    <w:nsid w:val="530386D1"/>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255">
    <w:nsid w:val="7525F2B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256">
    <w:nsid w:val="CE8E1A7"/>
    <w:multiLevelType w:val="hybridMultilevel"/>
    <w:lvl w:ilvl="0">
      <w:lvlJc w:val="left"/>
      <w:lvlText w:val="%1"/>
      <w:numFmt w:val="lowerLetter"/>
      <w:start w:val="1"/>
    </w:lvl>
    <w:lvl w:ilvl="1">
      <w:lvlJc w:val="left"/>
      <w:lvlText w:val="(%2)"/>
      <w:numFmt w:val="lowerRoman"/>
      <w:start w:val="3"/>
    </w:lvl>
  </w:abstractNum>
  <w:abstractNum w:abstractNumId="257">
    <w:nsid w:val="4E9EFB0D"/>
    <w:multiLevelType w:val="hybridMultilevel"/>
    <w:lvl w:ilvl="0">
      <w:lvlJc w:val="left"/>
      <w:lvlText w:val="(%1)"/>
      <w:numFmt w:val="lowerLetter"/>
      <w:start w:val="2"/>
    </w:lvl>
    <w:lvl w:ilvl="1">
      <w:lvlJc w:val="left"/>
      <w:lvlText w:val="%2"/>
      <w:numFmt w:val="lowerRoman"/>
      <w:start w:val="1"/>
    </w:lvl>
  </w:abstractNum>
  <w:abstractNum w:abstractNumId="258">
    <w:nsid w:val="90802B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59">
    <w:nsid w:val="3266459B"/>
    <w:multiLevelType w:val="hybridMultilevel"/>
    <w:lvl w:ilvl="0">
      <w:lvlJc w:val="left"/>
      <w:lvlText w:val="%1"/>
      <w:numFmt w:val="decimal"/>
      <w:start w:val="1"/>
    </w:lvl>
    <w:lvl w:ilvl="1">
      <w:lvlJc w:val="left"/>
      <w:lvlText w:val="(%2)"/>
      <w:numFmt w:val="lowerRoman"/>
      <w:start w:val="2"/>
    </w:lvl>
  </w:abstractNum>
  <w:abstractNum w:abstractNumId="260">
    <w:nsid w:val="3F8B0CBF"/>
    <w:multiLevelType w:val="hybridMultilevel"/>
    <w:lvl w:ilvl="0">
      <w:lvlJc w:val="left"/>
      <w:lvlText w:val="(%1)"/>
      <w:numFmt w:val="decimal"/>
      <w:start w:val="1"/>
    </w:lvl>
    <w:lvl w:ilvl="1">
      <w:lvlJc w:val="left"/>
      <w:lvlText w:val="%2"/>
      <w:numFmt w:val="lowerRoman"/>
      <w:start w:val="1"/>
    </w:lvl>
  </w:abstractNum>
  <w:abstractNum w:abstractNumId="261">
    <w:nsid w:val="37E203A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62">
    <w:nsid w:val="2586D60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63">
    <w:nsid w:val="1F3DA4D5"/>
    <w:multiLevelType w:val="hybridMultilevel"/>
    <w:lvl w:ilvl="0">
      <w:lvlJc w:val="left"/>
      <w:lvlText w:val="(%1)"/>
      <w:numFmt w:val="lowerRoman"/>
      <w:start w:val="4"/>
    </w:lvl>
  </w:abstractNum>
  <w:abstractNum w:abstractNumId="264">
    <w:nsid w:val="74C9369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65">
    <w:nsid w:val="48781401"/>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66">
    <w:nsid w:val="186928D6"/>
    <w:multiLevelType w:val="hybridMultilevel"/>
    <w:lvl w:ilvl="0">
      <w:lvlJc w:val="left"/>
      <w:lvlText w:val="%1."/>
      <w:numFmt w:val="decimal"/>
      <w:start w:val="8"/>
    </w:lvl>
    <w:lvl w:ilvl="1">
      <w:lvlJc w:val="left"/>
      <w:lvlText w:val="(%2)"/>
      <w:numFmt w:val="lowerLetter"/>
      <w:start w:val="1"/>
    </w:lvl>
  </w:abstractNum>
  <w:abstractNum w:abstractNumId="267">
    <w:nsid w:val="47195E5"/>
    <w:multiLevelType w:val="hybridMultilevel"/>
    <w:lvl w:ilvl="0">
      <w:lvlJc w:val="left"/>
      <w:lvlText w:val="%1"/>
      <w:numFmt w:val="decimal"/>
      <w:start w:val="1"/>
    </w:lvl>
    <w:lvl w:ilvl="1">
      <w:lvlJc w:val="left"/>
      <w:lvlText w:val="(%2)"/>
      <w:numFmt w:val="lowerLetter"/>
      <w:start w:val="4"/>
    </w:lvl>
  </w:abstractNum>
  <w:abstractNum w:abstractNumId="268">
    <w:nsid w:val="3746A5F2"/>
    <w:multiLevelType w:val="hybridMultilevel"/>
    <w:lvl w:ilvl="0">
      <w:lvlJc w:val="left"/>
      <w:lvlText w:val="%1."/>
      <w:numFmt w:val="decimal"/>
      <w:start w:val="9"/>
    </w:lvl>
    <w:lvl w:ilvl="1">
      <w:lvlJc w:val="left"/>
      <w:lvlText w:val="(%2)"/>
      <w:numFmt w:val="lowerLetter"/>
      <w:start w:val="1"/>
    </w:lvl>
  </w:abstractNum>
  <w:abstractNum w:abstractNumId="269">
    <w:nsid w:val="682DFED6"/>
    <w:multiLevelType w:val="hybridMultilevel"/>
    <w:lvl w:ilvl="0">
      <w:lvlJc w:val="left"/>
      <w:lvlText w:val="(%1)"/>
      <w:numFmt w:val="lowerLetter"/>
      <w:start w:val="6"/>
    </w:lvl>
  </w:abstractNum>
  <w:abstractNum w:abstractNumId="270">
    <w:nsid w:val="606ED7F6"/>
    <w:multiLevelType w:val="hybridMultilevel"/>
    <w:lvl w:ilvl="0">
      <w:lvlJc w:val="left"/>
      <w:lvlText w:val="(%1)"/>
      <w:numFmt w:val="lowerLetter"/>
      <w:start w:val="10"/>
    </w:lvl>
  </w:abstractNum>
  <w:abstractNum w:abstractNumId="271">
    <w:nsid w:val="2D9DF57D"/>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272">
    <w:nsid w:val="7FBD7A3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73">
    <w:nsid w:val="490B7C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decimal"/>
      <w:start w:val="1"/>
    </w:lvl>
  </w:abstractNum>
  <w:abstractNum w:abstractNumId="274">
    <w:nsid w:val="4303A216"/>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decimal"/>
      <w:start w:val="1"/>
    </w:lvl>
  </w:abstractNum>
  <w:abstractNum w:abstractNumId="275">
    <w:nsid w:val="19B8A08E"/>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276">
    <w:nsid w:val="54B59621"/>
    <w:multiLevelType w:val="hybridMultilevel"/>
    <w:lvl w:ilvl="0">
      <w:lvlJc w:val="left"/>
      <w:lvlText w:val="(%1)"/>
      <w:numFmt w:val="lowerRoman"/>
      <w:start w:val="2"/>
    </w:lvl>
  </w:abstractNum>
  <w:abstractNum w:abstractNumId="277">
    <w:nsid w:val="5992A02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78">
    <w:nsid w:val="29EF532D"/>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279">
    <w:nsid w:val="71D601A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80">
    <w:nsid w:val="52C77402"/>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81">
    <w:nsid w:val="2BB5B1C6"/>
    <w:multiLevelType w:val="hybridMultilevel"/>
    <w:lvl w:ilvl="0">
      <w:lvlJc w:val="left"/>
      <w:lvlText w:val="%1."/>
      <w:numFmt w:val="decimal"/>
      <w:start w:val="13"/>
    </w:lvl>
  </w:abstractNum>
  <w:abstractNum w:abstractNumId="282">
    <w:nsid w:val="66BE6B9"/>
    <w:multiLevelType w:val="hybridMultilevel"/>
    <w:lvl w:ilvl="0">
      <w:lvlJc w:val="left"/>
      <w:lvlText w:val="(%1)"/>
      <w:numFmt w:val="lowerRoman"/>
      <w:start w:val="1"/>
    </w:lvl>
  </w:abstractNum>
  <w:abstractNum w:abstractNumId="283">
    <w:nsid w:val="62234363"/>
    <w:multiLevelType w:val="hybridMultilevel"/>
    <w:lvl w:ilvl="0">
      <w:lvlJc w:val="left"/>
      <w:lvlText w:val="%1."/>
      <w:numFmt w:val="decimal"/>
      <w:start w:val="14"/>
    </w:lvl>
  </w:abstractNum>
  <w:abstractNum w:abstractNumId="284">
    <w:nsid w:val="66D385C9"/>
    <w:multiLevelType w:val="hybridMultilevel"/>
    <w:lvl w:ilvl="0">
      <w:lvlJc w:val="left"/>
      <w:lvlText w:val="(%1)"/>
      <w:numFmt w:val="lowerLetter"/>
      <w:start w:val="1"/>
    </w:lvl>
  </w:abstractNum>
  <w:abstractNum w:abstractNumId="285">
    <w:nsid w:val="596F6D8A"/>
    <w:multiLevelType w:val="hybridMultilevel"/>
    <w:lvl w:ilvl="0">
      <w:lvlJc w:val="left"/>
      <w:lvlText w:val="(%1)"/>
      <w:numFmt w:val="lowerLetter"/>
      <w:start w:val="9"/>
    </w:lvl>
    <w:lvl w:ilvl="1">
      <w:lvlJc w:val="left"/>
      <w:lvlText w:val="(%2)"/>
      <w:numFmt w:val="lowerLetter"/>
      <w:start w:val="9"/>
    </w:lvl>
  </w:abstractNum>
  <w:abstractNum w:abstractNumId="286">
    <w:nsid w:val="5749361F"/>
    <w:multiLevelType w:val="hybridMultilevel"/>
    <w:lvl w:ilvl="0">
      <w:lvlJc w:val="left"/>
      <w:lvlText w:val="(%1)"/>
      <w:numFmt w:val="lowerRoman"/>
      <w:start w:val="2"/>
    </w:lvl>
  </w:abstractNum>
  <w:abstractNum w:abstractNumId="287">
    <w:nsid w:val="73BC6770"/>
    <w:multiLevelType w:val="hybridMultilevel"/>
    <w:lvl w:ilvl="0">
      <w:lvlJc w:val="left"/>
      <w:lvlText w:val="(%1)"/>
      <w:numFmt w:val="lowerLetter"/>
      <w:start w:val="11"/>
    </w:lvl>
  </w:abstractNum>
  <w:abstractNum w:abstractNumId="288">
    <w:nsid w:val="280E6897"/>
    <w:multiLevelType w:val="hybridMultilevel"/>
    <w:lvl w:ilvl="0">
      <w:lvlJc w:val="left"/>
      <w:lvlText w:val="(%1)"/>
      <w:numFmt w:val="lowerLetter"/>
      <w:start w:val="15"/>
    </w:lvl>
    <w:lvl w:ilvl="1">
      <w:lvlJc w:val="left"/>
      <w:lvlText w:val="(%2)"/>
      <w:numFmt w:val="lowerRoman"/>
      <w:start w:val="1"/>
    </w:lvl>
  </w:abstractNum>
  <w:abstractNum w:abstractNumId="289">
    <w:nsid w:val="605138DE"/>
    <w:multiLevelType w:val="hybridMultilevel"/>
    <w:lvl w:ilvl="0">
      <w:lvlJc w:val="left"/>
      <w:lvlText w:val="(%1)"/>
      <w:numFmt w:val="lowerRoman"/>
      <w:start w:val="4"/>
    </w:lvl>
  </w:abstractNum>
  <w:abstractNum w:abstractNumId="290">
    <w:nsid w:val="2622AD0C"/>
    <w:multiLevelType w:val="hybridMultilevel"/>
    <w:lvl w:ilvl="0">
      <w:lvlJc w:val="left"/>
      <w:lvlText w:val="(%1)"/>
      <w:numFmt w:val="lowerLetter"/>
      <w:start w:val="19"/>
    </w:lvl>
  </w:abstractNum>
  <w:abstractNum w:abstractNumId="291">
    <w:nsid w:val="67997556"/>
    <w:multiLevelType w:val="hybridMultilevel"/>
    <w:lvl w:ilvl="0">
      <w:lvlJc w:val="left"/>
      <w:lvlText w:val="(%1)"/>
      <w:numFmt w:val="lowerLetter"/>
      <w:start w:val="27"/>
    </w:lvl>
  </w:abstractNum>
  <w:abstractNum w:abstractNumId="292">
    <w:nsid w:val="18333C89"/>
    <w:multiLevelType w:val="hybridMultilevel"/>
    <w:lvl w:ilvl="0">
      <w:lvlJc w:val="left"/>
      <w:lvlText w:val="%1"/>
      <w:numFmt w:val="lowerLetter"/>
      <w:start w:val="1"/>
    </w:lvl>
    <w:lvl w:ilvl="1">
      <w:lvlJc w:val="left"/>
      <w:lvlText w:val="(%2)"/>
      <w:numFmt w:val="lowerLetter"/>
      <w:start w:val="28"/>
    </w:lvl>
    <w:lvl w:ilvl="2">
      <w:lvlJc w:val="left"/>
      <w:lvlText w:val="(%3)"/>
      <w:numFmt w:val="lowerRoman"/>
      <w:start w:val="1"/>
    </w:lvl>
  </w:abstractNum>
  <w:abstractNum w:abstractNumId="293">
    <w:nsid w:val="4BA9831A"/>
    <w:multiLevelType w:val="hybridMultilevel"/>
    <w:lvl w:ilvl="0">
      <w:lvlJc w:val="left"/>
      <w:lvlText w:val="(%1)"/>
      <w:numFmt w:val="lowerLetter"/>
      <w:start w:val="35"/>
    </w:lvl>
    <w:lvl w:ilvl="1">
      <w:lvlJc w:val="left"/>
      <w:lvlText w:val="(%2)"/>
      <w:numFmt w:val="lowerLetter"/>
      <w:start w:val="30"/>
    </w:lvl>
    <w:lvl w:ilvl="2">
      <w:lvlJc w:val="left"/>
      <w:lvlText w:val="%3"/>
      <w:numFmt w:val="lowerRoman"/>
      <w:start w:val="1"/>
    </w:lvl>
  </w:abstractNum>
  <w:abstractNum w:abstractNumId="294">
    <w:nsid w:val="6D71A2B"/>
    <w:multiLevelType w:val="hybridMultilevel"/>
    <w:lvl w:ilvl="0">
      <w:lvlJc w:val="left"/>
      <w:lvlText w:val="%1"/>
      <w:numFmt w:val="lowerLetter"/>
      <w:start w:val="1"/>
    </w:lvl>
    <w:lvl w:ilvl="1">
      <w:lvlJc w:val="left"/>
      <w:lvlText w:val="(%2)"/>
      <w:numFmt w:val="lowerLetter"/>
      <w:start w:val="32"/>
    </w:lvl>
  </w:abstractNum>
  <w:abstractNum w:abstractNumId="295">
    <w:nsid w:val="CFC7321"/>
    <w:multiLevelType w:val="hybridMultilevel"/>
    <w:lvl w:ilvl="0">
      <w:lvlJc w:val="left"/>
      <w:lvlText w:val="(%1)"/>
      <w:numFmt w:val="lowerLetter"/>
      <w:start w:val="35"/>
    </w:lvl>
    <w:lvl w:ilvl="1">
      <w:lvlJc w:val="left"/>
      <w:lvlText w:val="(%2)"/>
      <w:numFmt w:val="lowerLetter"/>
      <w:start w:val="36"/>
    </w:lvl>
  </w:abstractNum>
  <w:abstractNum w:abstractNumId="296">
    <w:nsid w:val="1421971B"/>
    <w:multiLevelType w:val="hybridMultilevel"/>
    <w:lvl w:ilvl="0">
      <w:lvlJc w:val="left"/>
      <w:lvlText w:val="(%1)"/>
      <w:numFmt w:val="lowerLetter"/>
      <w:start w:val="39"/>
    </w:lvl>
  </w:abstractNum>
  <w:abstractNum w:abstractNumId="297">
    <w:nsid w:val="1F404301"/>
    <w:multiLevelType w:val="hybridMultilevel"/>
    <w:lvl w:ilvl="0">
      <w:lvlJc w:val="left"/>
      <w:lvlText w:val="%1"/>
      <w:numFmt w:val="decimal"/>
      <w:start w:val="1"/>
    </w:lvl>
    <w:lvl w:ilvl="1">
      <w:lvlJc w:val="left"/>
      <w:lvlText w:val="(%2)"/>
      <w:numFmt w:val="lowerLetter"/>
      <w:start w:val="49"/>
    </w:lvl>
  </w:abstractNum>
  <w:abstractNum w:abstractNumId="298">
    <w:nsid w:val="116E0907"/>
    <w:multiLevelType w:val="hybridMultilevel"/>
    <w:lvl w:ilvl="0">
      <w:lvlJc w:val="left"/>
      <w:lvlText w:val="(%1)"/>
      <w:numFmt w:val="decimal"/>
      <w:start w:val="8"/>
    </w:lvl>
    <w:lvl w:ilvl="1">
      <w:lvlJc w:val="left"/>
      <w:lvlText w:val="%2"/>
      <w:numFmt w:val="lowerLetter"/>
      <w:start w:val="1"/>
    </w:lvl>
  </w:abstractNum>
  <w:abstractNum w:abstractNumId="299">
    <w:nsid w:val="4B683D0D"/>
    <w:multiLevelType w:val="hybridMultilevel"/>
    <w:lvl w:ilvl="0">
      <w:lvlJc w:val="left"/>
      <w:lvlText w:val="(%1)"/>
      <w:numFmt w:val="decimal"/>
      <w:start w:val="9"/>
    </w:lvl>
    <w:lvl w:ilvl="1">
      <w:lvlJc w:val="left"/>
      <w:lvlText w:val="(%2)"/>
      <w:numFmt w:val="lowerLetter"/>
      <w:start w:val="51"/>
    </w:lvl>
  </w:abstractNum>
  <w:abstractNum w:abstractNumId="300">
    <w:nsid w:val="76E41D8"/>
    <w:multiLevelType w:val="hybridMultilevel"/>
    <w:lvl w:ilvl="0">
      <w:lvlJc w:val="left"/>
      <w:lvlText w:val="(%1)"/>
      <w:numFmt w:val="lowerLetter"/>
      <w:start w:val="53"/>
    </w:lvl>
  </w:abstractNum>
  <w:abstractNum w:abstractNumId="301">
    <w:nsid w:val="71DCE0FD"/>
    <w:multiLevelType w:val="hybridMultilevel"/>
    <w:lvl w:ilvl="0">
      <w:lvlJc w:val="left"/>
      <w:lvlText w:val="(%1)"/>
      <w:numFmt w:val="lowerLetter"/>
      <w:start w:val="58"/>
    </w:lvl>
  </w:abstractNum>
  <w:abstractNum w:abstractNumId="302">
    <w:nsid w:val="7906328B"/>
    <w:multiLevelType w:val="hybridMultilevel"/>
    <w:lvl w:ilvl="0">
      <w:lvlJc w:val="left"/>
      <w:lvlText w:val="(%1)"/>
      <w:numFmt w:val="lowerLetter"/>
      <w:start w:val="69"/>
    </w:lvl>
  </w:abstractNum>
  <w:abstractNum w:abstractNumId="303">
    <w:nsid w:val="72BBC16"/>
    <w:multiLevelType w:val="hybridMultilevel"/>
    <w:lvl w:ilvl="0">
      <w:lvlJc w:val="left"/>
      <w:lvlText w:val="1"/>
      <w:numFmt w:val="bullet"/>
      <w:start w:val="1"/>
    </w:lvl>
  </w:abstractNum>
  <w:abstractNum w:abstractNumId="304">
    <w:nsid w:val="766D98C2"/>
    <w:multiLevelType w:val="hybridMultilevel"/>
    <w:lvl w:ilvl="0">
      <w:lvlJc w:val="left"/>
      <w:lvlText w:val="2"/>
      <w:numFmt w:val="bullet"/>
      <w:start w:val="1"/>
    </w:lvl>
  </w:abstractNum>
  <w:abstractNum w:abstractNumId="305">
    <w:nsid w:val="3C09D4A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06">
    <w:nsid w:val="20E45CA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07">
    <w:nsid w:val="4B232EE3"/>
    <w:multiLevelType w:val="hybridMultilevel"/>
    <w:lvl w:ilvl="0">
      <w:lvlJc w:val="left"/>
      <w:lvlText w:val="(%1)"/>
      <w:numFmt w:val="lowerLetter"/>
      <w:start w:val="3"/>
    </w:lvl>
  </w:abstractNum>
  <w:abstractNum w:abstractNumId="308">
    <w:nsid w:val="159C74CF"/>
    <w:multiLevelType w:val="hybridMultilevel"/>
    <w:lvl w:ilvl="0">
      <w:lvlJc w:val="left"/>
      <w:lvlText w:val="%1."/>
      <w:numFmt w:val="decimal"/>
      <w:start w:val="5"/>
    </w:lvl>
  </w:abstractNum>
  <w:abstractNum w:abstractNumId="309">
    <w:nsid w:val="4AD3AFD2"/>
    <w:multiLevelType w:val="hybridMultilevel"/>
    <w:lvl w:ilvl="0">
      <w:lvlJc w:val="left"/>
      <w:lvlText w:val="(%1)"/>
      <w:numFmt w:val="lowerLetter"/>
      <w:start w:val="1"/>
    </w:lvl>
  </w:abstractNum>
  <w:abstractNum w:abstractNumId="310">
    <w:nsid w:val="3CF93092"/>
    <w:multiLevelType w:val="hybridMultilevel"/>
    <w:lvl w:ilvl="0">
      <w:lvlJc w:val="left"/>
      <w:lvlText w:val="%1"/>
      <w:numFmt w:val="decimal"/>
      <w:start w:val="1"/>
    </w:lvl>
    <w:lvl w:ilvl="1">
      <w:lvlJc w:val="left"/>
      <w:lvlText w:val="(%2)"/>
      <w:numFmt w:val="lowerLetter"/>
      <w:start w:val="6"/>
    </w:lvl>
  </w:abstractNum>
  <w:abstractNum w:abstractNumId="311">
    <w:nsid w:val="6863E8D2"/>
    <w:multiLevelType w:val="hybridMultilevel"/>
    <w:lvl w:ilvl="0">
      <w:lvlJc w:val="left"/>
      <w:lvlText w:val="%1."/>
      <w:numFmt w:val="decimal"/>
      <w:start w:val="6"/>
    </w:lvl>
    <w:lvl w:ilvl="1">
      <w:lvlJc w:val="left"/>
      <w:lvlText w:val="(%2)"/>
      <w:numFmt w:val="lowerLetter"/>
      <w:start w:val="1"/>
    </w:lvl>
  </w:abstractNum>
  <w:abstractNum w:abstractNumId="312">
    <w:nsid w:val="76896198"/>
    <w:multiLevelType w:val="hybridMultilevel"/>
    <w:lvl w:ilvl="0">
      <w:lvlJc w:val="left"/>
      <w:lvlText w:val="(%1)"/>
      <w:numFmt w:val="upperLetter"/>
      <w:start w:val="1"/>
    </w:lvl>
    <w:lvl w:ilvl="1">
      <w:lvlJc w:val="left"/>
      <w:lvlText w:val="(%2)"/>
      <w:numFmt w:val="lowerLetter"/>
      <w:start w:val="3"/>
    </w:lvl>
  </w:abstractNum>
  <w:abstractNum w:abstractNumId="313">
    <w:nsid w:val="4365174B"/>
    <w:multiLevelType w:val="hybridMultilevel"/>
    <w:lvl w:ilvl="0">
      <w:lvlJc w:val="left"/>
      <w:lvlText w:val="%1."/>
      <w:numFmt w:val="decimal"/>
      <w:start w:val="9"/>
    </w:lvl>
    <w:lvl w:ilvl="1">
      <w:lvlJc w:val="left"/>
      <w:lvlText w:val="(%2)"/>
      <w:numFmt w:val="lowerLetter"/>
      <w:start w:val="1"/>
    </w:lvl>
  </w:abstractNum>
  <w:abstractNum w:abstractNumId="314">
    <w:nsid w:val="4A872C35"/>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315">
    <w:nsid w:val="5D5CE761"/>
    <w:multiLevelType w:val="hybridMultilevel"/>
    <w:lvl w:ilvl="0">
      <w:lvlJc w:val="left"/>
      <w:lvlText w:val="%1"/>
      <w:numFmt w:val="lowerLetter"/>
      <w:start w:val="1"/>
    </w:lvl>
    <w:lvl w:ilvl="1">
      <w:lvlJc w:val="left"/>
      <w:lvlText w:val="(%2)"/>
      <w:numFmt w:val="lowerRoman"/>
      <w:start w:val="2"/>
    </w:lvl>
  </w:abstractNum>
  <w:abstractNum w:abstractNumId="316">
    <w:nsid w:val="1CD484D5"/>
    <w:multiLevelType w:val="hybridMultilevel"/>
    <w:lvl w:ilvl="0">
      <w:lvlJc w:val="left"/>
      <w:lvlText w:val="(%1)"/>
      <w:numFmt w:val="lowerLetter"/>
      <w:start w:val="2"/>
    </w:lvl>
    <w:lvl w:ilvl="1">
      <w:lvlJc w:val="left"/>
      <w:lvlText w:val="%2"/>
      <w:numFmt w:val="lowerRoman"/>
      <w:start w:val="1"/>
    </w:lvl>
  </w:abstractNum>
  <w:abstractNum w:abstractNumId="317">
    <w:nsid w:val="21D06255"/>
    <w:multiLevelType w:val="hybridMultilevel"/>
    <w:lvl w:ilvl="0">
      <w:lvlJc w:val="left"/>
      <w:lvlText w:val="%1"/>
      <w:numFmt w:val="decimal"/>
      <w:start w:val="1"/>
    </w:lvl>
    <w:lvl w:ilvl="1">
      <w:lvlJc w:val="left"/>
      <w:lvlText w:val="(%2)"/>
      <w:numFmt w:val="lowerLetter"/>
      <w:start w:val="4"/>
    </w:lvl>
  </w:abstractNum>
  <w:abstractNum w:abstractNumId="318">
    <w:nsid w:val="51194ED1"/>
    <w:multiLevelType w:val="hybridMultilevel"/>
    <w:lvl w:ilvl="0">
      <w:lvlJc w:val="left"/>
      <w:lvlText w:val="%1."/>
      <w:numFmt w:val="decimal"/>
      <w:start w:val="12"/>
    </w:lvl>
    <w:lvl w:ilvl="1">
      <w:lvlJc w:val="left"/>
      <w:lvlText w:val="(%2)"/>
      <w:numFmt w:val="lowerLetter"/>
      <w:start w:val="1"/>
    </w:lvl>
  </w:abstractNum>
  <w:abstractNum w:abstractNumId="319">
    <w:nsid w:val="44E2ED6C"/>
    <w:multiLevelType w:val="hybridMultilevel"/>
    <w:lvl w:ilvl="0">
      <w:lvlJc w:val="left"/>
      <w:lvlText w:val="%1."/>
      <w:numFmt w:val="decimal"/>
      <w:start w:val="14"/>
    </w:lvl>
  </w:abstractNum>
  <w:abstractNum w:abstractNumId="320">
    <w:nsid w:val="2219B33"/>
    <w:multiLevelType w:val="hybridMultilevel"/>
    <w:lvl w:ilvl="0">
      <w:lvlJc w:val="left"/>
      <w:lvlText w:val="3"/>
      <w:numFmt w:val="bullet"/>
      <w:start w:val="1"/>
    </w:lvl>
  </w:abstractNum>
  <w:abstractNum w:abstractNumId="321">
    <w:nsid w:val="773BFBDD"/>
    <w:multiLevelType w:val="hybridMultilevel"/>
    <w:lvl w:ilvl="0">
      <w:lvlJc w:val="left"/>
      <w:lvlText w:val="4"/>
      <w:numFmt w:val="bullet"/>
      <w:start w:val="1"/>
    </w:lvl>
  </w:abstractNum>
  <w:abstractNum w:abstractNumId="322">
    <w:nsid w:val="2C7C62C2"/>
    <w:multiLevelType w:val="hybridMultilevel"/>
    <w:lvl w:ilvl="0">
      <w:lvlJc w:val="left"/>
      <w:lvlText w:val="5"/>
      <w:numFmt w:val="bullet"/>
      <w:start w:val="1"/>
    </w:lvl>
  </w:abstractNum>
  <w:abstractNum w:abstractNumId="323">
    <w:nsid w:val="1A54D7BC"/>
    <w:multiLevelType w:val="hybridMultilevel"/>
    <w:lvl w:ilvl="0">
      <w:lvlJc w:val="left"/>
      <w:lvlText w:val="6"/>
      <w:numFmt w:val="bullet"/>
      <w:start w:val="1"/>
    </w:lvl>
  </w:abstractNum>
  <w:abstractNum w:abstractNumId="324">
    <w:nsid w:val="42E57EF7"/>
    <w:multiLevelType w:val="hybridMultilevel"/>
    <w:lvl w:ilvl="0">
      <w:lvlJc w:val="left"/>
      <w:lvlText w:val="7"/>
      <w:numFmt w:val="bullet"/>
      <w:start w:val="1"/>
    </w:lvl>
  </w:abstractNum>
  <w:abstractNum w:abstractNumId="325">
    <w:nsid w:val="33537CED"/>
    <w:multiLevelType w:val="hybridMultilevel"/>
    <w:lvl w:ilvl="0">
      <w:lvlJc w:val="left"/>
      <w:lvlText w:val="•"/>
      <w:numFmt w:val="bullet"/>
      <w:start w:val="1"/>
    </w:lvl>
  </w:abstractNum>
  <w:abstractNum w:abstractNumId="326">
    <w:nsid w:val="27514ADE"/>
    <w:multiLevelType w:val="hybridMultilevel"/>
    <w:lvl w:ilvl="0">
      <w:lvlJc w:val="left"/>
      <w:lvlText w:val="%1."/>
      <w:numFmt w:val="decimal"/>
      <w:start w:val="1"/>
    </w:lvl>
    <w:lvl w:ilvl="1">
      <w:lvlJc w:val="left"/>
      <w:lvlText w:val="(%2)"/>
      <w:numFmt w:val="lowerLetter"/>
      <w:start w:val="1"/>
    </w:lvl>
  </w:abstractNum>
  <w:abstractNum w:abstractNumId="327">
    <w:nsid w:val="57071613"/>
    <w:multiLevelType w:val="hybridMultilevel"/>
    <w:lvl w:ilvl="0">
      <w:lvlJc w:val="left"/>
      <w:lvlText w:val="%1."/>
      <w:numFmt w:val="decimal"/>
      <w:start w:val="2"/>
    </w:lvl>
  </w:abstractNum>
  <w:abstractNum w:abstractNumId="328">
    <w:nsid w:val="5293BFE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29">
    <w:nsid w:val="38BF53E5"/>
    <w:multiLevelType w:val="hybridMultilevel"/>
    <w:lvl w:ilvl="0">
      <w:lvlJc w:val="left"/>
      <w:lvlText w:val="(%1)"/>
      <w:numFmt w:val="lowerLetter"/>
      <w:start w:val="3"/>
    </w:lvl>
  </w:abstractNum>
  <w:abstractNum w:abstractNumId="330">
    <w:nsid w:val="226F5320"/>
    <w:multiLevelType w:val="hybridMultilevel"/>
    <w:lvl w:ilvl="0">
      <w:lvlJc w:val="left"/>
      <w:lvlText w:val="%1"/>
      <w:numFmt w:val="lowerLetter"/>
      <w:start w:val="1"/>
    </w:lvl>
    <w:lvl w:ilvl="1">
      <w:lvlJc w:val="left"/>
      <w:lvlText w:val="%2."/>
      <w:numFmt w:val="decimal"/>
      <w:start w:val="6"/>
    </w:lvl>
  </w:abstractNum>
  <w:abstractNum w:abstractNumId="331">
    <w:nsid w:val="5A0201C7"/>
    <w:multiLevelType w:val="hybridMultilevel"/>
    <w:lvl w:ilvl="0">
      <w:lvlJc w:val="left"/>
      <w:lvlText w:val="(%1)"/>
      <w:numFmt w:val="lowerLetter"/>
      <w:start w:val="2"/>
    </w:lvl>
    <w:lvl w:ilvl="1">
      <w:lvlJc w:val="left"/>
      <w:lvlText w:val="%2."/>
      <w:numFmt w:val="decimal"/>
      <w:start w:val="9"/>
    </w:lvl>
  </w:abstractNum>
  <w:abstractNum w:abstractNumId="332">
    <w:nsid w:val="2A9C34E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3">
    <w:nsid w:val="1B7585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34">
    <w:nsid w:val="612DBDD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35">
    <w:nsid w:val="2109CDA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36">
    <w:nsid w:val="577F5A4D"/>
    <w:multiLevelType w:val="hybridMultilevel"/>
    <w:lvl w:ilvl="0">
      <w:lvlJc w:val="left"/>
      <w:lvlText w:val="%1"/>
      <w:numFmt w:val="decimal"/>
      <w:start w:val="1"/>
    </w:lvl>
    <w:lvl w:ilvl="1">
      <w:lvlJc w:val="left"/>
      <w:lvlText w:val="(%2)"/>
      <w:numFmt w:val="lowerLetter"/>
      <w:start w:val="2"/>
    </w:lvl>
  </w:abstractNum>
  <w:abstractNum w:abstractNumId="337">
    <w:nsid w:val="2121A81"/>
    <w:multiLevelType w:val="hybridMultilevel"/>
    <w:lvl w:ilvl="0">
      <w:lvlJc w:val="left"/>
      <w:lvlText w:val="%1."/>
      <w:numFmt w:val="decimal"/>
      <w:start w:val="4"/>
    </w:lvl>
    <w:lvl w:ilvl="1">
      <w:lvlJc w:val="left"/>
      <w:lvlText w:val="(%2)"/>
      <w:numFmt w:val="lowerLetter"/>
      <w:start w:val="1"/>
    </w:lvl>
  </w:abstractNum>
  <w:abstractNum w:abstractNumId="338">
    <w:nsid w:val="6C2CFC88"/>
    <w:multiLevelType w:val="hybridMultilevel"/>
    <w:lvl w:ilvl="0">
      <w:lvlJc w:val="left"/>
      <w:lvlText w:val="(%1)"/>
      <w:numFmt w:val="lowerLetter"/>
      <w:start w:val="2"/>
    </w:lvl>
    <w:lvl w:ilvl="1">
      <w:lvlJc w:val="left"/>
      <w:lvlText w:val="(%2)"/>
      <w:numFmt w:val="lowerRoman"/>
      <w:start w:val="1"/>
    </w:lvl>
  </w:abstractNum>
  <w:abstractNum w:abstractNumId="339">
    <w:nsid w:val="6D1BCF1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40">
    <w:nsid w:val="4CE5CA5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41">
    <w:nsid w:val="29262D1A"/>
    <w:multiLevelType w:val="hybridMultilevel"/>
    <w:lvl w:ilvl="0">
      <w:lvlJc w:val="left"/>
      <w:lvlText w:val="(%1)"/>
      <w:numFmt w:val="lowerLetter"/>
      <w:start w:val="2"/>
    </w:lvl>
  </w:abstractNum>
  <w:abstractNum w:abstractNumId="342">
    <w:nsid w:val="557FB7EE"/>
    <w:multiLevelType w:val="hybridMultilevel"/>
    <w:lvl w:ilvl="0">
      <w:lvlJc w:val="left"/>
      <w:lvlText w:val="%1."/>
      <w:numFmt w:val="decimal"/>
      <w:start w:val="8"/>
    </w:lvl>
    <w:lvl w:ilvl="1">
      <w:lvlJc w:val="left"/>
      <w:lvlText w:val="(%2)"/>
      <w:numFmt w:val="lowerLetter"/>
      <w:start w:val="1"/>
    </w:lvl>
  </w:abstractNum>
  <w:abstractNum w:abstractNumId="343">
    <w:nsid w:val="436F2BEB"/>
    <w:multiLevelType w:val="hybridMultilevel"/>
    <w:lvl w:ilvl="0">
      <w:lvlJc w:val="left"/>
      <w:lvlText w:val="%1."/>
      <w:numFmt w:val="decimal"/>
      <w:start w:val="10"/>
    </w:lvl>
    <w:lvl w:ilvl="1">
      <w:lvlJc w:val="left"/>
      <w:lvlText w:val="(%2)"/>
      <w:numFmt w:val="lowerLetter"/>
      <w:start w:val="1"/>
    </w:lvl>
  </w:abstractNum>
  <w:abstractNum w:abstractNumId="344">
    <w:nsid w:val="6C8B4466"/>
    <w:multiLevelType w:val="hybridMultilevel"/>
    <w:lvl w:ilvl="0">
      <w:lvlJc w:val="left"/>
      <w:lvlText w:val="(%1)"/>
      <w:numFmt w:val="lowerLetter"/>
      <w:start w:val="2"/>
    </w:lvl>
  </w:abstractNum>
  <w:abstractNum w:abstractNumId="345">
    <w:nsid w:val="2006E424"/>
    <w:multiLevelType w:val="hybridMultilevel"/>
    <w:lvl w:ilvl="0">
      <w:lvlJc w:val="left"/>
      <w:lvlText w:val="%1."/>
      <w:numFmt w:val="decimal"/>
      <w:start w:val="13"/>
    </w:lvl>
    <w:lvl w:ilvl="1">
      <w:lvlJc w:val="left"/>
      <w:lvlText w:val="(%2)"/>
      <w:numFmt w:val="lowerLetter"/>
      <w:start w:val="1"/>
    </w:lvl>
  </w:abstractNum>
  <w:abstractNum w:abstractNumId="346">
    <w:nsid w:val="20CC134C"/>
    <w:multiLevelType w:val="hybridMultilevel"/>
    <w:lvl w:ilvl="0">
      <w:lvlJc w:val="left"/>
      <w:lvlText w:val="%1"/>
      <w:numFmt w:val="decimal"/>
      <w:start w:val="1"/>
    </w:lvl>
    <w:lvl w:ilvl="1">
      <w:lvlJc w:val="left"/>
      <w:lvlText w:val="(%2)"/>
      <w:numFmt w:val="lowerLetter"/>
      <w:start w:val="3"/>
    </w:lvl>
  </w:abstractNum>
  <w:abstractNum w:abstractNumId="347">
    <w:nsid w:val="95FC93B"/>
    <w:multiLevelType w:val="hybridMultilevel"/>
    <w:lvl w:ilvl="0">
      <w:lvlJc w:val="left"/>
      <w:lvlText w:val="%1."/>
      <w:numFmt w:val="decimal"/>
      <w:start w:val="14"/>
    </w:lvl>
    <w:lvl w:ilvl="1">
      <w:lvlJc w:val="left"/>
      <w:lvlText w:val="%2"/>
      <w:numFmt w:val="lowerLetter"/>
      <w:start w:val="1"/>
    </w:lvl>
  </w:abstractNum>
  <w:abstractNum w:abstractNumId="348">
    <w:nsid w:val="41D74679"/>
    <w:multiLevelType w:val="hybridMultilevel"/>
    <w:lvl w:ilvl="0">
      <w:lvlJc w:val="left"/>
      <w:lvlText w:val="%1."/>
      <w:numFmt w:val="decimal"/>
      <w:start w:val="15"/>
    </w:lvl>
    <w:lvl w:ilvl="1">
      <w:lvlJc w:val="left"/>
      <w:lvlText w:val="(%2)"/>
      <w:numFmt w:val="lowerLetter"/>
      <w:start w:val="1"/>
    </w:lvl>
  </w:abstractNum>
  <w:abstractNum w:abstractNumId="349">
    <w:nsid w:val="71E5621E"/>
    <w:multiLevelType w:val="hybridMultilevel"/>
    <w:lvl w:ilvl="0">
      <w:lvlJc w:val="left"/>
      <w:lvlText w:val="(%1)"/>
      <w:numFmt w:val="lowerLetter"/>
      <w:start w:val="1"/>
    </w:lvl>
    <w:lvl w:ilvl="1">
      <w:lvlJc w:val="left"/>
      <w:lvlText w:val="(%2)"/>
      <w:numFmt w:val="lowerRoman"/>
      <w:start w:val="1"/>
    </w:lvl>
  </w:abstractNum>
  <w:abstractNum w:abstractNumId="350">
    <w:nsid w:val="4E42B6A8"/>
    <w:multiLevelType w:val="hybridMultilevel"/>
    <w:lvl w:ilvl="0">
      <w:lvlJc w:val="left"/>
      <w:lvlText w:val="%1"/>
      <w:numFmt w:val="lowerLetter"/>
      <w:start w:val="1"/>
    </w:lvl>
    <w:lvl w:ilvl="1">
      <w:lvlJc w:val="left"/>
      <w:lvlText w:val="(%2)"/>
      <w:numFmt w:val="lowerRoman"/>
      <w:start w:val="3"/>
    </w:lvl>
  </w:abstractNum>
  <w:abstractNum w:abstractNumId="351">
    <w:nsid w:val="43F8E1AC"/>
    <w:multiLevelType w:val="hybridMultilevel"/>
    <w:lvl w:ilvl="0">
      <w:lvlJc w:val="left"/>
      <w:lvlText w:val="(%1)"/>
      <w:numFmt w:val="lowerLetter"/>
      <w:start w:val="11"/>
    </w:lvl>
    <w:lvl w:ilvl="1">
      <w:lvlJc w:val="left"/>
      <w:lvlText w:val="(%2)"/>
      <w:numFmt w:val="lowerRoman"/>
      <w:start w:val="1"/>
    </w:lvl>
  </w:abstractNum>
  <w:abstractNum w:abstractNumId="352">
    <w:nsid w:val="69215DFB"/>
    <w:multiLevelType w:val="hybridMultilevel"/>
    <w:lvl w:ilvl="0">
      <w:lvlJc w:val="left"/>
      <w:lvlText w:val="%1"/>
      <w:numFmt w:val="lowerLetter"/>
      <w:start w:val="1"/>
    </w:lvl>
    <w:lvl w:ilvl="1">
      <w:lvlJc w:val="left"/>
      <w:lvlText w:val="(%2)"/>
      <w:numFmt w:val="lowerRoman"/>
      <w:start w:val="2"/>
    </w:lvl>
  </w:abstractNum>
  <w:abstractNum w:abstractNumId="353">
    <w:nsid w:val="7ABF196A"/>
    <w:multiLevelType w:val="hybridMultilevel"/>
    <w:lvl w:ilvl="0">
      <w:lvlJc w:val="left"/>
      <w:lvlText w:val="(%1)"/>
      <w:numFmt w:val="lowerLetter"/>
      <w:start w:val="20"/>
    </w:lvl>
    <w:lvl w:ilvl="1">
      <w:lvlJc w:val="left"/>
      <w:lvlText w:val="%2"/>
      <w:numFmt w:val="lowerRoman"/>
      <w:start w:val="1"/>
    </w:lvl>
  </w:abstractNum>
  <w:abstractNum w:abstractNumId="354">
    <w:nsid w:val="5E4DB968"/>
    <w:multiLevelType w:val="hybridMultilevel"/>
    <w:lvl w:ilvl="0">
      <w:lvlJc w:val="left"/>
      <w:lvlText w:val="(%1)"/>
      <w:numFmt w:val="lowerLetter"/>
      <w:start w:val="27"/>
    </w:lvl>
  </w:abstractNum>
  <w:abstractNum w:abstractNumId="355">
    <w:nsid w:val="2C06DCF3"/>
    <w:multiLevelType w:val="hybridMultilevel"/>
    <w:lvl w:ilvl="0">
      <w:lvlJc w:val="left"/>
      <w:lvlText w:val="(%1)"/>
      <w:numFmt w:val="lowerLetter"/>
      <w:start w:val="30"/>
    </w:lvl>
  </w:abstractNum>
  <w:abstractNum w:abstractNumId="356">
    <w:nsid w:val="2E129658"/>
    <w:multiLevelType w:val="hybridMultilevel"/>
    <w:lvl w:ilvl="0">
      <w:lvlJc w:val="left"/>
      <w:lvlText w:val="%1."/>
      <w:numFmt w:val="decimal"/>
      <w:start w:val="1"/>
    </w:lvl>
    <w:lvl w:ilvl="1">
      <w:lvlJc w:val="left"/>
      <w:lvlText w:val="%2."/>
      <w:numFmt w:val="lowerLetter"/>
      <w:start w:val="1"/>
    </w:lvl>
  </w:abstractNum>
  <w:abstractNum w:abstractNumId="357">
    <w:nsid w:val="59F0446"/>
    <w:multiLevelType w:val="hybridMultilevel"/>
    <w:lvl w:ilvl="0">
      <w:lvlJc w:val="left"/>
      <w:lvlText w:val="%1."/>
      <w:numFmt w:val="decimal"/>
      <w:start w:val="1"/>
    </w:lvl>
  </w:abstractNum>
  <w:abstractNum w:abstractNumId="358">
    <w:nsid w:val="30DF306"/>
    <w:multiLevelType w:val="hybridMultilevel"/>
    <w:lvl w:ilvl="0">
      <w:lvlJc w:val="left"/>
      <w:lvlText w:val="%1."/>
      <w:numFmt w:val="decimal"/>
      <w:start w:val="1"/>
    </w:lvl>
    <w:lvl w:ilvl="1">
      <w:lvlJc w:val="left"/>
      <w:lvlText w:val="(%2)"/>
      <w:numFmt w:val="lowerLetter"/>
      <w:start w:val="1"/>
    </w:lvl>
  </w:abstractNum>
  <w:abstractNum w:abstractNumId="359">
    <w:nsid w:val="A65647"/>
    <w:multiLevelType w:val="hybridMultilevel"/>
    <w:lvl w:ilvl="0">
      <w:lvlJc w:val="left"/>
      <w:lvlText w:val="%1"/>
      <w:numFmt w:val="decimal"/>
      <w:start w:val="1"/>
    </w:lvl>
    <w:lvl w:ilvl="1">
      <w:lvlJc w:val="left"/>
      <w:lvlText w:val="(%2)"/>
      <w:numFmt w:val="lowerLetter"/>
      <w:start w:val="3"/>
    </w:lvl>
  </w:abstractNum>
  <w:abstractNum w:abstractNumId="360">
    <w:nsid w:val="3E5E582B"/>
    <w:multiLevelType w:val="hybridMultilevel"/>
    <w:lvl w:ilvl="0">
      <w:lvlJc w:val="left"/>
      <w:lvlText w:val="%1."/>
      <w:numFmt w:val="decimal"/>
      <w:start w:val="2"/>
    </w:lvl>
    <w:lvl w:ilvl="1">
      <w:lvlJc w:val="left"/>
      <w:lvlText w:val="(%2)"/>
      <w:numFmt w:val="lowerLetter"/>
      <w:start w:val="1"/>
    </w:lvl>
  </w:abstractNum>
  <w:abstractNum w:abstractNumId="361">
    <w:nsid w:val="257D4626"/>
    <w:multiLevelType w:val="hybridMultilevel"/>
    <w:lvl w:ilvl="0">
      <w:lvlJc w:val="left"/>
      <w:lvlText w:val="%1"/>
      <w:numFmt w:val="decimal"/>
      <w:start w:val="1"/>
    </w:lvl>
    <w:lvl w:ilvl="1">
      <w:lvlJc w:val="left"/>
      <w:lvlText w:val="(%2)"/>
      <w:numFmt w:val="lowerLetter"/>
      <w:start w:val="2"/>
    </w:lvl>
  </w:abstractNum>
  <w:abstractNum w:abstractNumId="362">
    <w:nsid w:val="5AA8580E"/>
    <w:multiLevelType w:val="hybridMultilevel"/>
    <w:lvl w:ilvl="0">
      <w:lvlJc w:val="left"/>
      <w:lvlText w:val="%1."/>
      <w:numFmt w:val="decimal"/>
      <w:start w:val="3"/>
    </w:lvl>
    <w:lvl w:ilvl="1">
      <w:lvlJc w:val="left"/>
      <w:lvlText w:val="(%2)"/>
      <w:numFmt w:val="lowerLetter"/>
      <w:start w:val="1"/>
    </w:lvl>
  </w:abstractNum>
  <w:abstractNum w:abstractNumId="363">
    <w:nsid w:val="68FA8D0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364">
    <w:nsid w:val="40F2CBD2"/>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abstractNum>
  <w:abstractNum w:abstractNumId="365">
    <w:nsid w:val="3BD615EB"/>
    <w:multiLevelType w:val="hybridMultilevel"/>
    <w:lvl w:ilvl="0">
      <w:lvlJc w:val="left"/>
      <w:lvlText w:val="(%1)"/>
      <w:numFmt w:val="lowerLetter"/>
      <w:start w:val="3"/>
    </w:lvl>
  </w:abstractNum>
  <w:abstractNum w:abstractNumId="366">
    <w:nsid w:val="A045AB2"/>
    <w:multiLevelType w:val="hybridMultilevel"/>
    <w:lvl w:ilvl="0">
      <w:lvlJc w:val="left"/>
      <w:lvlText w:val="%1"/>
      <w:numFmt w:val="decimal"/>
      <w:start w:val="1"/>
    </w:lvl>
    <w:lvl w:ilvl="1">
      <w:lvlJc w:val="left"/>
      <w:lvlText w:val="(%2)"/>
      <w:numFmt w:val="lowerLetter"/>
      <w:start w:val="6"/>
    </w:lvl>
  </w:abstractNum>
  <w:abstractNum w:abstractNumId="367">
    <w:nsid w:val="1872261F"/>
    <w:multiLevelType w:val="hybridMultilevel"/>
    <w:lvl w:ilvl="0">
      <w:lvlJc w:val="left"/>
      <w:lvlText w:val="%1."/>
      <w:numFmt w:val="decimal"/>
      <w:start w:val="7"/>
    </w:lvl>
    <w:lvl w:ilvl="1">
      <w:lvlJc w:val="left"/>
      <w:lvlText w:val="(%2)"/>
      <w:numFmt w:val="lowerLetter"/>
      <w:start w:val="1"/>
    </w:lvl>
  </w:abstractNum>
  <w:abstractNum w:abstractNumId="368">
    <w:nsid w:val="3DE8306C"/>
    <w:multiLevelType w:val="hybridMultilevel"/>
    <w:lvl w:ilvl="0">
      <w:lvlJc w:val="left"/>
      <w:lvlText w:val="(%1)"/>
      <w:numFmt w:val="lowerRoman"/>
      <w:start w:val="4"/>
    </w:lvl>
    <w:lvl w:ilvl="1">
      <w:lvlJc w:val="left"/>
      <w:lvlText w:val="(%2)"/>
      <w:numFmt w:val="lowerLetter"/>
      <w:start w:val="2"/>
    </w:lvl>
  </w:abstractNum>
  <w:abstractNum w:abstractNumId="369">
    <w:nsid w:val="7631573A"/>
    <w:multiLevelType w:val="hybridMultilevel"/>
    <w:lvl w:ilvl="0">
      <w:lvlJc w:val="left"/>
      <w:lvlText w:val="%1."/>
      <w:numFmt w:val="decimal"/>
      <w:start w:val="8"/>
    </w:lvl>
    <w:lvl w:ilvl="1">
      <w:lvlJc w:val="left"/>
      <w:lvlText w:val="(%2)"/>
      <w:numFmt w:val="lowerLetter"/>
      <w:start w:val="1"/>
    </w:lvl>
  </w:abstractNum>
  <w:abstractNum w:abstractNumId="370">
    <w:nsid w:val="58DF53B"/>
    <w:multiLevelType w:val="hybridMultilevel"/>
    <w:lvl w:ilvl="0">
      <w:lvlJc w:val="left"/>
      <w:lvlText w:val="%1"/>
      <w:numFmt w:val="decimal"/>
      <w:start w:val="1"/>
    </w:lvl>
    <w:lvl w:ilvl="1">
      <w:lvlJc w:val="left"/>
      <w:lvlText w:val="(%2)"/>
      <w:numFmt w:val="lowerLetter"/>
      <w:start w:val="4"/>
    </w:lvl>
  </w:abstractNum>
  <w:abstractNum w:abstractNumId="371">
    <w:nsid w:val="ACDFAC0"/>
    <w:multiLevelType w:val="hybridMultilevel"/>
    <w:lvl w:ilvl="0">
      <w:lvlJc w:val="left"/>
      <w:lvlText w:val="%1."/>
      <w:numFmt w:val="decimal"/>
      <w:start w:val="9"/>
    </w:lvl>
    <w:lvl w:ilvl="1">
      <w:lvlJc w:val="left"/>
      <w:lvlText w:val="(%2)"/>
      <w:numFmt w:val="lowerLetter"/>
      <w:start w:val="1"/>
    </w:lvl>
  </w:abstractNum>
  <w:abstractNum w:abstractNumId="372">
    <w:nsid w:val="1F578454"/>
    <w:multiLevelType w:val="hybridMultilevel"/>
    <w:lvl w:ilvl="0">
      <w:lvlJc w:val="left"/>
      <w:lvlText w:val="%1."/>
      <w:numFmt w:val="decimal"/>
      <w:start w:val="11"/>
    </w:lvl>
    <w:lvl w:ilvl="1">
      <w:lvlJc w:val="left"/>
      <w:lvlText w:val="(%2)"/>
      <w:numFmt w:val="lowerLetter"/>
      <w:start w:val="1"/>
    </w:lvl>
  </w:abstractNum>
  <w:abstractNum w:abstractNumId="373">
    <w:nsid w:val="5B0DAD2A"/>
    <w:multiLevelType w:val="hybridMultilevel"/>
    <w:lvl w:ilvl="0">
      <w:lvlJc w:val="left"/>
      <w:lvlText w:val="(%1)"/>
      <w:numFmt w:val="lowerLetter"/>
      <w:start w:val="5"/>
    </w:lvl>
  </w:abstractNum>
  <w:abstractNum w:abstractNumId="374">
    <w:nsid w:val="4E3D26AB"/>
    <w:multiLevelType w:val="hybridMultilevel"/>
    <w:lvl w:ilvl="0">
      <w:lvlJc w:val="left"/>
      <w:lvlText w:val="%1."/>
      <w:numFmt w:val="decimal"/>
      <w:start w:val="14"/>
    </w:lvl>
    <w:lvl w:ilvl="1">
      <w:lvlJc w:val="left"/>
      <w:lvlText w:val="(%2)"/>
      <w:numFmt w:val="lowerLetter"/>
      <w:start w:val="1"/>
    </w:lvl>
  </w:abstractNum>
  <w:abstractNum w:abstractNumId="375">
    <w:nsid w:val="BE2C8BA"/>
    <w:multiLevelType w:val="hybridMultilevel"/>
    <w:lvl w:ilvl="0">
      <w:lvlJc w:val="left"/>
      <w:lvlText w:val="%1."/>
      <w:numFmt w:val="decimal"/>
      <w:start w:val="18"/>
    </w:lvl>
  </w:abstractNum>
  <w:abstractNum w:abstractNumId="376">
    <w:nsid w:val="7B14914E"/>
    <w:multiLevelType w:val="hybridMultilevel"/>
    <w:lvl w:ilvl="0">
      <w:lvlJc w:val="left"/>
      <w:lvlText w:val="%1."/>
      <w:numFmt w:val="decimal"/>
      <w:start w:val="1"/>
    </w:lvl>
    <w:lvl w:ilvl="1">
      <w:lvlJc w:val="left"/>
      <w:lvlText w:val="(%2)"/>
      <w:numFmt w:val="lowerLetter"/>
      <w:start w:val="1"/>
    </w:lvl>
  </w:abstractNum>
  <w:abstractNum w:abstractNumId="377">
    <w:nsid w:val="6F0939F8"/>
    <w:multiLevelType w:val="hybridMultilevel"/>
    <w:lvl w:ilvl="0">
      <w:lvlJc w:val="left"/>
      <w:lvlText w:val="%1"/>
      <w:numFmt w:val="decimal"/>
      <w:start w:val="1"/>
    </w:lvl>
    <w:lvl w:ilvl="1">
      <w:lvlJc w:val="left"/>
      <w:lvlText w:val="(%2)"/>
      <w:numFmt w:val="lowerLetter"/>
      <w:start w:val="4"/>
    </w:lvl>
  </w:abstractNum>
  <w:abstractNum w:abstractNumId="378">
    <w:nsid w:val="154291F6"/>
    <w:multiLevelType w:val="hybridMultilevel"/>
    <w:lvl w:ilvl="0">
      <w:lvlJc w:val="left"/>
      <w:lvlText w:val="%1."/>
      <w:numFmt w:val="decimal"/>
      <w:start w:val="3"/>
    </w:lvl>
    <w:lvl w:ilvl="1">
      <w:lvlJc w:val="left"/>
      <w:lvlText w:val="%2"/>
      <w:numFmt w:val="lowerLetter"/>
      <w:start w:val="1"/>
    </w:lvl>
  </w:abstractNum>
  <w:abstractNum w:abstractNumId="379">
    <w:nsid w:val="3CEBD7C7"/>
    <w:multiLevelType w:val="hybridMultilevel"/>
    <w:lvl w:ilvl="0">
      <w:lvlJc w:val="left"/>
      <w:lvlText w:val="%1."/>
      <w:numFmt w:val="decimal"/>
      <w:start w:val="8"/>
    </w:lvl>
    <w:lvl w:ilvl="1">
      <w:lvlJc w:val="left"/>
      <w:lvlText w:val="(%2)"/>
      <w:numFmt w:val="lowerLetter"/>
      <w:start w:val="1"/>
    </w:lvl>
  </w:abstractNum>
  <w:abstractNum w:abstractNumId="380">
    <w:nsid w:val="60EE9C16"/>
    <w:multiLevelType w:val="hybridMultilevel"/>
    <w:lvl w:ilvl="0">
      <w:lvlJc w:val="left"/>
      <w:lvlText w:val="%1."/>
      <w:numFmt w:val="decimal"/>
      <w:start w:val="11"/>
    </w:lvl>
  </w:abstractNum>
  <w:abstractNum w:abstractNumId="381">
    <w:nsid w:val="6385489E"/>
    <w:multiLevelType w:val="hybridMultilevel"/>
    <w:lvl w:ilvl="0">
      <w:lvlJc w:val="left"/>
      <w:lvlText w:val="%1."/>
      <w:numFmt w:val="decimal"/>
      <w:start w:val="13"/>
    </w:lvl>
  </w:abstractNum>
  <w:abstractNum w:abstractNumId="382">
    <w:nsid w:val="E4B973"/>
    <w:multiLevelType w:val="hybridMultilevel"/>
    <w:lvl w:ilvl="0">
      <w:lvlJc w:val="left"/>
      <w:lvlText w:val="%1."/>
      <w:numFmt w:val="decimal"/>
      <w:start w:val="15"/>
    </w:lvl>
  </w:abstractNum>
  <w:abstractNum w:abstractNumId="383">
    <w:nsid w:val="4A0FFA11"/>
    <w:multiLevelType w:val="hybridMultilevel"/>
    <w:lvl w:ilvl="0">
      <w:lvlJc w:val="left"/>
      <w:lvlText w:val="(%1)"/>
      <w:numFmt w:val="lowerLetter"/>
      <w:start w:val="4"/>
    </w:lvl>
  </w:abstractNum>
  <w:abstractNum w:abstractNumId="384">
    <w:nsid w:val="5E446208"/>
    <w:multiLevelType w:val="hybridMultilevel"/>
    <w:lvl w:ilvl="0">
      <w:lvlJc w:val="left"/>
      <w:lvlText w:val="(%1)"/>
      <w:numFmt w:val="lowerLetter"/>
      <w:start w:val="4"/>
    </w:lvl>
  </w:abstractNum>
  <w:abstractNum w:abstractNumId="385">
    <w:nsid w:val="5F3272DB"/>
    <w:multiLevelType w:val="hybridMultilevel"/>
    <w:lvl w:ilvl="0">
      <w:lvlJc w:val="left"/>
      <w:lvlText w:val="%1."/>
      <w:numFmt w:val="decimal"/>
      <w:start w:val="16"/>
    </w:lvl>
    <w:lvl w:ilvl="1">
      <w:lvlJc w:val="left"/>
      <w:lvlText w:val="(%2)"/>
      <w:numFmt w:val="lowerLetter"/>
      <w:start w:val="1"/>
    </w:lvl>
  </w:abstractNum>
  <w:abstractNum w:abstractNumId="386">
    <w:nsid w:val="7616D704"/>
    <w:multiLevelType w:val="hybridMultilevel"/>
    <w:lvl w:ilvl="0">
      <w:lvlJc w:val="left"/>
      <w:lvlText w:val="%1"/>
      <w:numFmt w:val="decimal"/>
      <w:start w:val="1"/>
    </w:lvl>
    <w:lvl w:ilvl="1">
      <w:lvlJc w:val="left"/>
      <w:lvlText w:val="(%2)"/>
      <w:numFmt w:val="lowerLetter"/>
      <w:start w:val="2"/>
    </w:lvl>
  </w:abstractNum>
  <w:abstractNum w:abstractNumId="387">
    <w:nsid w:val="C56F860"/>
    <w:multiLevelType w:val="hybridMultilevel"/>
    <w:lvl w:ilvl="0">
      <w:lvlJc w:val="left"/>
      <w:lvlText w:val="%1."/>
      <w:numFmt w:val="decimal"/>
      <w:start w:val="18"/>
    </w:lvl>
    <w:lvl w:ilvl="1">
      <w:lvlJc w:val="left"/>
      <w:lvlText w:val="%2"/>
      <w:numFmt w:val="lowerLetter"/>
      <w:start w:val="1"/>
    </w:lvl>
  </w:abstractNum>
  <w:abstractNum w:abstractNumId="388">
    <w:nsid w:val="64D17722"/>
    <w:multiLevelType w:val="hybridMultilevel"/>
    <w:lvl w:ilvl="0">
      <w:lvlJc w:val="left"/>
      <w:lvlText w:val="%1."/>
      <w:numFmt w:val="decimal"/>
      <w:start w:val="19"/>
    </w:lvl>
  </w:abstractNum>
  <w:abstractNum w:abstractNumId="389">
    <w:nsid w:val="7924CA0A"/>
    <w:multiLevelType w:val="hybridMultilevel"/>
    <w:lvl w:ilvl="0">
      <w:lvlJc w:val="left"/>
      <w:lvlText w:val="%1."/>
      <w:numFmt w:val="decimal"/>
      <w:start w:val="1"/>
    </w:lvl>
    <w:lvl w:ilvl="1">
      <w:lvlJc w:val="left"/>
      <w:lvlText w:val="(%2)"/>
      <w:numFmt w:val="lowerLetter"/>
      <w:start w:val="1"/>
    </w:lvl>
  </w:abstractNum>
  <w:abstractNum w:abstractNumId="390">
    <w:nsid w:val="CFD4EA7"/>
    <w:multiLevelType w:val="hybridMultilevel"/>
    <w:lvl w:ilvl="0">
      <w:lvlJc w:val="left"/>
      <w:lvlText w:val="%1"/>
      <w:numFmt w:val="decimal"/>
      <w:start w:val="1"/>
    </w:lvl>
    <w:lvl w:ilvl="1">
      <w:lvlJc w:val="left"/>
      <w:lvlText w:val="(%2)"/>
      <w:numFmt w:val="lowerLetter"/>
      <w:start w:val="4"/>
    </w:lvl>
  </w:abstractNum>
  <w:abstractNum w:abstractNumId="391">
    <w:nsid w:val="232FCF4D"/>
    <w:multiLevelType w:val="hybridMultilevel"/>
    <w:lvl w:ilvl="0">
      <w:lvlJc w:val="left"/>
      <w:lvlText w:val="%1."/>
      <w:numFmt w:val="decimal"/>
      <w:start w:val="3"/>
    </w:lvl>
    <w:lvl w:ilvl="1">
      <w:lvlJc w:val="left"/>
      <w:lvlText w:val="%2"/>
      <w:numFmt w:val="lowerLetter"/>
      <w:start w:val="1"/>
    </w:lvl>
  </w:abstractNum>
  <w:abstractNum w:abstractNumId="392">
    <w:nsid w:val="1EA21031"/>
    <w:multiLevelType w:val="hybridMultilevel"/>
    <w:lvl w:ilvl="0">
      <w:lvlJc w:val="left"/>
      <w:lvlText w:val="%1."/>
      <w:numFmt w:val="decimal"/>
      <w:start w:val="8"/>
    </w:lvl>
    <w:lvl w:ilvl="1">
      <w:lvlJc w:val="left"/>
      <w:lvlText w:val="(%2)"/>
      <w:numFmt w:val="lowerLetter"/>
      <w:start w:val="1"/>
    </w:lvl>
  </w:abstractNum>
  <w:abstractNum w:abstractNumId="393">
    <w:nsid w:val="67A5A6B5"/>
    <w:multiLevelType w:val="hybridMultilevel"/>
    <w:lvl w:ilvl="0">
      <w:lvlJc w:val="left"/>
      <w:lvlText w:val="%1."/>
      <w:numFmt w:val="decimal"/>
      <w:start w:val="11"/>
    </w:lvl>
  </w:abstractNum>
  <w:abstractNum w:abstractNumId="394">
    <w:nsid w:val="C2A5C5B"/>
    <w:multiLevelType w:val="hybridMultilevel"/>
    <w:lvl w:ilvl="0">
      <w:lvlJc w:val="left"/>
      <w:lvlText w:val="%1."/>
      <w:numFmt w:val="decimal"/>
      <w:start w:val="13"/>
    </w:lvl>
  </w:abstractNum>
  <w:abstractNum w:abstractNumId="395">
    <w:nsid w:val="5F94DC03"/>
    <w:multiLevelType w:val="hybridMultilevel"/>
    <w:lvl w:ilvl="0">
      <w:lvlJc w:val="left"/>
      <w:lvlText w:val="%1."/>
      <w:numFmt w:val="decimal"/>
      <w:start w:val="15"/>
    </w:lvl>
  </w:abstractNum>
  <w:abstractNum w:abstractNumId="396">
    <w:nsid w:val="237BBCA0"/>
    <w:multiLevelType w:val="hybridMultilevel"/>
    <w:lvl w:ilvl="0">
      <w:lvlJc w:val="left"/>
      <w:lvlText w:val="(%1)"/>
      <w:numFmt w:val="lowerLetter"/>
      <w:start w:val="4"/>
    </w:lvl>
  </w:abstractNum>
  <w:abstractNum w:abstractNumId="397">
    <w:nsid w:val="162EB70D"/>
    <w:multiLevelType w:val="hybridMultilevel"/>
    <w:lvl w:ilvl="0">
      <w:lvlJc w:val="left"/>
      <w:lvlText w:val="%1."/>
      <w:numFmt w:val="decimal"/>
      <w:start w:val="16"/>
    </w:lvl>
    <w:lvl w:ilvl="1">
      <w:lvlJc w:val="left"/>
      <w:lvlText w:val="(%2)"/>
      <w:numFmt w:val="lowerLetter"/>
      <w:start w:val="1"/>
    </w:lvl>
  </w:abstractNum>
  <w:abstractNum w:abstractNumId="398">
    <w:nsid w:val="78070222"/>
    <w:multiLevelType w:val="hybridMultilevel"/>
    <w:lvl w:ilvl="0">
      <w:lvlJc w:val="left"/>
      <w:lvlText w:val="%1"/>
      <w:numFmt w:val="decimal"/>
      <w:start w:val="1"/>
    </w:lvl>
    <w:lvl w:ilvl="1">
      <w:lvlJc w:val="left"/>
      <w:lvlText w:val="(%2)"/>
      <w:numFmt w:val="lowerLetter"/>
      <w:start w:val="3"/>
    </w:lvl>
  </w:abstractNum>
  <w:abstractNum w:abstractNumId="399">
    <w:nsid w:val="6163ED0D"/>
    <w:multiLevelType w:val="hybridMultilevel"/>
    <w:lvl w:ilvl="0">
      <w:lvlJc w:val="left"/>
      <w:lvlText w:val="%1."/>
      <w:numFmt w:val="decimal"/>
      <w:start w:val="18"/>
    </w:lvl>
    <w:lvl w:ilvl="1">
      <w:lvlJc w:val="left"/>
      <w:lvlText w:val="%2"/>
      <w:numFmt w:val="lowerLetter"/>
      <w:start w:val="1"/>
    </w:lvl>
  </w:abstractNum>
  <w:abstractNum w:abstractNumId="400">
    <w:nsid w:val="C600E47"/>
    <w:multiLevelType w:val="hybridMultilevel"/>
    <w:lvl w:ilvl="0">
      <w:lvlJc w:val="left"/>
      <w:lvlText w:val="%1."/>
      <w:numFmt w:val="decimal"/>
      <w:start w:val="19"/>
    </w:lvl>
  </w:abstractNum>
  <w:abstractNum w:abstractNumId="401">
    <w:nsid w:val="7D94F75D"/>
    <w:multiLevelType w:val="hybridMultilevel"/>
    <w:lvl w:ilvl="0">
      <w:lvlJc w:val="left"/>
      <w:lvlText w:val="%1."/>
      <w:numFmt w:val="decimal"/>
      <w:start w:val="1"/>
    </w:lvl>
    <w:lvl w:ilvl="1">
      <w:lvlJc w:val="left"/>
      <w:lvlText w:val="(%2)"/>
      <w:numFmt w:val="lowerLetter"/>
      <w:start w:val="1"/>
    </w:lvl>
  </w:abstractNum>
  <w:abstractNum w:abstractNumId="402">
    <w:nsid w:val="6C31E7CD"/>
    <w:multiLevelType w:val="hybridMultilevel"/>
    <w:lvl w:ilvl="0">
      <w:lvlJc w:val="left"/>
      <w:lvlText w:val="%1"/>
      <w:numFmt w:val="decimal"/>
      <w:start w:val="1"/>
    </w:lvl>
    <w:lvl w:ilvl="1">
      <w:lvlJc w:val="left"/>
      <w:lvlText w:val="(%2)"/>
      <w:numFmt w:val="lowerLetter"/>
      <w:start w:val="4"/>
    </w:lvl>
  </w:abstractNum>
  <w:abstractNum w:abstractNumId="403">
    <w:nsid w:val="2BB7929B"/>
    <w:multiLevelType w:val="hybridMultilevel"/>
    <w:lvl w:ilvl="0">
      <w:lvlJc w:val="left"/>
      <w:lvlText w:val="%1."/>
      <w:numFmt w:val="decimal"/>
      <w:start w:val="3"/>
    </w:lvl>
    <w:lvl w:ilvl="1">
      <w:lvlJc w:val="left"/>
      <w:lvlText w:val="%2"/>
      <w:numFmt w:val="lowerLetter"/>
      <w:start w:val="1"/>
    </w:lvl>
  </w:abstractNum>
  <w:abstractNum w:abstractNumId="404">
    <w:nsid w:val="58A2A487"/>
    <w:multiLevelType w:val="hybridMultilevel"/>
    <w:lvl w:ilvl="0">
      <w:lvlJc w:val="left"/>
      <w:lvlText w:val="%1."/>
      <w:numFmt w:val="decimal"/>
      <w:start w:val="8"/>
    </w:lvl>
    <w:lvl w:ilvl="1">
      <w:lvlJc w:val="left"/>
      <w:lvlText w:val="(%2)"/>
      <w:numFmt w:val="lowerLetter"/>
      <w:start w:val="1"/>
    </w:lvl>
  </w:abstractNum>
  <w:abstractNum w:abstractNumId="405">
    <w:nsid w:val="3A6F0E78"/>
    <w:multiLevelType w:val="hybridMultilevel"/>
    <w:lvl w:ilvl="0">
      <w:lvlJc w:val="left"/>
      <w:lvlText w:val="%1."/>
      <w:numFmt w:val="decimal"/>
      <w:start w:val="11"/>
    </w:lvl>
  </w:abstractNum>
  <w:abstractNum w:abstractNumId="406">
    <w:nsid w:val="379A5B56"/>
    <w:multiLevelType w:val="hybridMultilevel"/>
    <w:lvl w:ilvl="0">
      <w:lvlJc w:val="left"/>
      <w:lvlText w:val="%1."/>
      <w:numFmt w:val="decimal"/>
      <w:start w:val="13"/>
    </w:lvl>
  </w:abstractNum>
  <w:abstractNum w:abstractNumId="407">
    <w:nsid w:val="53B735D5"/>
    <w:multiLevelType w:val="hybridMultilevel"/>
    <w:lvl w:ilvl="0">
      <w:lvlJc w:val="left"/>
      <w:lvlText w:val="%1."/>
      <w:numFmt w:val="decimal"/>
      <w:start w:val="15"/>
    </w:lvl>
  </w:abstractNum>
  <w:abstractNum w:abstractNumId="408">
    <w:nsid w:val="29784870"/>
    <w:multiLevelType w:val="hybridMultilevel"/>
    <w:lvl w:ilvl="0">
      <w:lvlJc w:val="left"/>
      <w:lvlText w:val="(%1)"/>
      <w:numFmt w:val="lowerLetter"/>
      <w:start w:val="4"/>
    </w:lvl>
  </w:abstractNum>
  <w:abstractNum w:abstractNumId="409">
    <w:nsid w:val="4CDCED4C"/>
    <w:multiLevelType w:val="hybridMultilevel"/>
    <w:lvl w:ilvl="0">
      <w:lvlJc w:val="left"/>
      <w:lvlText w:val="%1."/>
      <w:numFmt w:val="decimal"/>
      <w:start w:val="16"/>
    </w:lvl>
    <w:lvl w:ilvl="1">
      <w:lvlJc w:val="left"/>
      <w:lvlText w:val="(%2)"/>
      <w:numFmt w:val="lowerLetter"/>
      <w:start w:val="1"/>
    </w:lvl>
  </w:abstractNum>
  <w:abstractNum w:abstractNumId="410">
    <w:nsid w:val="10A30D9C"/>
    <w:multiLevelType w:val="hybridMultilevel"/>
    <w:lvl w:ilvl="0">
      <w:lvlJc w:val="left"/>
      <w:lvlText w:val="%1"/>
      <w:numFmt w:val="decimal"/>
      <w:start w:val="1"/>
    </w:lvl>
    <w:lvl w:ilvl="1">
      <w:lvlJc w:val="left"/>
      <w:lvlText w:val="(%2)"/>
      <w:numFmt w:val="lowerLetter"/>
      <w:start w:val="3"/>
    </w:lvl>
  </w:abstractNum>
  <w:abstractNum w:abstractNumId="411">
    <w:nsid w:val="A66E486"/>
    <w:multiLevelType w:val="hybridMultilevel"/>
    <w:lvl w:ilvl="0">
      <w:lvlJc w:val="left"/>
      <w:lvlText w:val="%1."/>
      <w:numFmt w:val="decimal"/>
      <w:start w:val="18"/>
    </w:lvl>
    <w:lvl w:ilvl="1">
      <w:lvlJc w:val="left"/>
      <w:lvlText w:val="%2"/>
      <w:numFmt w:val="lowerLetter"/>
      <w:start w:val="1"/>
    </w:lvl>
  </w:abstractNum>
  <w:abstractNum w:abstractNumId="412">
    <w:nsid w:val="306235EA"/>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9" Type="http://schemas.openxmlformats.org/officeDocument/2006/relationships/image" Target="media/image353.png"/><Relationship Id="rId370" Type="http://schemas.openxmlformats.org/officeDocument/2006/relationships/image" Target="media/image354.png"/><Relationship Id="rId371" Type="http://schemas.openxmlformats.org/officeDocument/2006/relationships/image" Target="media/image355.png"/><Relationship Id="rId372" Type="http://schemas.openxmlformats.org/officeDocument/2006/relationships/image" Target="media/image356.png"/><Relationship Id="rId373" Type="http://schemas.openxmlformats.org/officeDocument/2006/relationships/image" Target="media/image357.png"/><Relationship Id="rId374" Type="http://schemas.openxmlformats.org/officeDocument/2006/relationships/image" Target="media/image358.png"/><Relationship Id="rId375" Type="http://schemas.openxmlformats.org/officeDocument/2006/relationships/image" Target="media/image359.png"/><Relationship Id="rId376" Type="http://schemas.openxmlformats.org/officeDocument/2006/relationships/image" Target="media/image360.png"/><Relationship Id="rId377" Type="http://schemas.openxmlformats.org/officeDocument/2006/relationships/image" Target="media/image361.png"/><Relationship Id="rId378" Type="http://schemas.openxmlformats.org/officeDocument/2006/relationships/image" Target="media/image362.png"/><Relationship Id="rId379" Type="http://schemas.openxmlformats.org/officeDocument/2006/relationships/image" Target="media/image363.png"/><Relationship Id="rId380" Type="http://schemas.openxmlformats.org/officeDocument/2006/relationships/image" Target="media/image364.png"/><Relationship Id="rId381" Type="http://schemas.openxmlformats.org/officeDocument/2006/relationships/image" Target="media/image365.png"/><Relationship Id="rId382" Type="http://schemas.openxmlformats.org/officeDocument/2006/relationships/image" Target="media/image366.png"/><Relationship Id="rId383" Type="http://schemas.openxmlformats.org/officeDocument/2006/relationships/image" Target="media/image367.png"/><Relationship Id="rId384" Type="http://schemas.openxmlformats.org/officeDocument/2006/relationships/image" Target="media/image368.png"/><Relationship Id="rId385" Type="http://schemas.openxmlformats.org/officeDocument/2006/relationships/image" Target="media/image369.png"/><Relationship Id="rId386" Type="http://schemas.openxmlformats.org/officeDocument/2006/relationships/image" Target="media/image370.png"/><Relationship Id="rId387" Type="http://schemas.openxmlformats.org/officeDocument/2006/relationships/image" Target="media/image371.png"/><Relationship Id="rId388" Type="http://schemas.openxmlformats.org/officeDocument/2006/relationships/image" Target="media/image372.png"/><Relationship Id="rId389" Type="http://schemas.openxmlformats.org/officeDocument/2006/relationships/image" Target="media/image373.png"/><Relationship Id="rId390" Type="http://schemas.openxmlformats.org/officeDocument/2006/relationships/image" Target="media/image374.png"/><Relationship Id="rId391" Type="http://schemas.openxmlformats.org/officeDocument/2006/relationships/image" Target="media/image375.png"/><Relationship Id="rId392" Type="http://schemas.openxmlformats.org/officeDocument/2006/relationships/image" Target="media/image376.png"/><Relationship Id="rId393" Type="http://schemas.openxmlformats.org/officeDocument/2006/relationships/image" Target="media/image377.png"/><Relationship Id="rId394" Type="http://schemas.openxmlformats.org/officeDocument/2006/relationships/image" Target="media/image378.png"/><Relationship Id="rId395" Type="http://schemas.openxmlformats.org/officeDocument/2006/relationships/image" Target="media/image379.png"/><Relationship Id="rId396" Type="http://schemas.openxmlformats.org/officeDocument/2006/relationships/image" Target="media/image380.png"/><Relationship Id="rId397" Type="http://schemas.openxmlformats.org/officeDocument/2006/relationships/image" Target="media/image381.png"/><Relationship Id="rId398" Type="http://schemas.openxmlformats.org/officeDocument/2006/relationships/image" Target="media/image382.png"/><Relationship Id="rId399" Type="http://schemas.openxmlformats.org/officeDocument/2006/relationships/image" Target="media/image383.png"/><Relationship Id="rId400" Type="http://schemas.openxmlformats.org/officeDocument/2006/relationships/image" Target="media/image384.png"/><Relationship Id="rId401" Type="http://schemas.openxmlformats.org/officeDocument/2006/relationships/image" Target="media/image385.png"/><Relationship Id="rId402" Type="http://schemas.openxmlformats.org/officeDocument/2006/relationships/image" Target="media/image386.png"/><Relationship Id="rId403" Type="http://schemas.openxmlformats.org/officeDocument/2006/relationships/image" Target="media/image387.png"/><Relationship Id="rId404" Type="http://schemas.openxmlformats.org/officeDocument/2006/relationships/image" Target="media/image388.png"/><Relationship Id="rId405" Type="http://schemas.openxmlformats.org/officeDocument/2006/relationships/image" Target="media/image389.png"/><Relationship Id="rId406" Type="http://schemas.openxmlformats.org/officeDocument/2006/relationships/image" Target="media/image390.png"/><Relationship Id="rId407" Type="http://schemas.openxmlformats.org/officeDocument/2006/relationships/image" Target="media/image391.png"/><Relationship Id="rId408" Type="http://schemas.openxmlformats.org/officeDocument/2006/relationships/image" Target="media/image392.png"/><Relationship Id="rId409" Type="http://schemas.openxmlformats.org/officeDocument/2006/relationships/image" Target="media/image393.png"/><Relationship Id="rId410" Type="http://schemas.openxmlformats.org/officeDocument/2006/relationships/image" Target="media/image394.png"/><Relationship Id="rId411" Type="http://schemas.openxmlformats.org/officeDocument/2006/relationships/image" Target="media/image395.png"/><Relationship Id="rId412" Type="http://schemas.openxmlformats.org/officeDocument/2006/relationships/image" Target="media/image396.png"/><Relationship Id="rId413" Type="http://schemas.openxmlformats.org/officeDocument/2006/relationships/image" Target="media/image397.png"/><Relationship Id="rId414" Type="http://schemas.openxmlformats.org/officeDocument/2006/relationships/image" Target="media/image398.png"/><Relationship Id="rId415" Type="http://schemas.openxmlformats.org/officeDocument/2006/relationships/image" Target="media/image399.png"/><Relationship Id="rId416" Type="http://schemas.openxmlformats.org/officeDocument/2006/relationships/image" Target="media/image400.png"/><Relationship Id="rId417" Type="http://schemas.openxmlformats.org/officeDocument/2006/relationships/image" Target="media/image401.png"/><Relationship Id="rId418" Type="http://schemas.openxmlformats.org/officeDocument/2006/relationships/image" Target="media/image402.png"/><Relationship Id="rId419" Type="http://schemas.openxmlformats.org/officeDocument/2006/relationships/image" Target="media/image403.png"/><Relationship Id="rId420" Type="http://schemas.openxmlformats.org/officeDocument/2006/relationships/image" Target="media/image404.png"/><Relationship Id="rId421" Type="http://schemas.openxmlformats.org/officeDocument/2006/relationships/image" Target="media/image405.png"/><Relationship Id="rId422" Type="http://schemas.openxmlformats.org/officeDocument/2006/relationships/image" Target="media/image406.png"/><Relationship Id="rId423" Type="http://schemas.openxmlformats.org/officeDocument/2006/relationships/image" Target="media/image407.png"/><Relationship Id="rId424" Type="http://schemas.openxmlformats.org/officeDocument/2006/relationships/image" Target="media/image408.png"/><Relationship Id="rId425" Type="http://schemas.openxmlformats.org/officeDocument/2006/relationships/image" Target="media/image409.png"/><Relationship Id="rId426" Type="http://schemas.openxmlformats.org/officeDocument/2006/relationships/image" Target="media/image410.png"/><Relationship Id="rId427" Type="http://schemas.openxmlformats.org/officeDocument/2006/relationships/image" Target="media/image411.png"/><Relationship Id="rId428" Type="http://schemas.openxmlformats.org/officeDocument/2006/relationships/image" Target="media/image412.png"/><Relationship Id="rId429" Type="http://schemas.openxmlformats.org/officeDocument/2006/relationships/image" Target="media/image413.png"/><Relationship Id="rId430" Type="http://schemas.openxmlformats.org/officeDocument/2006/relationships/image" Target="media/image414.png"/><Relationship Id="rId431" Type="http://schemas.openxmlformats.org/officeDocument/2006/relationships/image" Target="media/image415.png"/><Relationship Id="rId432" Type="http://schemas.openxmlformats.org/officeDocument/2006/relationships/image" Target="media/image416.png"/><Relationship Id="rId433" Type="http://schemas.openxmlformats.org/officeDocument/2006/relationships/image" Target="media/image417.png"/><Relationship Id="rId434" Type="http://schemas.openxmlformats.org/officeDocument/2006/relationships/image" Target="media/image418.png"/><Relationship Id="rId435" Type="http://schemas.openxmlformats.org/officeDocument/2006/relationships/image" Target="media/image419.png"/><Relationship Id="rId436" Type="http://schemas.openxmlformats.org/officeDocument/2006/relationships/image" Target="media/image420.png"/><Relationship Id="rId437" Type="http://schemas.openxmlformats.org/officeDocument/2006/relationships/image" Target="media/image421.png"/><Relationship Id="rId438" Type="http://schemas.openxmlformats.org/officeDocument/2006/relationships/image" Target="media/image422.png"/><Relationship Id="rId439" Type="http://schemas.openxmlformats.org/officeDocument/2006/relationships/image" Target="media/image423.png"/><Relationship Id="rId440" Type="http://schemas.openxmlformats.org/officeDocument/2006/relationships/image" Target="media/image424.png"/><Relationship Id="rId441" Type="http://schemas.openxmlformats.org/officeDocument/2006/relationships/image" Target="media/image425.png"/><Relationship Id="rId442" Type="http://schemas.openxmlformats.org/officeDocument/2006/relationships/image" Target="media/image426.png"/><Relationship Id="rId443" Type="http://schemas.openxmlformats.org/officeDocument/2006/relationships/image" Target="media/image427.png"/><Relationship Id="rId444" Type="http://schemas.openxmlformats.org/officeDocument/2006/relationships/image" Target="media/image428.png"/><Relationship Id="rId445" Type="http://schemas.openxmlformats.org/officeDocument/2006/relationships/image" Target="media/image429.png"/><Relationship Id="rId446" Type="http://schemas.openxmlformats.org/officeDocument/2006/relationships/image" Target="media/image430.png"/><Relationship Id="rId447" Type="http://schemas.openxmlformats.org/officeDocument/2006/relationships/image" Target="media/image431.png"/><Relationship Id="rId448" Type="http://schemas.openxmlformats.org/officeDocument/2006/relationships/image" Target="media/image432.png"/><Relationship Id="rId449" Type="http://schemas.openxmlformats.org/officeDocument/2006/relationships/image" Target="media/image433.png"/><Relationship Id="rId450" Type="http://schemas.openxmlformats.org/officeDocument/2006/relationships/image" Target="media/image434.png"/><Relationship Id="rId451" Type="http://schemas.openxmlformats.org/officeDocument/2006/relationships/image" Target="media/image435.png"/><Relationship Id="rId452" Type="http://schemas.openxmlformats.org/officeDocument/2006/relationships/image" Target="media/image436.png"/><Relationship Id="rId453" Type="http://schemas.openxmlformats.org/officeDocument/2006/relationships/image" Target="media/image437.png"/><Relationship Id="rId454" Type="http://schemas.openxmlformats.org/officeDocument/2006/relationships/image" Target="media/image438.png"/><Relationship Id="rId455" Type="http://schemas.openxmlformats.org/officeDocument/2006/relationships/image" Target="media/image439.png"/><Relationship Id="rId456" Type="http://schemas.openxmlformats.org/officeDocument/2006/relationships/image" Target="media/image440.png"/><Relationship Id="rId457" Type="http://schemas.openxmlformats.org/officeDocument/2006/relationships/image" Target="media/image441.png"/><Relationship Id="rId458" Type="http://schemas.openxmlformats.org/officeDocument/2006/relationships/image" Target="media/image442.png"/><Relationship Id="rId459" Type="http://schemas.openxmlformats.org/officeDocument/2006/relationships/image" Target="media/image443.png"/><Relationship Id="rId460" Type="http://schemas.openxmlformats.org/officeDocument/2006/relationships/image" Target="media/image444.png"/><Relationship Id="rId461" Type="http://schemas.openxmlformats.org/officeDocument/2006/relationships/image" Target="media/image445.png"/><Relationship Id="rId462" Type="http://schemas.openxmlformats.org/officeDocument/2006/relationships/image" Target="media/image446.png"/><Relationship Id="rId463" Type="http://schemas.openxmlformats.org/officeDocument/2006/relationships/image" Target="media/image447.png"/><Relationship Id="rId464" Type="http://schemas.openxmlformats.org/officeDocument/2006/relationships/image" Target="media/image448.png"/><Relationship Id="rId465" Type="http://schemas.openxmlformats.org/officeDocument/2006/relationships/image" Target="media/image449.png"/><Relationship Id="rId466" Type="http://schemas.openxmlformats.org/officeDocument/2006/relationships/image" Target="media/image450.png"/><Relationship Id="rId467" Type="http://schemas.openxmlformats.org/officeDocument/2006/relationships/image" Target="media/image451.png"/><Relationship Id="rId468" Type="http://schemas.openxmlformats.org/officeDocument/2006/relationships/image" Target="media/image452.png"/><Relationship Id="rId469" Type="http://schemas.openxmlformats.org/officeDocument/2006/relationships/image" Target="media/image453.png"/><Relationship Id="rId470" Type="http://schemas.openxmlformats.org/officeDocument/2006/relationships/image" Target="media/image454.png"/><Relationship Id="rId471" Type="http://schemas.openxmlformats.org/officeDocument/2006/relationships/image" Target="media/image455.png"/><Relationship Id="rId472" Type="http://schemas.openxmlformats.org/officeDocument/2006/relationships/image" Target="media/image456.png"/><Relationship Id="rId473" Type="http://schemas.openxmlformats.org/officeDocument/2006/relationships/image" Target="media/image457.png"/><Relationship Id="rId474" Type="http://schemas.openxmlformats.org/officeDocument/2006/relationships/image" Target="media/image458.png"/><Relationship Id="rId475" Type="http://schemas.openxmlformats.org/officeDocument/2006/relationships/image" Target="media/image459.png"/><Relationship Id="rId476" Type="http://schemas.openxmlformats.org/officeDocument/2006/relationships/image" Target="media/image460.png"/><Relationship Id="rId477" Type="http://schemas.openxmlformats.org/officeDocument/2006/relationships/image" Target="media/image461.png"/><Relationship Id="rId478" Type="http://schemas.openxmlformats.org/officeDocument/2006/relationships/image" Target="media/image462.png"/><Relationship Id="rId479" Type="http://schemas.openxmlformats.org/officeDocument/2006/relationships/image" Target="media/image463.png"/><Relationship Id="rId480" Type="http://schemas.openxmlformats.org/officeDocument/2006/relationships/image" Target="media/image464.png"/><Relationship Id="rId481" Type="http://schemas.openxmlformats.org/officeDocument/2006/relationships/image" Target="media/image465.png"/><Relationship Id="rId482" Type="http://schemas.openxmlformats.org/officeDocument/2006/relationships/image" Target="media/image466.png"/><Relationship Id="rId483" Type="http://schemas.openxmlformats.org/officeDocument/2006/relationships/image" Target="media/image467.png"/><Relationship Id="rId484" Type="http://schemas.openxmlformats.org/officeDocument/2006/relationships/image" Target="media/image468.png"/><Relationship Id="rId485" Type="http://schemas.openxmlformats.org/officeDocument/2006/relationships/image" Target="media/image469.jpeg"/><Relationship Id="rId486" Type="http://schemas.openxmlformats.org/officeDocument/2006/relationships/image" Target="media/image470.png"/><Relationship Id="rId487" Type="http://schemas.openxmlformats.org/officeDocument/2006/relationships/image" Target="media/image471.jpeg"/><Relationship Id="rId488" Type="http://schemas.openxmlformats.org/officeDocument/2006/relationships/image" Target="media/image472.png"/><Relationship Id="rId489" Type="http://schemas.openxmlformats.org/officeDocument/2006/relationships/image" Target="media/image473.jpeg"/><Relationship Id="rId490" Type="http://schemas.openxmlformats.org/officeDocument/2006/relationships/image" Target="media/image474.png"/><Relationship Id="rId491" Type="http://schemas.openxmlformats.org/officeDocument/2006/relationships/image" Target="media/image475.png"/><Relationship Id="rId492" Type="http://schemas.openxmlformats.org/officeDocument/2006/relationships/image" Target="media/image476.png"/><Relationship Id="rId493" Type="http://schemas.openxmlformats.org/officeDocument/2006/relationships/image" Target="media/image477.png"/><Relationship Id="rId494" Type="http://schemas.openxmlformats.org/officeDocument/2006/relationships/image" Target="media/image478.png"/><Relationship Id="rId495" Type="http://schemas.openxmlformats.org/officeDocument/2006/relationships/image" Target="media/image479.png"/><Relationship Id="rId496" Type="http://schemas.openxmlformats.org/officeDocument/2006/relationships/image" Target="media/image480.png"/><Relationship Id="rId497" Type="http://schemas.openxmlformats.org/officeDocument/2006/relationships/image" Target="media/image481.png"/><Relationship Id="rId498" Type="http://schemas.openxmlformats.org/officeDocument/2006/relationships/image" Target="media/image482.png"/><Relationship Id="rId499" Type="http://schemas.openxmlformats.org/officeDocument/2006/relationships/image" Target="media/image483.png"/><Relationship Id="rId500" Type="http://schemas.openxmlformats.org/officeDocument/2006/relationships/image" Target="media/image484.png"/><Relationship Id="rId501" Type="http://schemas.openxmlformats.org/officeDocument/2006/relationships/image" Target="media/image485.png"/><Relationship Id="rId502" Type="http://schemas.openxmlformats.org/officeDocument/2006/relationships/image" Target="media/image486.png"/><Relationship Id="rId503" Type="http://schemas.openxmlformats.org/officeDocument/2006/relationships/image" Target="media/image487.png"/><Relationship Id="rId504" Type="http://schemas.openxmlformats.org/officeDocument/2006/relationships/image" Target="media/image488.png"/><Relationship Id="rId505" Type="http://schemas.openxmlformats.org/officeDocument/2006/relationships/image" Target="media/image489.png"/><Relationship Id="rId506" Type="http://schemas.openxmlformats.org/officeDocument/2006/relationships/image" Target="media/image490.png"/><Relationship Id="rId507" Type="http://schemas.openxmlformats.org/officeDocument/2006/relationships/image" Target="media/image491.png"/><Relationship Id="rId508" Type="http://schemas.openxmlformats.org/officeDocument/2006/relationships/image" Target="media/image492.png"/><Relationship Id="rId509" Type="http://schemas.openxmlformats.org/officeDocument/2006/relationships/image" Target="media/image493.png"/><Relationship Id="rId510" Type="http://schemas.openxmlformats.org/officeDocument/2006/relationships/image" Target="media/image494.png"/><Relationship Id="rId511" Type="http://schemas.openxmlformats.org/officeDocument/2006/relationships/image" Target="media/image495.png"/><Relationship Id="rId512" Type="http://schemas.openxmlformats.org/officeDocument/2006/relationships/image" Target="media/image496.png"/><Relationship Id="rId513" Type="http://schemas.openxmlformats.org/officeDocument/2006/relationships/image" Target="media/image497.png"/><Relationship Id="rId514" Type="http://schemas.openxmlformats.org/officeDocument/2006/relationships/image" Target="media/image498.png"/><Relationship Id="rId515" Type="http://schemas.openxmlformats.org/officeDocument/2006/relationships/image" Target="media/image499.png"/><Relationship Id="rId516" Type="http://schemas.openxmlformats.org/officeDocument/2006/relationships/image" Target="media/image500.png"/><Relationship Id="rId517" Type="http://schemas.openxmlformats.org/officeDocument/2006/relationships/image" Target="media/image501.png"/><Relationship Id="rId518" Type="http://schemas.openxmlformats.org/officeDocument/2006/relationships/image" Target="media/image502.png"/><Relationship Id="rId519" Type="http://schemas.openxmlformats.org/officeDocument/2006/relationships/image" Target="media/image503.png"/><Relationship Id="rId520" Type="http://schemas.openxmlformats.org/officeDocument/2006/relationships/image" Target="media/image504.png"/><Relationship Id="rId521" Type="http://schemas.openxmlformats.org/officeDocument/2006/relationships/image" Target="media/image505.png"/><Relationship Id="rId522" Type="http://schemas.openxmlformats.org/officeDocument/2006/relationships/image" Target="media/image506.png"/><Relationship Id="rId523" Type="http://schemas.openxmlformats.org/officeDocument/2006/relationships/image" Target="media/image507.png"/><Relationship Id="rId524" Type="http://schemas.openxmlformats.org/officeDocument/2006/relationships/image" Target="media/image508.png"/><Relationship Id="rId525" Type="http://schemas.openxmlformats.org/officeDocument/2006/relationships/image" Target="media/image509.png"/><Relationship Id="rId526" Type="http://schemas.openxmlformats.org/officeDocument/2006/relationships/image" Target="media/image510.png"/><Relationship Id="rId527" Type="http://schemas.openxmlformats.org/officeDocument/2006/relationships/image" Target="media/image511.png"/><Relationship Id="rId528" Type="http://schemas.openxmlformats.org/officeDocument/2006/relationships/image" Target="media/image512.png"/><Relationship Id="rId529" Type="http://schemas.openxmlformats.org/officeDocument/2006/relationships/image" Target="media/image513.png"/><Relationship Id="rId530" Type="http://schemas.openxmlformats.org/officeDocument/2006/relationships/image" Target="media/image514.png"/><Relationship Id="rId531" Type="http://schemas.openxmlformats.org/officeDocument/2006/relationships/image" Target="media/image515.png"/><Relationship Id="rId532" Type="http://schemas.openxmlformats.org/officeDocument/2006/relationships/image" Target="media/image516.png"/><Relationship Id="rId533" Type="http://schemas.openxmlformats.org/officeDocument/2006/relationships/image" Target="media/image517.png"/><Relationship Id="rId534" Type="http://schemas.openxmlformats.org/officeDocument/2006/relationships/image" Target="media/image518.png"/><Relationship Id="rId535" Type="http://schemas.openxmlformats.org/officeDocument/2006/relationships/image" Target="media/image519.png"/><Relationship Id="rId536" Type="http://schemas.openxmlformats.org/officeDocument/2006/relationships/image" Target="media/image520.png"/><Relationship Id="rId537" Type="http://schemas.openxmlformats.org/officeDocument/2006/relationships/image" Target="media/image521.png"/><Relationship Id="rId538" Type="http://schemas.openxmlformats.org/officeDocument/2006/relationships/image" Target="media/image522.png"/><Relationship Id="rId539" Type="http://schemas.openxmlformats.org/officeDocument/2006/relationships/image" Target="media/image523.png"/><Relationship Id="rId540" Type="http://schemas.openxmlformats.org/officeDocument/2006/relationships/image" Target="media/image524.png"/><Relationship Id="rId541" Type="http://schemas.openxmlformats.org/officeDocument/2006/relationships/image" Target="media/image525.png"/><Relationship Id="rId542" Type="http://schemas.openxmlformats.org/officeDocument/2006/relationships/image" Target="media/image526.png"/><Relationship Id="rId543" Type="http://schemas.openxmlformats.org/officeDocument/2006/relationships/image" Target="media/image527.png"/><Relationship Id="rId544" Type="http://schemas.openxmlformats.org/officeDocument/2006/relationships/image" Target="media/image528.png"/><Relationship Id="rId545" Type="http://schemas.openxmlformats.org/officeDocument/2006/relationships/image" Target="media/image529.png"/><Relationship Id="rId546" Type="http://schemas.openxmlformats.org/officeDocument/2006/relationships/image" Target="media/image530.png"/><Relationship Id="rId547" Type="http://schemas.openxmlformats.org/officeDocument/2006/relationships/image" Target="media/image531.png"/><Relationship Id="rId548" Type="http://schemas.openxmlformats.org/officeDocument/2006/relationships/image" Target="media/image532.png"/><Relationship Id="rId549" Type="http://schemas.openxmlformats.org/officeDocument/2006/relationships/image" Target="media/image533.png"/><Relationship Id="rId550" Type="http://schemas.openxmlformats.org/officeDocument/2006/relationships/image" Target="media/image534.png"/><Relationship Id="rId551" Type="http://schemas.openxmlformats.org/officeDocument/2006/relationships/image" Target="media/image535.png"/><Relationship Id="rId552" Type="http://schemas.openxmlformats.org/officeDocument/2006/relationships/image" Target="media/image536.png"/><Relationship Id="rId553" Type="http://schemas.openxmlformats.org/officeDocument/2006/relationships/image" Target="media/image537.png"/><Relationship Id="rId554" Type="http://schemas.openxmlformats.org/officeDocument/2006/relationships/image" Target="media/image538.png"/><Relationship Id="rId555" Type="http://schemas.openxmlformats.org/officeDocument/2006/relationships/image" Target="media/image539.png"/><Relationship Id="rId556" Type="http://schemas.openxmlformats.org/officeDocument/2006/relationships/image" Target="media/image540.png"/><Relationship Id="rId557" Type="http://schemas.openxmlformats.org/officeDocument/2006/relationships/image" Target="media/image541.png"/><Relationship Id="rId558" Type="http://schemas.openxmlformats.org/officeDocument/2006/relationships/image" Target="media/image542.png"/><Relationship Id="rId559" Type="http://schemas.openxmlformats.org/officeDocument/2006/relationships/image" Target="media/image543.png"/><Relationship Id="rId560" Type="http://schemas.openxmlformats.org/officeDocument/2006/relationships/image" Target="media/image544.png"/><Relationship Id="rId561" Type="http://schemas.openxmlformats.org/officeDocument/2006/relationships/image" Target="media/image545.png"/><Relationship Id="rId562" Type="http://schemas.openxmlformats.org/officeDocument/2006/relationships/image" Target="media/image546.png"/><Relationship Id="rId563" Type="http://schemas.openxmlformats.org/officeDocument/2006/relationships/image" Target="media/image547.png"/><Relationship Id="rId564" Type="http://schemas.openxmlformats.org/officeDocument/2006/relationships/image" Target="media/image548.png"/><Relationship Id="rId565" Type="http://schemas.openxmlformats.org/officeDocument/2006/relationships/image" Target="media/image549.png"/><Relationship Id="rId566" Type="http://schemas.openxmlformats.org/officeDocument/2006/relationships/image" Target="media/image550.png"/><Relationship Id="rId567" Type="http://schemas.openxmlformats.org/officeDocument/2006/relationships/image" Target="media/image551.png"/><Relationship Id="rId568" Type="http://schemas.openxmlformats.org/officeDocument/2006/relationships/image" Target="media/image552.png"/><Relationship Id="rId569" Type="http://schemas.openxmlformats.org/officeDocument/2006/relationships/image" Target="media/image553.png"/><Relationship Id="rId570" Type="http://schemas.openxmlformats.org/officeDocument/2006/relationships/image" Target="media/image554.png"/><Relationship Id="rId571" Type="http://schemas.openxmlformats.org/officeDocument/2006/relationships/image" Target="media/image555.png"/><Relationship Id="rId572" Type="http://schemas.openxmlformats.org/officeDocument/2006/relationships/image" Target="media/image556.png"/><Relationship Id="rId573" Type="http://schemas.openxmlformats.org/officeDocument/2006/relationships/image" Target="media/image557.png"/><Relationship Id="rId574" Type="http://schemas.openxmlformats.org/officeDocument/2006/relationships/image" Target="media/image558.png"/><Relationship Id="rId575" Type="http://schemas.openxmlformats.org/officeDocument/2006/relationships/image" Target="media/image559.png"/><Relationship Id="rId576" Type="http://schemas.openxmlformats.org/officeDocument/2006/relationships/image" Target="media/image560.png"/><Relationship Id="rId577" Type="http://schemas.openxmlformats.org/officeDocument/2006/relationships/image" Target="media/image561.png"/><Relationship Id="rId578" Type="http://schemas.openxmlformats.org/officeDocument/2006/relationships/image" Target="media/image562.png"/><Relationship Id="rId579" Type="http://schemas.openxmlformats.org/officeDocument/2006/relationships/image" Target="media/image563.png"/><Relationship Id="rId580" Type="http://schemas.openxmlformats.org/officeDocument/2006/relationships/image" Target="media/image564.png"/><Relationship Id="rId581" Type="http://schemas.openxmlformats.org/officeDocument/2006/relationships/image" Target="media/image565.png"/><Relationship Id="rId582" Type="http://schemas.openxmlformats.org/officeDocument/2006/relationships/image" Target="media/image566.png"/><Relationship Id="rId583" Type="http://schemas.openxmlformats.org/officeDocument/2006/relationships/image" Target="media/image567.png"/><Relationship Id="rId584" Type="http://schemas.openxmlformats.org/officeDocument/2006/relationships/image" Target="media/image568.png"/><Relationship Id="rId585" Type="http://schemas.openxmlformats.org/officeDocument/2006/relationships/image" Target="media/image569.png"/><Relationship Id="rId586" Type="http://schemas.openxmlformats.org/officeDocument/2006/relationships/image" Target="media/image570.png"/><Relationship Id="rId587" Type="http://schemas.openxmlformats.org/officeDocument/2006/relationships/image" Target="media/image571.png"/><Relationship Id="rId588" Type="http://schemas.openxmlformats.org/officeDocument/2006/relationships/image" Target="media/image572.png"/><Relationship Id="rId589" Type="http://schemas.openxmlformats.org/officeDocument/2006/relationships/image" Target="media/image573.png"/><Relationship Id="rId590" Type="http://schemas.openxmlformats.org/officeDocument/2006/relationships/image" Target="media/image574.png"/><Relationship Id="rId591" Type="http://schemas.openxmlformats.org/officeDocument/2006/relationships/image" Target="media/image575.png"/><Relationship Id="rId592" Type="http://schemas.openxmlformats.org/officeDocument/2006/relationships/image" Target="media/image576.png"/><Relationship Id="rId593" Type="http://schemas.openxmlformats.org/officeDocument/2006/relationships/image" Target="media/image577.png"/><Relationship Id="rId594" Type="http://schemas.openxmlformats.org/officeDocument/2006/relationships/image" Target="media/image578.png"/><Relationship Id="rId595" Type="http://schemas.openxmlformats.org/officeDocument/2006/relationships/image" Target="media/image579.png"/><Relationship Id="rId596" Type="http://schemas.openxmlformats.org/officeDocument/2006/relationships/image" Target="media/image580.png"/><Relationship Id="rId597" Type="http://schemas.openxmlformats.org/officeDocument/2006/relationships/image" Target="media/image581.png"/><Relationship Id="rId598" Type="http://schemas.openxmlformats.org/officeDocument/2006/relationships/image" Target="media/image582.png"/><Relationship Id="rId599" Type="http://schemas.openxmlformats.org/officeDocument/2006/relationships/image" Target="media/image583.png"/><Relationship Id="rId600" Type="http://schemas.openxmlformats.org/officeDocument/2006/relationships/image" Target="media/image584.png"/><Relationship Id="rId601" Type="http://schemas.openxmlformats.org/officeDocument/2006/relationships/image" Target="media/image585.png"/><Relationship Id="rId602" Type="http://schemas.openxmlformats.org/officeDocument/2006/relationships/image" Target="media/image586.png"/><Relationship Id="rId603" Type="http://schemas.openxmlformats.org/officeDocument/2006/relationships/image" Target="media/image587.png"/><Relationship Id="rId604" Type="http://schemas.openxmlformats.org/officeDocument/2006/relationships/image" Target="media/image588.png"/><Relationship Id="rId605" Type="http://schemas.openxmlformats.org/officeDocument/2006/relationships/image" Target="media/image589.png"/><Relationship Id="rId606" Type="http://schemas.openxmlformats.org/officeDocument/2006/relationships/image" Target="media/image590.png"/><Relationship Id="rId607" Type="http://schemas.openxmlformats.org/officeDocument/2006/relationships/image" Target="media/image591.png"/><Relationship Id="rId608" Type="http://schemas.openxmlformats.org/officeDocument/2006/relationships/image" Target="media/image592.png"/><Relationship Id="rId609" Type="http://schemas.openxmlformats.org/officeDocument/2006/relationships/image" Target="media/image593.png"/><Relationship Id="rId610" Type="http://schemas.openxmlformats.org/officeDocument/2006/relationships/image" Target="media/image594.png"/><Relationship Id="rId611" Type="http://schemas.openxmlformats.org/officeDocument/2006/relationships/image" Target="media/image595.png"/><Relationship Id="rId360" Type="http://schemas.openxmlformats.org/officeDocument/2006/relationships/hyperlink" Target="http://www.sec.gov/Archives/edgar/data/0001831828/000119312521129272/d96328dex33.htm" TargetMode="External"/><Relationship Id="rId361" Type="http://schemas.openxmlformats.org/officeDocument/2006/relationships/hyperlink" Target="http://www.sec.gov/Archives/edgar/data/0001831828/000119312521129272/d96328dex42.htm" TargetMode="External"/><Relationship Id="rId362" Type="http://schemas.openxmlformats.org/officeDocument/2006/relationships/hyperlink" Target="http://www.sec.gov/Archives/edgar/data/0001831828/000119312521129272/d96328dex101.htm" TargetMode="External"/><Relationship Id="rId363" Type="http://schemas.openxmlformats.org/officeDocument/2006/relationships/hyperlink" Target="http://www.sec.gov/Archives/edgar/data/0001831828/000119312521129272/d96328dex102.htm" TargetMode="External"/><Relationship Id="rId364" Type="http://schemas.openxmlformats.org/officeDocument/2006/relationships/hyperlink" Target="http://www.sec.gov/Archives/edgar/data/0001831828/000119312521129272/d96328dex1012.htm" TargetMode="External"/><Relationship Id="rId365" Type="http://schemas.openxmlformats.org/officeDocument/2006/relationships/hyperlink" Target="http://www.sec.gov/Archives/edgar/data/0001831828/000119312521129272/d96328dex1013.htm" TargetMode="External"/><Relationship Id="rId366" Type="http://schemas.openxmlformats.org/officeDocument/2006/relationships/hyperlink" Target="http://www.sec.gov/Archives/edgar/data/0001831828/000119312521129272/d96328dex1014.htm" TargetMode="External"/><Relationship Id="rId367" Type="http://schemas.openxmlformats.org/officeDocument/2006/relationships/hyperlink" Target="http://www.sec.gov/Archives/edgar/data/0001831828/000119312521129272/d96328dex1015.htm" TargetMode="External"/><Relationship Id="rId368" Type="http://schemas.openxmlformats.org/officeDocument/2006/relationships/hyperlink" Target="http://www.sec.gov/Archives/edgar/data/1831828/000119312521129272/d96328ds1.htm#ii96328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2021-05-10T05:44:40Z</dcterms:created>
  <dcterms:modified xsi:type="dcterms:W3CDTF">2021-05-10T05:44:40Z</dcterms:modified>
</cp:coreProperties>
</file>