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080802.xml.htm"/>
      <w:bookmarkStart w:id="1" w:name="ksform408052026_08080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Boman Nancy Lee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 SIERRA POINT PARKWAY,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 Therapeutics, Inc.</w:t>
              </w:r>
            </w:hyperlink>
            <w:r>
              <w:rPr/>
              <w:t xml:space="preserve"> [ </w:t>
            </w:r>
            <w:r>
              <w:rPr>
                <w:rFonts w:ascii="Times;serif" w:hAnsi="Times;serif"/>
                <w:color w:val="0000FF"/>
                <w:sz w:val="24"/>
                <w:shd w:fill="FFFFFF" w:val="clear"/>
              </w:rPr>
              <w:t>VERA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Regulatory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44,987</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44,987</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32.23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63,011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63,011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Class A Common Stock underlying the restricted stock units ("RSUs") granted under the Issuer's 2024 Inducement Plan. 1/4th of the RSUs, rounded to the nearest whole share, vest on each of August 20, 2027, 2028, 2029 and 2030,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12/48ths of the shares subject to the stock option will vest and become exercisable on August 3, 2027, and 1/48th of the shares subject to the stock option will vest and become exercisable monthly on the same day of each month thereafter, subject to the Reporting Person's continuous service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Joseph R. Young,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5711" TargetMode="External"/><Relationship Id="rId5" Type="http://schemas.openxmlformats.org/officeDocument/2006/relationships/hyperlink" Target="http://www.sec.gov/cgi-bin/browse-edgar?action=getcompany&amp;CIK=00018318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701</Words>
  <Characters>3765</Characters>
  <CharactersWithSpaces>4385</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