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Morrison Scott W</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Vera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VERA</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Borders>
              <w:bottom w:val="single" w:sz="8" w:color="0000EE"/>
            </w:tcBorders>
          </w:tcPr>
          <w:p>
            <w:pPr>
              <w:spacing w:after="0"/>
              <w:rPr>
                <w:sz w:val="6"/>
                <w:szCs w:val="6"/>
                <w:color w:val="auto"/>
              </w:rPr>
            </w:pPr>
          </w:p>
        </w:tc>
        <w:tc>
          <w:tcPr>
            <w:tcW w:w="18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00" w:type="dxa"/>
            <w:vAlign w:val="bottom"/>
            <w:tcBorders>
              <w:top w:val="single" w:sz="8" w:color="0000EE"/>
            </w:tcBorders>
          </w:tcPr>
          <w:p>
            <w:pPr>
              <w:spacing w:after="0"/>
              <w:rPr>
                <w:sz w:val="6"/>
                <w:szCs w:val="6"/>
                <w:color w:val="auto"/>
              </w:rPr>
            </w:pPr>
          </w:p>
        </w:tc>
        <w:tc>
          <w:tcPr>
            <w:tcW w:w="9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0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05/21/2026</w:t>
            </w:r>
          </w:p>
        </w:tc>
        <w:tc>
          <w:tcPr>
            <w:tcW w:w="18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VERA THERAPEUTICS, INC.</w:t>
            </w:r>
          </w:p>
        </w:tc>
        <w:tc>
          <w:tcPr>
            <w:tcW w:w="2060" w:type="dxa"/>
            <w:vAlign w:val="bottom"/>
            <w:gridSpan w:val="3"/>
            <w:vMerge w:val="continue"/>
          </w:tcPr>
          <w:p>
            <w:pPr>
              <w:spacing w:after="0"/>
              <w:rPr>
                <w:sz w:val="10"/>
                <w:szCs w:val="10"/>
                <w:color w:val="auto"/>
              </w:rPr>
            </w:pPr>
          </w:p>
        </w:tc>
        <w:tc>
          <w:tcPr>
            <w:tcW w:w="18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2000 SIERRA POINT PARKWAY, SUITE 1200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tcPr>
          <w:p>
            <w:pPr>
              <w:spacing w:after="0"/>
              <w:rPr>
                <w:sz w:val="11"/>
                <w:szCs w:val="11"/>
                <w:color w:val="auto"/>
              </w:rPr>
            </w:pPr>
          </w:p>
        </w:tc>
        <w:tc>
          <w:tcPr>
            <w:tcW w:w="18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BRISBANE</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94005</w:t>
            </w:r>
          </w:p>
        </w:tc>
      </w:tr>
      <w:tr>
        <w:trPr>
          <w:trHeight w:val="149"/>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17,084</w:t>
            </w: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34.35</w:t>
            </w:r>
          </w:p>
        </w:tc>
        <w:tc>
          <w:tcPr>
            <w:tcW w:w="1080" w:type="dxa"/>
            <w:vAlign w:val="bottom"/>
            <w:vMerge w:val="restart"/>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05/21/2026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restart"/>
          </w:tcPr>
          <w:p>
            <w:pPr>
              <w:ind w:left="100"/>
              <w:spacing w:after="0" w:line="142" w:lineRule="exact"/>
              <w:rPr>
                <w:sz w:val="20"/>
                <w:szCs w:val="20"/>
                <w:color w:val="auto"/>
              </w:rPr>
            </w:pPr>
            <w:r>
              <w:rPr>
                <w:rFonts w:ascii="Times New Roman" w:cs="Times New Roman" w:eastAsia="Times New Roman" w:hAnsi="Times New Roman"/>
                <w:sz w:val="13"/>
                <w:szCs w:val="13"/>
                <w:color w:val="0000FF"/>
              </w:rPr>
              <w:t>17,084</w:t>
            </w:r>
          </w:p>
        </w:tc>
        <w:tc>
          <w:tcPr>
            <w:tcW w:w="2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05/20/2036</w:t>
            </w: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00"/>
              <w:spacing w:after="0" w:line="142" w:lineRule="exact"/>
              <w:rPr>
                <w:sz w:val="20"/>
                <w:szCs w:val="20"/>
                <w:color w:val="auto"/>
              </w:rPr>
            </w:pPr>
            <w:r>
              <w:rPr>
                <w:rFonts w:ascii="Times New Roman" w:cs="Times New Roman" w:eastAsia="Times New Roman" w:hAnsi="Times New Roman"/>
                <w:sz w:val="13"/>
                <w:szCs w:val="13"/>
                <w:color w:val="0000FF"/>
              </w:rPr>
              <w:t>17,084</w:t>
            </w:r>
          </w:p>
        </w:tc>
        <w:tc>
          <w:tcPr>
            <w:tcW w:w="72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4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will vest in full on the earlier of the first anniversary of the grant date or the date of the Company's 2027 annual stockholder meeting, subject to the Reporting Person's continuous service through such vesting date. Notwithstanding the foregoing, the shares will vest in full upon a change in control, subject to the Reporting Person's continuous service through the date of such change in control.</w:t>
      </w:r>
    </w:p>
    <w:p>
      <w:pPr>
        <w:spacing w:after="0" w:line="18"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Joseph R. Young, Attorney-</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05/26/2026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62426" TargetMode="External"/><Relationship Id="rId14" Type="http://schemas.openxmlformats.org/officeDocument/2006/relationships/hyperlink" Target="http://www.sec.gov/cgi-bin/browse-edgar?action=getcompany&amp;CIK=00018318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2026-05-26T15:39:44Z</dcterms:created>
  <dcterms:modified xsi:type="dcterms:W3CDTF">2026-05-26T15:39:44Z</dcterms:modified>
</cp:coreProperties>
</file>