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era-20260707.htm"/>
      <w:bookmarkStart w:id="1" w:name="ksvera202607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86" w:type="dxa"/>
        <w:jc w:val="left"/>
        <w:tblInd w:w="0" w:type="dxa"/>
        <w:tblLayout w:type="fixed"/>
        <w:tblCellMar>
          <w:top w:w="28" w:type="dxa"/>
          <w:left w:w="28" w:type="dxa"/>
          <w:bottom w:w="28" w:type="dxa"/>
          <w:right w:w="28" w:type="dxa"/>
        </w:tblCellMar>
      </w:tblPr>
      <w:tblGrid>
        <w:gridCol w:w="1203"/>
        <w:gridCol w:w="1098"/>
        <w:gridCol w:w="1103"/>
        <w:gridCol w:w="1846"/>
        <w:gridCol w:w="1336"/>
      </w:tblGrid>
      <w:tr>
        <w:trPr/>
        <w:tc>
          <w:tcPr>
            <w:tcW w:w="120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001-40407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81-2744449</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1200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770-0077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50" w:type="dxa"/>
        <w:jc w:val="left"/>
        <w:tblInd w:w="0" w:type="dxa"/>
        <w:tblLayout w:type="fixed"/>
        <w:tblCellMar>
          <w:top w:w="28" w:type="dxa"/>
          <w:left w:w="28" w:type="dxa"/>
          <w:bottom w:w="28" w:type="dxa"/>
          <w:right w:w="28" w:type="dxa"/>
        </w:tblCellMar>
      </w:tblPr>
      <w:tblGrid>
        <w:gridCol w:w="4186"/>
        <w:gridCol w:w="146"/>
        <w:gridCol w:w="946"/>
        <w:gridCol w:w="146"/>
        <w:gridCol w:w="382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VERA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July 7, 2026, Vera Therapeutics, Inc. issued a press release announcing that the U.S. Food and Drug Administration has granted TRUTAKNA (atacicept-vymj) accelerated approval to reduce proteinuria in adults with primary immunoglobulin A nephropathy at risk for disease progression.</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49" w:type="dxa"/>
        <w:jc w:val="left"/>
        <w:tblInd w:w="0" w:type="dxa"/>
        <w:tblLayout w:type="fixed"/>
        <w:tblCellMar>
          <w:top w:w="28" w:type="dxa"/>
          <w:left w:w="28" w:type="dxa"/>
          <w:bottom w:w="28" w:type="dxa"/>
          <w:right w:w="28" w:type="dxa"/>
        </w:tblCellMar>
      </w:tblPr>
      <w:tblGrid>
        <w:gridCol w:w="556"/>
        <w:gridCol w:w="1111"/>
        <w:gridCol w:w="451"/>
        <w:gridCol w:w="213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Marshall Fordyce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Marshall Fordyce,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398</Words>
  <Characters>2226</Characters>
  <CharactersWithSpaces>2616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