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vera-20260709.htm"/>
      <w:bookmarkStart w:id="1" w:name="ksvera20260709"/>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Vera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586" w:type="dxa"/>
        <w:jc w:val="left"/>
        <w:tblInd w:w="0" w:type="dxa"/>
        <w:tblLayout w:type="fixed"/>
        <w:tblCellMar>
          <w:top w:w="28" w:type="dxa"/>
          <w:left w:w="28" w:type="dxa"/>
          <w:bottom w:w="28" w:type="dxa"/>
          <w:right w:w="28" w:type="dxa"/>
        </w:tblCellMar>
      </w:tblPr>
      <w:tblGrid>
        <w:gridCol w:w="1203"/>
        <w:gridCol w:w="1098"/>
        <w:gridCol w:w="1103"/>
        <w:gridCol w:w="1846"/>
        <w:gridCol w:w="1336"/>
      </w:tblGrid>
      <w:tr>
        <w:trPr/>
        <w:tc>
          <w:tcPr>
            <w:tcW w:w="120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001-40407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81-2744449</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 Sierra Point Parkway, Suite 1200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Brisbane,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94005</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770-0077</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250" w:type="dxa"/>
        <w:jc w:val="left"/>
        <w:tblInd w:w="0" w:type="dxa"/>
        <w:tblLayout w:type="fixed"/>
        <w:tblCellMar>
          <w:top w:w="28" w:type="dxa"/>
          <w:left w:w="28" w:type="dxa"/>
          <w:bottom w:w="28" w:type="dxa"/>
          <w:right w:w="28" w:type="dxa"/>
        </w:tblCellMar>
      </w:tblPr>
      <w:tblGrid>
        <w:gridCol w:w="4186"/>
        <w:gridCol w:w="146"/>
        <w:gridCol w:w="946"/>
        <w:gridCol w:w="146"/>
        <w:gridCol w:w="382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18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VERA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On July 9, 2026, Vera Therapeutics, Inc. (the “Company”) announced that William Turner will no longer serve as the Company’s Chief Regulatory Officer and will transition to the role of Special Advisor for Regulatory Affairs, effective as of August 3, 2026. Nancy Bowman, M.D., Ph.D., will succeed Mr. Turner as the Company’s Chief Regulatory Officer, effective as of August 3, 2026.</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49" w:type="dxa"/>
        <w:jc w:val="left"/>
        <w:tblInd w:w="0" w:type="dxa"/>
        <w:tblLayout w:type="fixed"/>
        <w:tblCellMar>
          <w:top w:w="28" w:type="dxa"/>
          <w:left w:w="28" w:type="dxa"/>
          <w:bottom w:w="28" w:type="dxa"/>
          <w:right w:w="28" w:type="dxa"/>
        </w:tblCellMar>
      </w:tblPr>
      <w:tblGrid>
        <w:gridCol w:w="556"/>
        <w:gridCol w:w="1111"/>
        <w:gridCol w:w="451"/>
        <w:gridCol w:w="2131"/>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Vera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3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Marshall Fordyce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Marshall Fordyce, M.D.</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434</Words>
  <Characters>2420</Characters>
  <CharactersWithSpaces>2847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